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MYJJ</w:t>
      </w:r>
      <w:r>
        <w:rPr>
          <w:rFonts w:hint="default" w:ascii="Times New Roman" w:hAnsi="Times New Roman" w:eastAsia="宋体" w:cs="Times New Roman"/>
          <w:b/>
          <w:bCs w:val="0"/>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jc w:val="right"/>
        <w:textAlignment w:val="auto"/>
        <w:rPr>
          <w:rFonts w:hint="default" w:ascii="Times New Roman" w:hAnsi="Times New Roman" w:eastAsia="宋体" w:cs="Times New Roman"/>
          <w:sz w:val="28"/>
          <w:szCs w:val="28"/>
          <w:lang w:val="en-US"/>
        </w:rPr>
      </w:pPr>
      <w:r>
        <w:rPr>
          <w:rFonts w:hint="default" w:ascii="Times New Roman" w:hAnsi="Times New Roman" w:eastAsia="宋体" w:cs="Times New Roman"/>
          <w:b/>
          <w:bCs w:val="0"/>
          <w:sz w:val="28"/>
          <w:szCs w:val="28"/>
        </w:rPr>
        <w:t>风险评估版本号：</w:t>
      </w:r>
      <w:r>
        <w:rPr>
          <w:rFonts w:hint="default" w:ascii="Times New Roman" w:hAnsi="Times New Roman" w:eastAsia="宋体" w:cs="Times New Roman"/>
          <w:b/>
          <w:bCs w:val="0"/>
          <w:sz w:val="28"/>
          <w:szCs w:val="28"/>
          <w:lang w:val="en-US" w:eastAsia="zh-CN"/>
        </w:rPr>
        <w:t>202</w:t>
      </w:r>
      <w:r>
        <w:rPr>
          <w:rFonts w:hint="eastAsia" w:eastAsia="宋体" w:cs="Times New Roman"/>
          <w:b/>
          <w:bCs w:val="0"/>
          <w:sz w:val="28"/>
          <w:szCs w:val="28"/>
          <w:lang w:val="en-US" w:eastAsia="zh-CN"/>
        </w:rPr>
        <w:t>2</w:t>
      </w:r>
      <w:r>
        <w:rPr>
          <w:rFonts w:hint="default" w:ascii="Times New Roman" w:hAnsi="Times New Roman" w:eastAsia="宋体" w:cs="Times New Roman"/>
          <w:b/>
          <w:bCs w:val="0"/>
          <w:sz w:val="28"/>
          <w:szCs w:val="28"/>
          <w:lang w:val="en-US" w:eastAsia="zh-CN"/>
        </w:rPr>
        <w:t>年</w:t>
      </w:r>
      <w:r>
        <w:rPr>
          <w:rFonts w:hint="eastAsia" w:eastAsia="宋体" w:cs="Times New Roman"/>
          <w:b w:val="0"/>
          <w:bCs/>
          <w:sz w:val="28"/>
          <w:szCs w:val="28"/>
          <w:lang w:val="en-US" w:eastAsia="zh-CN"/>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lang w:eastAsia="zh-CN"/>
        </w:rPr>
        <w:t>海安美延家居科技有限公司</w:t>
      </w:r>
    </w:p>
    <w:p>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sz w:val="44"/>
          <w:szCs w:val="44"/>
        </w:rPr>
      </w:pPr>
      <w:r>
        <w:rPr>
          <w:rFonts w:hint="eastAsia" w:ascii="宋体" w:hAnsi="宋体" w:eastAsia="宋体" w:cs="宋体"/>
          <w:b/>
          <w:sz w:val="52"/>
          <w:szCs w:val="52"/>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编制单位：</w:t>
      </w:r>
      <w:r>
        <w:rPr>
          <w:rFonts w:hint="eastAsia" w:ascii="宋体" w:hAnsi="宋体" w:eastAsia="宋体" w:cs="宋体"/>
          <w:b/>
          <w:bCs/>
          <w:sz w:val="32"/>
          <w:szCs w:val="32"/>
          <w:lang w:eastAsia="zh-CN"/>
        </w:rPr>
        <w:t>海安美延家居科技有限公司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pPr>
        <w:spacing w:before="0"/>
        <w:ind w:left="835" w:right="995" w:firstLine="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lang w:val="zh-CN" w:eastAsia="zh-CN" w:bidi="zh-CN"/>
        </w:rPr>
        <w:t>202</w:t>
      </w:r>
      <w:r>
        <w:rPr>
          <w:rFonts w:hint="default" w:ascii="Times New Roman" w:hAnsi="Times New Roman" w:eastAsia="宋体" w:cs="Times New Roman"/>
          <w:b/>
          <w:bCs/>
          <w:sz w:val="32"/>
          <w:szCs w:val="32"/>
          <w:lang w:val="en-US" w:eastAsia="zh-CN" w:bidi="zh-CN"/>
        </w:rPr>
        <w:t>2</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5</w:t>
      </w:r>
      <w:r>
        <w:rPr>
          <w:rFonts w:hint="default" w:ascii="Times New Roman" w:hAnsi="Times New Roman" w:eastAsia="宋体" w:cs="Times New Roman"/>
          <w:b/>
          <w:bCs/>
          <w:sz w:val="32"/>
          <w:szCs w:val="3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_Toc26756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1 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_Toc26756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_Toc18595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 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_Toc18595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_Toc19570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2.1 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_Toc19570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_Toc1839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2.2 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_Toc11371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2.2.1 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_Toc11371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_Toc1162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_Toc3109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_Toc20254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2.3 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_Toc7104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2.4 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_Toc19560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w:t>
      </w:r>
      <w:r>
        <w:rPr>
          <w:rFonts w:hint="default" w:ascii="Times New Roman" w:hAnsi="Times New Roman" w:eastAsia="宋体" w:cs="Times New Roman"/>
          <w:i w:val="0"/>
          <w:iCs w:val="0"/>
          <w:sz w:val="24"/>
          <w:szCs w:val="36"/>
          <w:lang w:val="en-US" w:eastAsia="zh-CN"/>
        </w:rPr>
        <w:t>5</w:t>
      </w:r>
      <w:r>
        <w:rPr>
          <w:rFonts w:hint="default" w:ascii="Times New Roman" w:hAnsi="Times New Roman" w:eastAsia="宋体" w:cs="Times New Roman"/>
          <w:i w:val="0"/>
          <w:iCs w:val="0"/>
          <w:sz w:val="24"/>
          <w:szCs w:val="36"/>
        </w:rPr>
        <w:t xml:space="preserve"> 环境风险评估</w:t>
      </w:r>
      <w:r>
        <w:rPr>
          <w:rFonts w:hint="default" w:ascii="Times New Roman" w:hAnsi="Times New Roman" w:eastAsia="宋体" w:cs="Times New Roman"/>
          <w:i w:val="0"/>
          <w:iCs w:val="0"/>
          <w:sz w:val="24"/>
          <w:szCs w:val="36"/>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_Toc19560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_Toc12603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2.</w:t>
      </w:r>
      <w:r>
        <w:rPr>
          <w:rFonts w:hint="default" w:ascii="Times New Roman" w:hAnsi="Times New Roman" w:eastAsia="宋体" w:cs="Times New Roman"/>
          <w:i w:val="0"/>
          <w:iCs w:val="0"/>
          <w:sz w:val="24"/>
          <w:szCs w:val="36"/>
          <w:lang w:val="en-US" w:eastAsia="zh-CN"/>
        </w:rPr>
        <w:t>6</w:t>
      </w:r>
      <w:r>
        <w:rPr>
          <w:rFonts w:hint="default" w:ascii="Times New Roman" w:hAnsi="Times New Roman" w:eastAsia="宋体" w:cs="Times New Roman"/>
          <w:i w:val="0"/>
          <w:iCs w:val="0"/>
          <w:sz w:val="24"/>
          <w:szCs w:val="36"/>
        </w:rPr>
        <w:t xml:space="preserve"> </w:t>
      </w:r>
      <w:r>
        <w:rPr>
          <w:rFonts w:hint="default" w:ascii="Times New Roman" w:hAnsi="Times New Roman" w:eastAsia="宋体" w:cs="Times New Roman"/>
          <w:i w:val="0"/>
          <w:iCs w:val="0"/>
          <w:sz w:val="24"/>
          <w:szCs w:val="36"/>
          <w:lang w:val="en-US" w:eastAsia="zh-CN"/>
        </w:rPr>
        <w:t>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_Toc12603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_Toc12045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 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_Toc12045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_Toc16038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3.1 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_Toc2782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_Toc2782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_Toc12964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_Toc23991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_Toc23991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_Toc24124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lang w:val="en-US" w:eastAsia="zh-CN"/>
        </w:rPr>
        <w:t>4污染物排放标准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_Toc24124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_Toc23710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3.2 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_Toc23710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_Toc4629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_Toc4629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_Toc3725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_Toc30336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_Toc30336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_Toc19141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_Toc32010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_Toc32010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_Toc7850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_Toc32621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3.4 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_Toc32620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5</w:t>
      </w:r>
      <w:r>
        <w:rPr>
          <w:rFonts w:hint="default" w:ascii="Times New Roman" w:hAnsi="Times New Roman" w:eastAsia="宋体" w:cs="Times New Roman"/>
          <w:i w:val="0"/>
          <w:iCs w:val="0"/>
          <w:sz w:val="24"/>
          <w:szCs w:val="36"/>
        </w:rPr>
        <w:t xml:space="preserve"> 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_Toc32620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_Toc32524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 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_Toc32524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_Toc3593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44"/>
        </w:rPr>
        <w:t>3.</w:t>
      </w:r>
      <w:r>
        <w:rPr>
          <w:rFonts w:hint="default" w:ascii="Times New Roman" w:hAnsi="Times New Roman" w:eastAsia="宋体" w:cs="Times New Roman"/>
          <w:i w:val="0"/>
          <w:iCs w:val="0"/>
          <w:sz w:val="24"/>
          <w:szCs w:val="44"/>
          <w:lang w:val="en-US" w:eastAsia="zh-CN"/>
        </w:rPr>
        <w:t>5</w:t>
      </w:r>
      <w:r>
        <w:rPr>
          <w:rFonts w:hint="default" w:ascii="Times New Roman" w:hAnsi="Times New Roman" w:eastAsia="宋体" w:cs="Times New Roman"/>
          <w:i w:val="0"/>
          <w:iCs w:val="0"/>
          <w:sz w:val="24"/>
          <w:szCs w:val="44"/>
        </w:rPr>
        <w:t>.2 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_Toc3593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_Toc20839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 xml:space="preserve"> 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_Toc20839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_Toc10361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5</w:t>
      </w:r>
      <w:r>
        <w:rPr>
          <w:rFonts w:hint="default" w:ascii="Times New Roman" w:hAnsi="Times New Roman" w:eastAsia="宋体" w:cs="Times New Roman"/>
          <w:i w:val="0"/>
          <w:iCs w:val="0"/>
          <w:sz w:val="24"/>
          <w:szCs w:val="36"/>
        </w:rPr>
        <w:t>.</w:t>
      </w:r>
      <w:r>
        <w:rPr>
          <w:rFonts w:hint="default" w:ascii="Times New Roman" w:hAnsi="Times New Roman" w:eastAsia="宋体" w:cs="Times New Roman"/>
          <w:i w:val="0"/>
          <w:iCs w:val="0"/>
          <w:sz w:val="24"/>
          <w:szCs w:val="36"/>
          <w:lang w:val="en-US" w:eastAsia="zh-CN"/>
        </w:rPr>
        <w:t>4</w:t>
      </w:r>
      <w:r>
        <w:rPr>
          <w:rFonts w:hint="default" w:ascii="Times New Roman" w:hAnsi="Times New Roman" w:eastAsia="宋体" w:cs="Times New Roman"/>
          <w:i w:val="0"/>
          <w:iCs w:val="0"/>
          <w:sz w:val="24"/>
          <w:szCs w:val="36"/>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_Toc10543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5</w:t>
      </w:r>
      <w:r>
        <w:rPr>
          <w:rFonts w:hint="default" w:ascii="Times New Roman" w:hAnsi="Times New Roman" w:eastAsia="宋体" w:cs="Times New Roman"/>
          <w:i w:val="0"/>
          <w:iCs w:val="0"/>
          <w:sz w:val="24"/>
          <w:szCs w:val="36"/>
        </w:rPr>
        <w:t>.</w:t>
      </w:r>
      <w:r>
        <w:rPr>
          <w:rFonts w:hint="default" w:ascii="Times New Roman" w:hAnsi="Times New Roman" w:eastAsia="宋体" w:cs="Times New Roman"/>
          <w:i w:val="0"/>
          <w:iCs w:val="0"/>
          <w:sz w:val="24"/>
          <w:szCs w:val="36"/>
          <w:lang w:val="en-US" w:eastAsia="zh-CN"/>
        </w:rPr>
        <w:t>5</w:t>
      </w:r>
      <w:r>
        <w:rPr>
          <w:rFonts w:hint="default" w:ascii="Times New Roman" w:hAnsi="Times New Roman" w:eastAsia="宋体" w:cs="Times New Roman"/>
          <w:i w:val="0"/>
          <w:iCs w:val="0"/>
          <w:sz w:val="24"/>
          <w:szCs w:val="36"/>
        </w:rPr>
        <w:t xml:space="preserve"> “三废”排放及处理情况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_Toc10543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_Toc6390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6</w:t>
      </w:r>
      <w:r>
        <w:rPr>
          <w:rFonts w:hint="default" w:ascii="Times New Roman" w:hAnsi="Times New Roman" w:eastAsia="宋体" w:cs="Times New Roman"/>
          <w:i w:val="0"/>
          <w:iCs w:val="0"/>
          <w:sz w:val="24"/>
          <w:szCs w:val="36"/>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_Toc6390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_Toc10457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7</w:t>
      </w:r>
      <w:r>
        <w:rPr>
          <w:rFonts w:hint="default" w:ascii="Times New Roman" w:hAnsi="Times New Roman" w:eastAsia="宋体" w:cs="Times New Roman"/>
          <w:i w:val="0"/>
          <w:iCs w:val="0"/>
          <w:sz w:val="24"/>
          <w:szCs w:val="36"/>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_Toc31931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8</w:t>
      </w:r>
      <w:r>
        <w:rPr>
          <w:rFonts w:hint="default" w:ascii="Times New Roman" w:hAnsi="Times New Roman" w:eastAsia="宋体" w:cs="Times New Roman"/>
          <w:i w:val="0"/>
          <w:iCs w:val="0"/>
          <w:sz w:val="24"/>
          <w:szCs w:val="36"/>
        </w:rPr>
        <w:t xml:space="preserve"> 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_Toc31931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_Toc21216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8</w:t>
      </w:r>
      <w:r>
        <w:rPr>
          <w:rFonts w:hint="default" w:ascii="Times New Roman" w:hAnsi="Times New Roman" w:eastAsia="宋体" w:cs="Times New Roman"/>
          <w:i w:val="0"/>
          <w:iCs w:val="0"/>
          <w:sz w:val="24"/>
          <w:szCs w:val="36"/>
        </w:rPr>
        <w:t>.</w:t>
      </w:r>
      <w:r>
        <w:rPr>
          <w:rFonts w:hint="default" w:ascii="Times New Roman" w:hAnsi="Times New Roman" w:eastAsia="宋体" w:cs="Times New Roman"/>
          <w:i w:val="0"/>
          <w:iCs w:val="0"/>
          <w:sz w:val="24"/>
          <w:szCs w:val="36"/>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_Toc21216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_Toc1474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_Toc3357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_Toc3357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_Toc5943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_Toc22493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3.</w:t>
      </w:r>
      <w:r>
        <w:rPr>
          <w:rFonts w:hint="default" w:ascii="Times New Roman" w:hAnsi="Times New Roman" w:eastAsia="宋体" w:cs="Times New Roman"/>
          <w:i w:val="0"/>
          <w:iCs w:val="0"/>
          <w:sz w:val="24"/>
          <w:szCs w:val="36"/>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_Toc22493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_Toc31419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4 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_Toc31419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_Toc7836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4.1 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_Toc7356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4.2 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_Toc7356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_Toc30597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_Toc30597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_Toc28763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_Toc4150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_Toc4150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_Toc24510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bCs/>
          <w:i w:val="0"/>
          <w:iCs w:val="0"/>
          <w:sz w:val="24"/>
          <w:szCs w:val="36"/>
        </w:rPr>
        <w:t>4.3 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_Toc24510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_Toc14674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_Toc5056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_Toc20452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_Toc20452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_Toc30305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4.4 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_Toc30305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_Toc31396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4.4.1发生火灾的伴生/次生污染物CO大气污染事件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_Toc31396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_Toc11612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2发生泄漏的污染水环境事件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_Toc8859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_Toc8859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_Toc30419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5 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_Toc30419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_Toc2496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5.1 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_Toc24558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5.2 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_Toc24558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_Toc14196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5.3 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_Toc14196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_Toc19935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5.4 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_Toc19935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_Toc29208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5.5 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_Toc29208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_Toc21425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6 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_Toc21425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_Toc30219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6.1 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_Toc30219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_Toc25535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6.2 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_Toc25535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_Toc24013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7 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_Toc24013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_Toc8659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7.1 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_Toc3108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 xml:space="preserve">7.1.1 </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_Toc818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 xml:space="preserve"> 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_Toc12402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 xml:space="preserve"> 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_Toc12402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_Toc5160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 xml:space="preserve"> 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_Toc5160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_Toc32405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 xml:space="preserve"> 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_Toc32405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_Toc14031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7.</w:t>
      </w:r>
      <w:r>
        <w:rPr>
          <w:rFonts w:hint="default" w:ascii="Times New Roman" w:hAnsi="Times New Roman" w:eastAsia="宋体" w:cs="Times New Roman"/>
          <w:i w:val="0"/>
          <w:iCs w:val="0"/>
          <w:sz w:val="24"/>
          <w:szCs w:val="36"/>
          <w:lang w:val="en-US" w:eastAsia="zh-CN"/>
        </w:rPr>
        <w:t>2</w:t>
      </w:r>
      <w:r>
        <w:rPr>
          <w:rFonts w:hint="default" w:ascii="Times New Roman" w:hAnsi="Times New Roman" w:eastAsia="宋体" w:cs="Times New Roman"/>
          <w:i w:val="0"/>
          <w:iCs w:val="0"/>
          <w:sz w:val="24"/>
          <w:szCs w:val="36"/>
        </w:rPr>
        <w:t xml:space="preserve"> 企业突发</w:t>
      </w:r>
      <w:r>
        <w:rPr>
          <w:rFonts w:hint="default" w:ascii="Times New Roman" w:hAnsi="Times New Roman" w:eastAsia="宋体" w:cs="Times New Roman"/>
          <w:i w:val="0"/>
          <w:iCs w:val="0"/>
          <w:sz w:val="24"/>
          <w:szCs w:val="36"/>
          <w:lang w:val="en-US" w:eastAsia="zh-CN"/>
        </w:rPr>
        <w:t>水</w:t>
      </w:r>
      <w:r>
        <w:rPr>
          <w:rFonts w:hint="default" w:ascii="Times New Roman" w:hAnsi="Times New Roman" w:eastAsia="宋体" w:cs="Times New Roman"/>
          <w:i w:val="0"/>
          <w:iCs w:val="0"/>
          <w:sz w:val="24"/>
          <w:szCs w:val="36"/>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_Toc14031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_Toc16147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_Toc16147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_Toc3360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 xml:space="preserve"> 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_Toc3360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_Toc16736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bCs w:val="0"/>
          <w:i w:val="0"/>
          <w:iCs w:val="0"/>
          <w:spacing w:val="-4"/>
          <w:sz w:val="24"/>
          <w:szCs w:val="28"/>
        </w:rPr>
        <w:t>厂区内雨污分流，</w:t>
      </w:r>
      <w:r>
        <w:rPr>
          <w:rFonts w:hint="default" w:ascii="Times New Roman" w:hAnsi="Times New Roman" w:eastAsia="宋体" w:cs="Times New Roman"/>
          <w:bCs w:val="0"/>
          <w:i w:val="0"/>
          <w:iCs w:val="0"/>
          <w:spacing w:val="-4"/>
          <w:sz w:val="24"/>
          <w:szCs w:val="28"/>
          <w:lang w:val="en-US" w:eastAsia="zh-CN"/>
        </w:rPr>
        <w:t>但无雨水收集池</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_Toc4249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 xml:space="preserve"> </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_Toc4249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_Toc18805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 xml:space="preserve"> 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_Toc18805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_Toc11255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24"/>
          <w:lang w:val="en-US" w:eastAsia="zh-CN"/>
        </w:rPr>
        <w:t>7.2.5 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30"/>
        <w:keepNext w:val="0"/>
        <w:keepLines w:val="0"/>
        <w:pageBreakBefore w:val="0"/>
        <w:widowControl w:val="0"/>
        <w:tabs>
          <w:tab w:val="right" w:leader="dot" w:pos="9026"/>
        </w:tabs>
        <w:kinsoku/>
        <w:wordWrap/>
        <w:overflowPunct/>
        <w:topLinePunct w:val="0"/>
        <w:autoSpaceDE/>
        <w:autoSpaceDN/>
        <w:bidi w:val="0"/>
        <w:adjustRightInd/>
        <w:snapToGrid/>
        <w:spacing w:line="360" w:lineRule="exact"/>
        <w:textAlignment w:val="auto"/>
      </w:pPr>
      <w:r>
        <w:rPr>
          <w:rFonts w:hint="default" w:ascii="Times New Roman" w:hAnsi="Times New Roman" w:eastAsia="宋体" w:cs="Times New Roman"/>
          <w:i w:val="0"/>
          <w:iCs w:val="0"/>
          <w:sz w:val="24"/>
          <w:szCs w:val="48"/>
        </w:rPr>
        <w:fldChar w:fldCharType="begin"/>
      </w:r>
      <w:r>
        <w:rPr>
          <w:rFonts w:hint="default" w:ascii="Times New Roman" w:hAnsi="Times New Roman" w:eastAsia="宋体" w:cs="Times New Roman"/>
          <w:i w:val="0"/>
          <w:iCs w:val="0"/>
          <w:sz w:val="24"/>
          <w:szCs w:val="48"/>
        </w:rPr>
        <w:instrText xml:space="preserve"> HYPERLINK \l _Toc6943 </w:instrText>
      </w:r>
      <w:r>
        <w:rPr>
          <w:rFonts w:hint="default" w:ascii="Times New Roman" w:hAnsi="Times New Roman" w:eastAsia="宋体" w:cs="Times New Roman"/>
          <w:i w:val="0"/>
          <w:iCs w:val="0"/>
          <w:sz w:val="24"/>
          <w:szCs w:val="48"/>
        </w:rPr>
        <w:fldChar w:fldCharType="separate"/>
      </w:r>
      <w:r>
        <w:rPr>
          <w:rFonts w:hint="default" w:ascii="Times New Roman" w:hAnsi="Times New Roman" w:eastAsia="宋体" w:cs="Times New Roman"/>
          <w:i w:val="0"/>
          <w:iCs w:val="0"/>
          <w:sz w:val="24"/>
          <w:szCs w:val="36"/>
        </w:rPr>
        <w:t>7.</w:t>
      </w:r>
      <w:r>
        <w:rPr>
          <w:rFonts w:hint="default" w:ascii="Times New Roman" w:hAnsi="Times New Roman" w:eastAsia="宋体" w:cs="Times New Roman"/>
          <w:i w:val="0"/>
          <w:iCs w:val="0"/>
          <w:sz w:val="24"/>
          <w:szCs w:val="36"/>
          <w:lang w:val="en-US" w:eastAsia="zh-CN"/>
        </w:rPr>
        <w:t>3</w:t>
      </w:r>
      <w:r>
        <w:rPr>
          <w:rFonts w:hint="default" w:ascii="Times New Roman" w:hAnsi="Times New Roman" w:eastAsia="宋体" w:cs="Times New Roman"/>
          <w:i w:val="0"/>
          <w:iCs w:val="0"/>
          <w:sz w:val="24"/>
          <w:szCs w:val="36"/>
        </w:rPr>
        <w:t xml:space="preserve"> 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48"/>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pPr>
        <w:pStyle w:val="3"/>
        <w:adjustRightInd w:val="0"/>
        <w:snapToGrid w:val="0"/>
        <w:spacing w:line="500" w:lineRule="exact"/>
        <w:rPr>
          <w:rFonts w:ascii="宋体" w:hAnsi="宋体" w:eastAsia="宋体" w:cs="宋体"/>
          <w:sz w:val="24"/>
          <w:szCs w:val="24"/>
        </w:rPr>
      </w:pPr>
      <w:bookmarkStart w:id="3" w:name="_Toc26756"/>
      <w:bookmarkStart w:id="4" w:name="_Toc21200"/>
      <w:r>
        <w:rPr>
          <w:rFonts w:hint="eastAsia" w:ascii="宋体" w:hAnsi="宋体" w:eastAsia="宋体" w:cs="宋体"/>
          <w:sz w:val="24"/>
          <w:szCs w:val="24"/>
        </w:rPr>
        <w:t>1 前言</w:t>
      </w:r>
      <w:bookmarkEnd w:id="0"/>
      <w:bookmarkEnd w:id="3"/>
      <w:bookmarkEnd w:id="4"/>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eastAsiaTheme="minorEastAsia"/>
          <w:kern w:val="0"/>
          <w:sz w:val="24"/>
          <w:szCs w:val="24"/>
          <w:highlight w:val="none"/>
          <w:lang w:val="en-US" w:eastAsia="zh-CN"/>
        </w:rPr>
      </w:pPr>
      <w:r>
        <w:rPr>
          <w:rFonts w:hint="eastAsia" w:ascii="宋体" w:hAnsi="宋体" w:eastAsia="宋体" w:cs="宋体"/>
          <w:color w:val="auto"/>
          <w:kern w:val="0"/>
          <w:szCs w:val="28"/>
          <w:highlight w:val="none"/>
          <w:lang w:eastAsia="zh-CN"/>
        </w:rPr>
        <w:t>海安美延家居科技有限公司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美延家居</w:t>
      </w:r>
      <w:r>
        <w:rPr>
          <w:rFonts w:hint="eastAsia" w:ascii="宋体" w:hAnsi="宋体" w:eastAsia="宋体" w:cs="宋体"/>
          <w:color w:val="auto"/>
          <w:kern w:val="0"/>
          <w:szCs w:val="28"/>
          <w:highlight w:val="none"/>
        </w:rPr>
        <w:t>”）成立于</w:t>
      </w:r>
      <w:r>
        <w:rPr>
          <w:rFonts w:eastAsia="宋体"/>
          <w:bCs/>
          <w:color w:val="auto"/>
          <w:highlight w:val="none"/>
        </w:rPr>
        <w:t>20</w:t>
      </w:r>
      <w:r>
        <w:rPr>
          <w:rFonts w:hint="eastAsia" w:eastAsia="宋体"/>
          <w:bCs/>
          <w:color w:val="auto"/>
          <w:highlight w:val="none"/>
          <w:lang w:val="en-US" w:eastAsia="zh-CN"/>
        </w:rPr>
        <w:t>18</w:t>
      </w:r>
      <w:r>
        <w:rPr>
          <w:rFonts w:eastAsia="宋体"/>
          <w:bCs/>
          <w:color w:val="auto"/>
          <w:highlight w:val="none"/>
        </w:rPr>
        <w:t>年</w:t>
      </w:r>
      <w:r>
        <w:rPr>
          <w:rFonts w:hint="eastAsia" w:eastAsia="宋体"/>
          <w:bCs/>
          <w:color w:val="auto"/>
          <w:highlight w:val="none"/>
          <w:lang w:val="en-US" w:eastAsia="zh-CN"/>
        </w:rPr>
        <w:t>4</w:t>
      </w:r>
      <w:r>
        <w:rPr>
          <w:rFonts w:eastAsia="宋体"/>
          <w:bCs/>
          <w:color w:val="auto"/>
          <w:highlight w:val="none"/>
        </w:rPr>
        <w:t>月，</w:t>
      </w:r>
      <w:r>
        <w:rPr>
          <w:rFonts w:hint="eastAsia" w:eastAsia="宋体"/>
          <w:bCs/>
          <w:color w:val="auto"/>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海安市经济技术开发区姚池路21号1号楼</w:t>
      </w:r>
      <w:r>
        <w:rPr>
          <w:rFonts w:hint="eastAsia" w:eastAsia="宋体"/>
          <w:bCs/>
          <w:color w:val="auto"/>
          <w:highlight w:val="none"/>
          <w:lang w:val="en-US" w:eastAsia="zh-CN"/>
        </w:rPr>
        <w:t>，公司租赁尚品藤家具海安有限公司厂房，占地地面积1508平方米，建筑面积4525平方米，从事家具生产项目</w:t>
      </w:r>
      <w:r>
        <w:rPr>
          <w:rFonts w:hint="eastAsia" w:eastAsia="宋体"/>
          <w:bCs/>
          <w:color w:val="auto"/>
          <w:highlight w:val="none"/>
        </w:rPr>
        <w:t>。</w:t>
      </w:r>
      <w:bookmarkStart w:id="5" w:name="_Hlk51407346"/>
      <w:r>
        <w:rPr>
          <w:rFonts w:hint="eastAsia" w:cs="Times New Roman" w:eastAsiaTheme="minorEastAsia"/>
          <w:kern w:val="0"/>
          <w:sz w:val="24"/>
          <w:szCs w:val="24"/>
          <w:highlight w:val="none"/>
          <w:lang w:val="en-US" w:eastAsia="zh-CN"/>
        </w:rPr>
        <w:t>美延家居于</w:t>
      </w:r>
      <w:r>
        <w:rPr>
          <w:rFonts w:hint="default" w:ascii="Times New Roman" w:hAnsi="Times New Roman" w:cs="Times New Roman" w:eastAsiaTheme="minorEastAsia"/>
          <w:kern w:val="0"/>
          <w:sz w:val="24"/>
          <w:szCs w:val="24"/>
          <w:lang w:eastAsia="zh-CN"/>
        </w:rPr>
        <w:t>20</w:t>
      </w:r>
      <w:r>
        <w:rPr>
          <w:rFonts w:hint="eastAsia" w:ascii="Times New Roman" w:hAnsi="Times New Roman"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年</w:t>
      </w:r>
      <w:r>
        <w:rPr>
          <w:rFonts w:hint="eastAsia" w:ascii="Times New Roman" w:hAnsi="Times New Roman"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lang w:eastAsia="zh-CN"/>
        </w:rPr>
        <w:t>月委托</w:t>
      </w:r>
      <w:r>
        <w:rPr>
          <w:rFonts w:hint="eastAsia" w:ascii="Times New Roman" w:hAnsi="Times New Roman" w:cs="Times New Roman" w:eastAsiaTheme="minorEastAsia"/>
          <w:kern w:val="0"/>
          <w:sz w:val="24"/>
          <w:szCs w:val="24"/>
          <w:lang w:val="en-US" w:eastAsia="zh-CN"/>
        </w:rPr>
        <w:t>江苏叶萌环境技术有限公司</w:t>
      </w:r>
      <w:r>
        <w:rPr>
          <w:rFonts w:hint="default" w:ascii="Times New Roman" w:hAnsi="Times New Roman" w:cs="Times New Roman" w:eastAsiaTheme="minorEastAsia"/>
          <w:kern w:val="0"/>
          <w:sz w:val="24"/>
          <w:szCs w:val="24"/>
          <w:lang w:eastAsia="zh-CN"/>
        </w:rPr>
        <w:t>编制《</w:t>
      </w:r>
      <w:r>
        <w:rPr>
          <w:rFonts w:hint="eastAsia" w:ascii="Times New Roman" w:hAnsi="Times New Roman" w:cs="Times New Roman" w:eastAsiaTheme="minorEastAsia"/>
          <w:kern w:val="0"/>
          <w:sz w:val="24"/>
          <w:szCs w:val="24"/>
          <w:lang w:eastAsia="zh-CN"/>
        </w:rPr>
        <w:t>海安美延家居科技有限公司</w:t>
      </w:r>
      <w:r>
        <w:rPr>
          <w:rFonts w:hint="eastAsia" w:ascii="Times New Roman" w:hAnsi="Times New Roman" w:cs="Times New Roman" w:eastAsiaTheme="minorEastAsia"/>
          <w:kern w:val="0"/>
          <w:sz w:val="24"/>
          <w:szCs w:val="24"/>
          <w:lang w:val="en-US" w:eastAsia="zh-CN"/>
        </w:rPr>
        <w:t>家具制造项目</w:t>
      </w:r>
      <w:r>
        <w:rPr>
          <w:rFonts w:hint="default" w:ascii="Times New Roman" w:hAnsi="Times New Roman" w:cs="Times New Roman" w:eastAsiaTheme="minorEastAsia"/>
          <w:kern w:val="0"/>
          <w:sz w:val="24"/>
          <w:szCs w:val="24"/>
          <w:lang w:val="en-US" w:eastAsia="zh-CN"/>
        </w:rPr>
        <w:t>环境影响报告表</w:t>
      </w:r>
      <w:r>
        <w:rPr>
          <w:rFonts w:hint="default" w:ascii="Times New Roman" w:hAnsi="Times New Roman" w:cs="Times New Roman" w:eastAsiaTheme="minorEastAsia"/>
          <w:kern w:val="0"/>
          <w:sz w:val="24"/>
          <w:szCs w:val="24"/>
          <w:lang w:eastAsia="zh-CN"/>
        </w:rPr>
        <w:t>》，于20</w:t>
      </w:r>
      <w:r>
        <w:rPr>
          <w:rFonts w:hint="eastAsia" w:ascii="Times New Roman" w:hAnsi="Times New Roman"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年</w:t>
      </w:r>
      <w:r>
        <w:rPr>
          <w:rFonts w:hint="eastAsia" w:ascii="Times New Roman" w:hAnsi="Times New Roman" w:cs="Times New Roman" w:eastAsiaTheme="minorEastAsia"/>
          <w:kern w:val="0"/>
          <w:sz w:val="24"/>
          <w:szCs w:val="24"/>
          <w:lang w:val="en-US" w:eastAsia="zh-CN"/>
        </w:rPr>
        <w:t>12</w:t>
      </w:r>
      <w:r>
        <w:rPr>
          <w:rFonts w:hint="default" w:ascii="Times New Roman" w:hAnsi="Times New Roman" w:cs="Times New Roman" w:eastAsiaTheme="minorEastAsia"/>
          <w:kern w:val="0"/>
          <w:sz w:val="24"/>
          <w:szCs w:val="24"/>
          <w:lang w:eastAsia="zh-CN"/>
        </w:rPr>
        <w:t>月</w:t>
      </w:r>
      <w:r>
        <w:rPr>
          <w:rFonts w:hint="eastAsia" w:ascii="Times New Roman" w:hAnsi="Times New Roman" w:cs="Times New Roman" w:eastAsiaTheme="minorEastAsia"/>
          <w:kern w:val="0"/>
          <w:sz w:val="24"/>
          <w:szCs w:val="24"/>
          <w:lang w:val="en-US" w:eastAsia="zh-CN"/>
        </w:rPr>
        <w:t>10</w:t>
      </w:r>
      <w:r>
        <w:rPr>
          <w:rFonts w:hint="default" w:ascii="Times New Roman" w:hAnsi="Times New Roman" w:cs="Times New Roman" w:eastAsiaTheme="minorEastAsia"/>
          <w:kern w:val="0"/>
          <w:sz w:val="24"/>
          <w:szCs w:val="24"/>
          <w:lang w:eastAsia="zh-CN"/>
        </w:rPr>
        <w:t>日获得海安</w:t>
      </w:r>
      <w:r>
        <w:rPr>
          <w:rFonts w:hint="eastAsia" w:ascii="Times New Roman" w:hAnsi="Times New Roman" w:cs="Times New Roman" w:eastAsiaTheme="minorEastAsia"/>
          <w:kern w:val="0"/>
          <w:sz w:val="24"/>
          <w:szCs w:val="24"/>
          <w:lang w:val="en-US" w:eastAsia="zh-CN"/>
        </w:rPr>
        <w:t>市行政审批局</w:t>
      </w:r>
      <w:r>
        <w:rPr>
          <w:rFonts w:hint="default" w:ascii="Times New Roman" w:hAnsi="Times New Roman" w:cs="Times New Roman" w:eastAsiaTheme="minorEastAsia"/>
          <w:kern w:val="0"/>
          <w:sz w:val="24"/>
          <w:szCs w:val="24"/>
          <w:lang w:eastAsia="zh-CN"/>
        </w:rPr>
        <w:t>审批（</w:t>
      </w:r>
      <w:r>
        <w:rPr>
          <w:rFonts w:hint="default" w:ascii="Times New Roman" w:hAnsi="Times New Roman" w:cs="Times New Roman" w:eastAsiaTheme="minorEastAsia"/>
          <w:kern w:val="0"/>
          <w:sz w:val="24"/>
          <w:szCs w:val="24"/>
          <w:lang w:val="en-US" w:eastAsia="zh-CN"/>
        </w:rPr>
        <w:t>海</w:t>
      </w:r>
      <w:r>
        <w:rPr>
          <w:rFonts w:hint="eastAsia" w:ascii="Times New Roman" w:hAnsi="Times New Roman" w:cs="Times New Roman" w:eastAsiaTheme="minorEastAsia"/>
          <w:kern w:val="0"/>
          <w:sz w:val="24"/>
          <w:szCs w:val="24"/>
          <w:lang w:val="en-US" w:eastAsia="zh-CN"/>
        </w:rPr>
        <w:t>行审</w:t>
      </w:r>
      <w:r>
        <w:rPr>
          <w:rFonts w:hint="default" w:ascii="Times New Roman" w:hAnsi="Times New Roman" w:cs="Times New Roman" w:eastAsiaTheme="minorEastAsia"/>
          <w:kern w:val="0"/>
          <w:sz w:val="24"/>
          <w:szCs w:val="24"/>
          <w:lang w:eastAsia="zh-CN"/>
        </w:rPr>
        <w:t>〔20</w:t>
      </w:r>
      <w:r>
        <w:rPr>
          <w:rFonts w:hint="eastAsia" w:ascii="Times New Roman" w:hAnsi="Times New Roman"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w:t>
      </w:r>
      <w:r>
        <w:rPr>
          <w:rFonts w:hint="eastAsia" w:ascii="Times New Roman" w:hAnsi="Times New Roman" w:cs="Times New Roman" w:eastAsiaTheme="minorEastAsia"/>
          <w:kern w:val="0"/>
          <w:sz w:val="24"/>
          <w:szCs w:val="24"/>
          <w:lang w:val="en-US" w:eastAsia="zh-CN"/>
        </w:rPr>
        <w:t>541</w:t>
      </w:r>
      <w:r>
        <w:rPr>
          <w:rFonts w:hint="default" w:ascii="Times New Roman" w:hAnsi="Times New Roman" w:cs="Times New Roman" w:eastAsiaTheme="minorEastAsia"/>
          <w:kern w:val="0"/>
          <w:sz w:val="24"/>
          <w:szCs w:val="24"/>
          <w:lang w:eastAsia="zh-CN"/>
        </w:rPr>
        <w:t>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r>
        <w:rPr>
          <w:rFonts w:hint="eastAsia" w:cs="Times New Roman" w:eastAsiaTheme="minorEastAsia"/>
          <w:kern w:val="0"/>
          <w:sz w:val="24"/>
          <w:szCs w:val="24"/>
          <w:highlight w:val="none"/>
          <w:lang w:val="en-US" w:eastAsia="zh-CN"/>
        </w:rPr>
        <w:t>美延家居</w:t>
      </w:r>
      <w:r>
        <w:rPr>
          <w:rFonts w:hint="eastAsia" w:ascii="Times New Roman" w:hAnsi="Times New Roman" w:cs="Times New Roman" w:eastAsiaTheme="minorEastAsia"/>
          <w:kern w:val="0"/>
          <w:sz w:val="24"/>
          <w:szCs w:val="24"/>
          <w:highlight w:val="none"/>
          <w:lang w:val="en-US" w:eastAsia="zh-CN"/>
        </w:rPr>
        <w:t>现年产别墅套房家具 30 套。</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32</w:t>
      </w:r>
      <w:r>
        <w:rPr>
          <w:rFonts w:hint="default" w:ascii="Times New Roman" w:hAnsi="Times New Roman" w:cs="Times New Roman" w:eastAsiaTheme="minorEastAsia"/>
          <w:kern w:val="0"/>
          <w:sz w:val="24"/>
          <w:szCs w:val="24"/>
          <w:highlight w:val="none"/>
        </w:rPr>
        <w:t>人，全年运行</w:t>
      </w:r>
      <w:r>
        <w:rPr>
          <w:rFonts w:hint="eastAsia" w:ascii="Times New Roman" w:hAnsi="Times New Roman" w:cs="Times New Roman" w:eastAsiaTheme="minorEastAsia"/>
          <w:kern w:val="0"/>
          <w:sz w:val="24"/>
          <w:szCs w:val="24"/>
          <w:highlight w:val="none"/>
          <w:lang w:val="en-US" w:eastAsia="zh-CN"/>
        </w:rPr>
        <w:t>3</w:t>
      </w:r>
      <w:r>
        <w:rPr>
          <w:rFonts w:hint="eastAsia" w:cs="Times New Roman" w:eastAsiaTheme="minorEastAsia"/>
          <w:kern w:val="0"/>
          <w:sz w:val="24"/>
          <w:szCs w:val="24"/>
          <w:highlight w:val="none"/>
          <w:lang w:val="en-US" w:eastAsia="zh-CN"/>
        </w:rPr>
        <w:t>2</w:t>
      </w:r>
      <w:r>
        <w:rPr>
          <w:rFonts w:hint="eastAsia" w:ascii="Times New Roman" w:hAnsi="Times New Roman" w:cs="Times New Roman" w:eastAsiaTheme="minorEastAsia"/>
          <w:kern w:val="0"/>
          <w:sz w:val="24"/>
          <w:szCs w:val="24"/>
          <w:highlight w:val="none"/>
          <w:lang w:val="en-US" w:eastAsia="zh-CN"/>
        </w:rPr>
        <w:t>0</w:t>
      </w:r>
      <w:r>
        <w:rPr>
          <w:rFonts w:hint="default" w:ascii="Times New Roman" w:hAnsi="Times New Roman" w:cs="Times New Roman" w:eastAsiaTheme="minorEastAsia"/>
          <w:kern w:val="0"/>
          <w:sz w:val="24"/>
          <w:szCs w:val="24"/>
          <w:highlight w:val="none"/>
        </w:rPr>
        <w:t>天</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每班工作8小时，年产时数2560h/a</w:t>
      </w:r>
      <w:r>
        <w:rPr>
          <w:rFonts w:eastAsiaTheme="minorEastAsia"/>
          <w:color w:val="auto"/>
          <w:kern w:val="0"/>
          <w:highlight w:val="none"/>
        </w:rPr>
        <w:t>。</w:t>
      </w:r>
      <w:r>
        <w:rPr>
          <w:rFonts w:hint="eastAsia" w:cs="Times New Roman" w:eastAsiaTheme="minorEastAsia"/>
          <w:kern w:val="0"/>
          <w:sz w:val="24"/>
          <w:szCs w:val="24"/>
          <w:highlight w:val="none"/>
          <w:lang w:val="en-US" w:eastAsia="zh-CN"/>
        </w:rPr>
        <w:t>美延家居于2019年4月1日首次编制完成应急预案，并通过了南通市海安生态环境局备案，预案编号为320621-2019-307L，根据《企事业单位突发环境事件应急预案备案管理办法（试行）》要求至少每三年对环境应急预案进行一次回顾性评估，本次应急预案为修编</w:t>
      </w:r>
      <w:r>
        <w:rPr>
          <w:rFonts w:hint="eastAsia" w:ascii="Times New Roman" w:hAnsi="Times New Roman" w:cs="Times New Roman" w:eastAsiaTheme="minorEastAsia"/>
          <w:kern w:val="0"/>
          <w:sz w:val="24"/>
          <w:szCs w:val="24"/>
          <w:highlight w:val="none"/>
          <w:lang w:val="en-US" w:eastAsia="zh-CN"/>
        </w:rPr>
        <w:t>。</w:t>
      </w:r>
    </w:p>
    <w:bookmarkEnd w:id="5"/>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19219"/>
      <w:bookmarkStart w:id="7" w:name="_Toc18595"/>
      <w:r>
        <w:rPr>
          <w:rFonts w:eastAsia="宋体"/>
          <w:sz w:val="24"/>
          <w:szCs w:val="24"/>
        </w:rPr>
        <w:t>2 总则</w:t>
      </w:r>
      <w:bookmarkEnd w:id="6"/>
      <w:bookmarkEnd w:id="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8" w:name="_Toc19570"/>
      <w:bookmarkStart w:id="9" w:name="_Toc31464"/>
      <w:r>
        <w:rPr>
          <w:rFonts w:eastAsia="宋体"/>
          <w:sz w:val="24"/>
          <w:szCs w:val="24"/>
        </w:rPr>
        <w:t>2.1 编制原则</w:t>
      </w:r>
      <w:bookmarkEnd w:id="8"/>
      <w:bookmarkEnd w:id="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10" w:name="_Toc27964"/>
      <w:bookmarkStart w:id="11" w:name="_Toc1839"/>
      <w:r>
        <w:rPr>
          <w:rFonts w:eastAsia="宋体"/>
          <w:sz w:val="24"/>
          <w:szCs w:val="24"/>
        </w:rPr>
        <w:t>2.2 编制依据</w:t>
      </w:r>
      <w:bookmarkEnd w:id="10"/>
      <w:bookmarkEnd w:id="11"/>
    </w:p>
    <w:p>
      <w:pPr>
        <w:pStyle w:val="2"/>
        <w:adjustRightInd w:val="0"/>
        <w:snapToGrid w:val="0"/>
        <w:spacing w:line="500" w:lineRule="exact"/>
        <w:rPr>
          <w:rFonts w:eastAsia="宋体"/>
          <w:sz w:val="24"/>
          <w:szCs w:val="24"/>
        </w:rPr>
      </w:pPr>
      <w:bookmarkStart w:id="12" w:name="_Toc11371"/>
      <w:bookmarkStart w:id="13" w:name="_Toc28089"/>
      <w:r>
        <w:rPr>
          <w:rFonts w:eastAsia="宋体"/>
          <w:sz w:val="24"/>
          <w:szCs w:val="24"/>
        </w:rPr>
        <w:t>2.2.1 政策法规</w:t>
      </w:r>
      <w:bookmarkEnd w:id="12"/>
      <w:bookmarkEnd w:id="1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4"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5" w:name="_Hlk25619302"/>
      <w:r>
        <w:rPr>
          <w:rFonts w:eastAsia="宋体"/>
        </w:rPr>
        <w:t>20</w:t>
      </w:r>
      <w:r>
        <w:rPr>
          <w:rFonts w:hint="eastAsia" w:eastAsia="宋体"/>
          <w:lang w:val="en-US" w:eastAsia="zh-CN"/>
        </w:rPr>
        <w:t>21年4月29日</w:t>
      </w:r>
      <w:bookmarkEnd w:id="15"/>
      <w:r>
        <w:rPr>
          <w:rFonts w:hint="eastAsia" w:eastAsia="宋体"/>
          <w:lang w:val="en-US" w:eastAsia="zh-CN"/>
        </w:rPr>
        <w:t>第三次修正</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2021年12月24日通过修改，2022年6月5日起实施</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6" w:name="_Toc1162"/>
      <w:bookmarkStart w:id="17" w:name="_Toc512608511"/>
      <w:bookmarkStart w:id="18" w:name="_Toc3846"/>
      <w:r>
        <w:rPr>
          <w:rFonts w:eastAsia="宋体"/>
        </w:rPr>
        <w:t>2.2.2 标准规范</w:t>
      </w:r>
      <w:bookmarkEnd w:id="14"/>
      <w:bookmarkEnd w:id="16"/>
      <w:bookmarkEnd w:id="17"/>
      <w:bookmarkEnd w:id="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9"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9"/>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 xml:space="preserve">《危险化学品安全管理条例》（国务院令第591号）；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w:t>
      </w:r>
    </w:p>
    <w:p>
      <w:pPr>
        <w:pStyle w:val="2"/>
        <w:adjustRightInd w:val="0"/>
        <w:snapToGrid w:val="0"/>
        <w:spacing w:line="500" w:lineRule="exact"/>
        <w:rPr>
          <w:rFonts w:eastAsia="宋体"/>
        </w:rPr>
      </w:pPr>
      <w:bookmarkStart w:id="20" w:name="_Toc1853"/>
      <w:bookmarkStart w:id="21" w:name="_Toc3109"/>
      <w:r>
        <w:rPr>
          <w:rFonts w:eastAsia="宋体"/>
        </w:rPr>
        <w:t>2.2.3 其他文件</w:t>
      </w:r>
      <w:bookmarkEnd w:id="20"/>
      <w:bookmarkEnd w:id="2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cs="Times New Roman" w:eastAsiaTheme="minorEastAsia"/>
          <w:kern w:val="0"/>
          <w:lang w:val="en-US" w:eastAsia="zh-CN"/>
        </w:rPr>
        <w:t>海安美延家居科技有限公司</w:t>
      </w:r>
      <w:r>
        <w:rPr>
          <w:rFonts w:hint="default" w:ascii="Times New Roman" w:hAnsi="Times New Roman" w:cs="Times New Roman" w:eastAsiaTheme="minorEastAsia"/>
          <w:kern w:val="0"/>
          <w:lang w:val="en-US" w:eastAsia="zh-CN"/>
        </w:rPr>
        <w:t>其他文件资料。</w:t>
      </w:r>
    </w:p>
    <w:p>
      <w:pPr>
        <w:pStyle w:val="4"/>
        <w:adjustRightInd w:val="0"/>
        <w:snapToGrid w:val="0"/>
        <w:spacing w:line="500" w:lineRule="exact"/>
        <w:rPr>
          <w:rFonts w:hint="default" w:ascii="Times New Roman" w:hAnsi="Times New Roman" w:eastAsia="宋体" w:cs="Times New Roman"/>
          <w:sz w:val="24"/>
          <w:szCs w:val="24"/>
        </w:rPr>
      </w:pPr>
      <w:bookmarkStart w:id="22" w:name="_Toc20254"/>
      <w:bookmarkStart w:id="23" w:name="_Toc31986"/>
      <w:r>
        <w:rPr>
          <w:rFonts w:hint="default" w:ascii="Times New Roman" w:hAnsi="Times New Roman" w:eastAsia="宋体" w:cs="Times New Roman"/>
          <w:sz w:val="24"/>
          <w:szCs w:val="24"/>
        </w:rPr>
        <w:t>2.3 评估范围</w:t>
      </w:r>
      <w:bookmarkEnd w:id="22"/>
      <w:bookmarkEnd w:id="23"/>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海安美延家居科技有限公司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24" w:name="_Toc7104"/>
      <w:bookmarkStart w:id="25"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24"/>
      <w:bookmarkEnd w:id="2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海安美延家居科技有限公司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26" w:name="_Toc19560"/>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26"/>
    </w:p>
    <w:p>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27"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default" w:ascii="Times New Roman" w:hAnsi="Times New Roman" w:eastAsia="宋体" w:cs="Times New Roman"/>
          <w:sz w:val="24"/>
          <w:szCs w:val="24"/>
        </w:rPr>
        <w:t xml:space="preserve"> </w:t>
      </w:r>
      <w:r>
        <w:rPr>
          <w:rFonts w:hint="eastAsia" w:eastAsia="宋体" w:cs="Times New Roman"/>
          <w:color w:val="000000" w:themeColor="text1"/>
          <w:sz w:val="24"/>
          <w:szCs w:val="24"/>
          <w:lang w:val="en-US" w:eastAsia="zh-CN"/>
          <w14:textFill>
            <w14:solidFill>
              <w14:schemeClr w14:val="tx1"/>
            </w14:solidFill>
          </w14:textFill>
        </w:rPr>
        <w:t>术语与定义</w:t>
      </w:r>
      <w:bookmarkEnd w:id="27"/>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 P 与事故造成的环境（或健康）后果C的乘积，用R表示。</w:t>
      </w:r>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pPr>
        <w:pStyle w:val="33"/>
        <w:adjustRightInd w:val="0"/>
        <w:snapToGrid w:val="0"/>
        <w:spacing w:before="0" w:beforeAutospacing="0" w:after="0" w:afterAutospacing="0" w:line="500" w:lineRule="exact"/>
        <w:ind w:left="881" w:firstLine="480" w:firstLineChars="200"/>
        <w:rPr>
          <w:rFonts w:ascii="Times New Roman" w:hAnsi="Times New Roman" w:eastAsia="宋体"/>
          <w:color w:val="000000" w:themeColor="text1"/>
          <w14:textFill>
            <w14:solidFill>
              <w14:schemeClr w14:val="tx1"/>
            </w14:solidFill>
          </w14:textFill>
        </w:rPr>
      </w:pPr>
    </w:p>
    <w:p>
      <w:p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28" w:name="_Toc18151"/>
      <w:bookmarkStart w:id="29" w:name="_Toc12045"/>
      <w:r>
        <w:rPr>
          <w:rFonts w:hint="default" w:ascii="Times New Roman" w:hAnsi="Times New Roman" w:eastAsia="宋体" w:cs="Times New Roman"/>
          <w:sz w:val="24"/>
          <w:szCs w:val="24"/>
        </w:rPr>
        <w:t>3 资料准备与环境风险识别</w:t>
      </w:r>
      <w:bookmarkEnd w:id="28"/>
      <w:bookmarkEnd w:id="29"/>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0" w:name="_Toc16038"/>
      <w:bookmarkStart w:id="31" w:name="_Toc28482"/>
      <w:r>
        <w:rPr>
          <w:rFonts w:hint="default" w:ascii="Times New Roman" w:hAnsi="Times New Roman" w:eastAsia="宋体" w:cs="Times New Roman"/>
          <w:sz w:val="24"/>
          <w:szCs w:val="24"/>
        </w:rPr>
        <w:t>3.1 企业基本信息</w:t>
      </w:r>
      <w:bookmarkEnd w:id="30"/>
      <w:bookmarkEnd w:id="31"/>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30507"/>
      <w:bookmarkStart w:id="33" w:name="_Toc2782"/>
      <w:r>
        <w:rPr>
          <w:rFonts w:hint="default" w:ascii="Times New Roman" w:hAnsi="Times New Roman" w:eastAsia="宋体" w:cs="Times New Roman"/>
          <w:sz w:val="24"/>
          <w:szCs w:val="24"/>
        </w:rPr>
        <w:t>3.1.1企业概况</w:t>
      </w:r>
      <w:bookmarkEnd w:id="32"/>
      <w:bookmarkEnd w:id="3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海安美延家居科技有限公司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18</w:t>
      </w:r>
      <w:r>
        <w:rPr>
          <w:rFonts w:hint="eastAsia" w:eastAsia="宋体"/>
          <w:bCs/>
          <w:color w:val="000000"/>
          <w:highlight w:val="none"/>
          <w:lang w:eastAsia="zh-CN"/>
        </w:rPr>
        <w:t>年</w:t>
      </w:r>
      <w:r>
        <w:rPr>
          <w:rFonts w:hint="eastAsia" w:eastAsia="宋体"/>
          <w:bCs/>
          <w:color w:val="000000"/>
          <w:highlight w:val="none"/>
          <w:lang w:val="en-US" w:eastAsia="zh-CN"/>
        </w:rPr>
        <w:t>4</w:t>
      </w:r>
      <w:r>
        <w:rPr>
          <w:rFonts w:hint="eastAsia" w:eastAsia="宋体"/>
          <w:bCs/>
          <w:color w:val="000000"/>
          <w:highlight w:val="none"/>
          <w:lang w:eastAsia="zh-CN"/>
        </w:rPr>
        <w:t>月</w:t>
      </w:r>
      <w:r>
        <w:rPr>
          <w:rFonts w:eastAsia="宋体"/>
          <w:bCs/>
          <w:color w:val="000000"/>
          <w:highlight w:val="none"/>
        </w:rPr>
        <w:t>，</w:t>
      </w:r>
      <w:r>
        <w:rPr>
          <w:rFonts w:hint="default" w:ascii="Times New Roman" w:hAnsi="Times New Roman" w:cs="Times New Roman" w:eastAsiaTheme="minorEastAsia"/>
          <w:color w:val="auto"/>
          <w:kern w:val="0"/>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海安市经济技术开发区姚池路21号1号楼</w:t>
      </w:r>
      <w:r>
        <w:rPr>
          <w:rFonts w:hint="default" w:ascii="Times New Roman" w:hAnsi="Times New Roman" w:cs="Times New Roman" w:eastAsiaTheme="minorEastAsia"/>
          <w:color w:val="auto"/>
          <w:kern w:val="0"/>
          <w:sz w:val="24"/>
          <w:szCs w:val="24"/>
          <w:highlight w:val="none"/>
          <w:lang w:val="en-US" w:eastAsia="zh-CN"/>
        </w:rPr>
        <w:t>，租赁尚品藤家具海安有限公司厂房</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eastAsia="宋体"/>
          <w:bCs/>
          <w:color w:val="auto"/>
          <w:highlight w:val="none"/>
          <w:lang w:val="en-US" w:eastAsia="zh-CN"/>
        </w:rPr>
        <w:t>家具</w:t>
      </w:r>
      <w:r>
        <w:rPr>
          <w:rFonts w:hint="eastAsia" w:cs="Times New Roman" w:eastAsiaTheme="minorEastAsia"/>
          <w:kern w:val="0"/>
          <w:sz w:val="24"/>
          <w:szCs w:val="24"/>
          <w:highlight w:val="none"/>
          <w:lang w:val="en-US" w:eastAsia="zh-CN"/>
        </w:rPr>
        <w:t>生产</w:t>
      </w:r>
      <w:r>
        <w:rPr>
          <w:rFonts w:eastAsia="宋体"/>
          <w:bCs/>
          <w:color w:val="000000"/>
          <w:highlight w:val="none"/>
        </w:rPr>
        <w:t>的企业。</w:t>
      </w:r>
      <w:r>
        <w:rPr>
          <w:rFonts w:hint="eastAsia" w:eastAsia="宋体"/>
          <w:bCs/>
          <w:color w:val="000000"/>
          <w:highlight w:val="none"/>
          <w:lang w:eastAsia="zh-CN"/>
        </w:rPr>
        <w:t>美延家居</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eastAsia="宋体" w:cs="Times New Roman"/>
          <w:color w:val="000000" w:themeColor="text1"/>
          <w:kern w:val="2"/>
          <w:sz w:val="24"/>
          <w:szCs w:val="24"/>
          <w:lang w:val="en-US" w:eastAsia="zh-CN" w:bidi="ar-SA"/>
          <w14:textFill>
            <w14:solidFill>
              <w14:schemeClr w14:val="tx1"/>
            </w14:solidFill>
          </w14:textFill>
        </w:rPr>
        <w:t>1508</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w:t>
      </w:r>
      <w:r>
        <w:rPr>
          <w:rFonts w:hint="eastAsia" w:eastAsia="宋体" w:cs="Times New Roman"/>
          <w:color w:val="000000" w:themeColor="text1"/>
          <w:kern w:val="2"/>
          <w:sz w:val="24"/>
          <w:szCs w:val="24"/>
          <w:lang w:val="en-US" w:eastAsia="zh-CN" w:bidi="ar-SA"/>
          <w14:textFill>
            <w14:solidFill>
              <w14:schemeClr w14:val="tx1"/>
            </w14:solidFill>
          </w14:textFill>
        </w:rPr>
        <w:t>建筑面积4525平方米，</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职工</w:t>
      </w:r>
      <w:r>
        <w:rPr>
          <w:rFonts w:hint="eastAsia" w:eastAsia="宋体" w:cs="Times New Roman"/>
          <w:color w:val="auto"/>
          <w:kern w:val="2"/>
          <w:sz w:val="24"/>
          <w:szCs w:val="24"/>
          <w:lang w:val="en-US" w:eastAsia="zh-CN" w:bidi="ar-SA"/>
        </w:rPr>
        <w:t>32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年工作3</w:t>
      </w:r>
      <w:r>
        <w:rPr>
          <w:rFonts w:hint="eastAsia" w:eastAsia="宋体" w:cs="Times New Roman"/>
          <w:color w:val="000000" w:themeColor="text1"/>
          <w:kern w:val="2"/>
          <w:sz w:val="24"/>
          <w:szCs w:val="24"/>
          <w:lang w:val="en-US" w:eastAsia="zh-CN" w:bidi="ar-SA"/>
          <w14:textFill>
            <w14:solidFill>
              <w14:schemeClr w14:val="tx1"/>
            </w14:solidFill>
          </w14:textFill>
        </w:rPr>
        <w:t>20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单</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班制，每班工作8小时，年生产时数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2560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美延家居</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海安美延家居科技有限公司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海安市经济技术开发区姚池路21号1号楼</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经济技术开发区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城东镇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戴韦</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三丰村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hAnsi="Times New Roman" w:cs="Times New Roman"/>
                <w:sz w:val="21"/>
                <w:szCs w:val="21"/>
              </w:rPr>
              <w:t>91320621MA1WDQ4T2P</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1508m</w:t>
            </w:r>
            <w:r>
              <w:rPr>
                <w:rFonts w:hint="eastAsia" w:ascii="Times New Roman" w:cs="仿宋_GB2312"/>
                <w:kern w:val="0"/>
                <w:sz w:val="21"/>
                <w:szCs w:val="24"/>
                <w:highlight w:val="none"/>
                <w:vertAlign w:val="superscript"/>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default" w:ascii="Times New Roman" w:eastAsia="宋体" w:cs="Times New Roman"/>
                <w:sz w:val="21"/>
                <w:szCs w:val="21"/>
                <w:highlight w:val="none"/>
                <w:lang w:val="en-US" w:eastAsia="zh-CN"/>
              </w:rPr>
              <w:t>13636638655</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4525m</w:t>
            </w:r>
            <w:r>
              <w:rPr>
                <w:rFonts w:hint="eastAsia" w:ascii="Times New Roman" w:cs="仿宋_GB2312"/>
                <w:kern w:val="0"/>
                <w:sz w:val="21"/>
                <w:szCs w:val="24"/>
                <w:highlight w:val="none"/>
                <w:vertAlign w:val="superscript"/>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32</w:t>
            </w:r>
            <w:r>
              <w:rPr>
                <w:rFonts w:hint="eastAsia" w:asci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木材、水性漆等</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C2110 木质家具制造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E</w:t>
            </w:r>
            <w:r>
              <w:rPr>
                <w:rFonts w:hint="eastAsia" w:ascii="Times New Roman" w:hAnsi="Times New Roman" w:cs="Times New Roman"/>
                <w:sz w:val="21"/>
                <w:szCs w:val="21"/>
              </w:rPr>
              <w:t>120.54400</w:t>
            </w:r>
            <w:r>
              <w:rPr>
                <w:rFonts w:hint="eastAsia" w:ascii="Times New Roman" w:hAnsi="Times New Roman" w:cs="Times New Roman"/>
                <w:sz w:val="21"/>
                <w:szCs w:val="21"/>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b w:val="0"/>
                <w:bCs w:val="0"/>
                <w:color w:val="000000"/>
                <w:sz w:val="21"/>
                <w:szCs w:val="21"/>
                <w:lang w:val="en-US" w:eastAsia="zh-CN"/>
              </w:rPr>
              <w:t>戴韦</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N</w:t>
            </w:r>
            <w:r>
              <w:rPr>
                <w:rFonts w:hint="eastAsia" w:ascii="Times New Roman" w:hAnsi="Times New Roman" w:cs="Times New Roman"/>
                <w:sz w:val="21"/>
                <w:szCs w:val="21"/>
              </w:rPr>
              <w:t>32.555411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eastAsia="宋体" w:cs="Times New Roman"/>
                <w:sz w:val="21"/>
                <w:szCs w:val="21"/>
                <w:highlight w:val="none"/>
                <w:lang w:val="en-US" w:eastAsia="zh-CN"/>
              </w:rPr>
              <w:t>13636638655</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 xml:space="preserve">表3-2 </w:t>
      </w:r>
      <w:r>
        <w:rPr>
          <w:rFonts w:hint="eastAsia" w:eastAsia="宋体" w:cs="Times New Roman"/>
          <w:b/>
          <w:szCs w:val="28"/>
          <w:lang w:val="en-US" w:eastAsia="zh-CN"/>
        </w:rPr>
        <w:t>环评收情况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eastAsia="zh-CN"/>
              </w:rPr>
              <w:t>海安美延家居科技有限公司</w:t>
            </w:r>
            <w:r>
              <w:rPr>
                <w:rFonts w:hint="eastAsia" w:eastAsia="宋体"/>
                <w:sz w:val="21"/>
                <w:szCs w:val="21"/>
                <w:highlight w:val="none"/>
                <w:lang w:val="en-US" w:eastAsia="zh-CN"/>
              </w:rPr>
              <w:t>家具制造</w:t>
            </w:r>
            <w:r>
              <w:rPr>
                <w:rFonts w:hint="eastAsia" w:eastAsia="宋体"/>
                <w:sz w:val="21"/>
                <w:szCs w:val="21"/>
                <w:highlight w:val="none"/>
              </w:rPr>
              <w:t>项目</w:t>
            </w:r>
          </w:p>
        </w:tc>
        <w:tc>
          <w:tcPr>
            <w:tcW w:w="1117" w:type="pct"/>
            <w:tcBorders>
              <w:tl2br w:val="nil"/>
              <w:tr2bl w:val="nil"/>
            </w:tcBorders>
            <w:shd w:val="clear" w:color="auto" w:fill="auto"/>
            <w:vAlign w:val="center"/>
          </w:tcPr>
          <w:p>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6" w:type="pct"/>
            <w:tcBorders>
              <w:tl2br w:val="nil"/>
              <w:tr2bl w:val="nil"/>
            </w:tcBorders>
            <w:shd w:val="clear" w:color="auto" w:fill="auto"/>
            <w:vAlign w:val="center"/>
          </w:tcPr>
          <w:p>
            <w:pPr>
              <w:widowControl/>
              <w:adjustRightInd w:val="0"/>
              <w:snapToGrid w:val="0"/>
              <w:jc w:val="center"/>
              <w:rPr>
                <w:rFonts w:hint="eastAsia" w:eastAsia="宋体"/>
                <w:sz w:val="21"/>
                <w:szCs w:val="21"/>
                <w:highlight w:val="none"/>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w:t>
            </w:r>
            <w:r>
              <w:rPr>
                <w:rFonts w:hint="eastAsia" w:eastAsia="宋体"/>
                <w:sz w:val="21"/>
                <w:szCs w:val="21"/>
                <w:highlight w:val="none"/>
                <w:lang w:eastAsia="zh-CN"/>
              </w:rPr>
              <w:t>〔20</w:t>
            </w:r>
            <w:r>
              <w:rPr>
                <w:rFonts w:hint="eastAsia" w:eastAsia="宋体"/>
                <w:sz w:val="21"/>
                <w:szCs w:val="21"/>
                <w:highlight w:val="none"/>
                <w:lang w:val="en-US" w:eastAsia="zh-CN"/>
              </w:rPr>
              <w:t>20</w:t>
            </w:r>
            <w:r>
              <w:rPr>
                <w:rFonts w:hint="eastAsia" w:eastAsia="宋体"/>
                <w:sz w:val="21"/>
                <w:szCs w:val="21"/>
                <w:highlight w:val="none"/>
                <w:lang w:eastAsia="zh-CN"/>
              </w:rPr>
              <w:t>〕</w:t>
            </w:r>
            <w:r>
              <w:rPr>
                <w:rFonts w:hint="eastAsia" w:eastAsia="宋体"/>
                <w:sz w:val="21"/>
                <w:szCs w:val="21"/>
                <w:highlight w:val="none"/>
                <w:lang w:val="en-US" w:eastAsia="zh-CN"/>
              </w:rPr>
              <w:t>541</w:t>
            </w:r>
            <w:r>
              <w:rPr>
                <w:rFonts w:hint="eastAsia" w:eastAsia="宋体"/>
                <w:sz w:val="21"/>
                <w:szCs w:val="21"/>
                <w:highlight w:val="none"/>
                <w:lang w:eastAsia="zh-CN"/>
              </w:rPr>
              <w:t>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34" w:name="_Toc496887104"/>
      <w:bookmarkStart w:id="35" w:name="_Toc16237"/>
      <w:bookmarkStart w:id="36" w:name="_Toc12964"/>
      <w:bookmarkStart w:id="37" w:name="_Toc510092931"/>
      <w:r>
        <w:rPr>
          <w:rFonts w:hint="default" w:ascii="Times New Roman" w:hAnsi="Times New Roman" w:eastAsia="宋体" w:cs="Times New Roman"/>
        </w:rPr>
        <w:t>3.1.2自然环境</w:t>
      </w:r>
      <w:bookmarkEnd w:id="34"/>
      <w:bookmarkEnd w:id="35"/>
      <w:bookmarkEnd w:id="36"/>
      <w:bookmarkEnd w:id="37"/>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爱民三号河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生活废水排入，污染较重的</w:t>
      </w:r>
      <w:r>
        <w:rPr>
          <w:rFonts w:hint="eastAsia" w:eastAsia="宋体"/>
          <w:lang w:eastAsia="zh-CN"/>
        </w:rPr>
        <w:t>爱民三号河</w:t>
      </w:r>
      <w:r>
        <w:rPr>
          <w:rFonts w:eastAsia="宋体"/>
        </w:rPr>
        <w:t>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爱民三号河</w:t>
      </w:r>
      <w:r>
        <w:rPr>
          <w:rFonts w:eastAsia="宋体"/>
          <w:kern w:val="0"/>
        </w:rPr>
        <w:t>的补水河，水流方向基本由南向北，沿河工业污染源较少。如海运河、焦港河主要功能为工业和农业用水。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爱民三号河</w:t>
      </w:r>
      <w:r>
        <w:rPr>
          <w:rFonts w:eastAsia="宋体"/>
        </w:rPr>
        <w:t>——通榆运河，新</w:t>
      </w:r>
      <w:r>
        <w:rPr>
          <w:rFonts w:hint="eastAsia" w:eastAsia="宋体"/>
          <w:lang w:eastAsia="zh-CN"/>
        </w:rPr>
        <w:t>爱民三号河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爱民三号河</w:t>
      </w:r>
      <w:r>
        <w:rPr>
          <w:rFonts w:eastAsia="宋体"/>
        </w:rPr>
        <w:t>——通榆运河是海安境内主要水路交通通道，同时也是海安境内工业、农业、城镇饮用水源。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38" w:name="_Toc24036"/>
      <w:bookmarkStart w:id="39" w:name="_Toc510092932"/>
      <w:bookmarkStart w:id="40" w:name="_Toc496887105"/>
      <w:bookmarkStart w:id="41" w:name="_Toc23991"/>
      <w:r>
        <w:rPr>
          <w:rFonts w:hint="default" w:ascii="Times New Roman" w:hAnsi="Times New Roman" w:eastAsia="宋体" w:cs="Times New Roman"/>
        </w:rPr>
        <w:t>3.1.3环境功能区划及环境质量</w:t>
      </w:r>
      <w:bookmarkEnd w:id="38"/>
      <w:bookmarkEnd w:id="39"/>
      <w:bookmarkEnd w:id="40"/>
      <w:bookmarkEnd w:id="41"/>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美延家居</w:t>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美延家居</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4930" w:type="dxa"/>
            <w:vMerge w:val="restart"/>
            <w:tcBorders>
              <w:tl2br w:val="nil"/>
              <w:tr2bl w:val="nil"/>
            </w:tcBorders>
            <w:vAlign w:val="center"/>
          </w:tcPr>
          <w:p>
            <w:pPr>
              <w:adjustRightInd w:val="0"/>
              <w:snapToGrid w:val="0"/>
              <w:jc w:val="left"/>
              <w:rPr>
                <w:rFonts w:eastAsia="宋体"/>
                <w:sz w:val="21"/>
                <w:szCs w:val="21"/>
              </w:rPr>
            </w:pPr>
            <w:r>
              <w:rPr>
                <w:rFonts w:eastAsia="宋体"/>
                <w:sz w:val="21"/>
                <w:szCs w:val="21"/>
              </w:rPr>
              <w:t>《地表水环境质量标准》（GB 3838-2002）</w:t>
            </w:r>
            <w:r>
              <w:rPr>
                <w:rFonts w:hint="default" w:eastAsia="宋体"/>
                <w:sz w:val="21"/>
                <w:szCs w:val="21"/>
                <w:lang w:val="en-US"/>
              </w:rPr>
              <w:t>Ⅲ</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0"/>
              <w:spacing w:line="240" w:lineRule="auto"/>
              <w:ind w:left="0" w:leftChars="0" w:right="0" w:rightChars="0"/>
              <w:jc w:val="center"/>
            </w:pPr>
          </w:p>
        </w:tc>
        <w:tc>
          <w:tcPr>
            <w:tcW w:w="2770" w:type="dxa"/>
            <w:tcBorders>
              <w:tl2br w:val="nil"/>
              <w:tr2bl w:val="nil"/>
            </w:tcBorders>
            <w:vAlign w:val="center"/>
          </w:tcPr>
          <w:p>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爱民三号河</w:t>
            </w:r>
          </w:p>
        </w:tc>
        <w:tc>
          <w:tcPr>
            <w:tcW w:w="4930" w:type="dxa"/>
            <w:vMerge w:val="continue"/>
            <w:tcBorders>
              <w:tl2br w:val="nil"/>
              <w:tr2bl w:val="nil"/>
            </w:tcBorders>
            <w:vAlign w:val="center"/>
          </w:tcPr>
          <w:p>
            <w:pPr>
              <w:pStyle w:val="140"/>
              <w:spacing w:line="240" w:lineRule="auto"/>
              <w:ind w:left="0" w:leftChars="0" w:right="0" w:right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0"/>
              <w:spacing w:line="240" w:lineRule="auto"/>
              <w:ind w:left="0" w:leftChars="0" w:right="0" w:rightChars="0"/>
              <w:jc w:val="center"/>
              <w:rPr>
                <w:sz w:val="21"/>
              </w:rPr>
            </w:pPr>
          </w:p>
        </w:tc>
        <w:tc>
          <w:tcPr>
            <w:tcW w:w="2770" w:type="dxa"/>
            <w:tcBorders>
              <w:tl2br w:val="nil"/>
              <w:tr2bl w:val="nil"/>
            </w:tcBorders>
            <w:vAlign w:val="center"/>
          </w:tcPr>
          <w:p>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春风河</w:t>
            </w:r>
          </w:p>
        </w:tc>
        <w:tc>
          <w:tcPr>
            <w:tcW w:w="4930" w:type="dxa"/>
            <w:vMerge w:val="continue"/>
            <w:tcBorders>
              <w:tl2br w:val="nil"/>
              <w:tr2bl w:val="nil"/>
            </w:tcBorders>
            <w:vAlign w:val="center"/>
          </w:tcPr>
          <w:p>
            <w:pPr>
              <w:pStyle w:val="140"/>
              <w:spacing w:line="240" w:lineRule="auto"/>
              <w:ind w:left="0" w:leftChars="0" w:right="0" w:right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0"/>
              <w:spacing w:line="240" w:lineRule="auto"/>
              <w:ind w:left="0" w:leftChars="0" w:right="0" w:rightChars="0"/>
              <w:jc w:val="center"/>
              <w:rPr>
                <w:sz w:val="21"/>
              </w:rPr>
            </w:pPr>
          </w:p>
        </w:tc>
        <w:tc>
          <w:tcPr>
            <w:tcW w:w="2770" w:type="dxa"/>
            <w:tcBorders>
              <w:tl2br w:val="nil"/>
              <w:tr2bl w:val="nil"/>
            </w:tcBorders>
            <w:vAlign w:val="center"/>
          </w:tcPr>
          <w:p>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栟茶运河</w:t>
            </w:r>
          </w:p>
        </w:tc>
        <w:tc>
          <w:tcPr>
            <w:tcW w:w="4930" w:type="dxa"/>
            <w:vMerge w:val="continue"/>
            <w:tcBorders>
              <w:tl2br w:val="nil"/>
              <w:tr2bl w:val="nil"/>
            </w:tcBorders>
            <w:vAlign w:val="center"/>
          </w:tcPr>
          <w:p>
            <w:pPr>
              <w:pStyle w:val="140"/>
              <w:spacing w:line="240" w:lineRule="auto"/>
              <w:ind w:left="0" w:leftChars="0" w:right="0" w:right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0"/>
              <w:spacing w:line="240" w:lineRule="auto"/>
              <w:ind w:left="0" w:leftChars="0" w:right="0" w:rightChars="0"/>
              <w:jc w:val="center"/>
              <w:rPr>
                <w:sz w:val="21"/>
              </w:rPr>
            </w:pPr>
          </w:p>
        </w:tc>
        <w:tc>
          <w:tcPr>
            <w:tcW w:w="2770" w:type="dxa"/>
            <w:tcBorders>
              <w:tl2br w:val="nil"/>
              <w:tr2bl w:val="nil"/>
            </w:tcBorders>
            <w:vAlign w:val="center"/>
          </w:tcPr>
          <w:p>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pPr>
              <w:pStyle w:val="140"/>
              <w:spacing w:line="240" w:lineRule="auto"/>
              <w:ind w:left="0" w:leftChars="0" w:right="0" w:rightChars="0"/>
              <w:jc w:val="center"/>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tcBorders>
              <w:tl2br w:val="nil"/>
              <w:tr2bl w:val="nil"/>
            </w:tcBorders>
            <w:vAlign w:val="center"/>
          </w:tcPr>
          <w:p>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pPr>
              <w:pStyle w:val="140"/>
              <w:rPr>
                <w:rFonts w:hint="default" w:ascii="Times New Roman" w:hAnsi="宋体" w:eastAsia="宋体" w:cs="宋体"/>
                <w:kern w:val="2"/>
                <w:sz w:val="20"/>
                <w:szCs w:val="24"/>
                <w:lang w:val="en-US" w:eastAsia="zh-CN" w:bidi="ar-SA"/>
              </w:rPr>
            </w:pPr>
            <w:r>
              <w:rPr>
                <w:rFonts w:hint="default" w:ascii="Times New Roman" w:hAnsi="宋体" w:eastAsia="宋体" w:cs="宋体"/>
                <w:kern w:val="2"/>
                <w:sz w:val="20"/>
                <w:szCs w:val="24"/>
                <w:lang w:val="en-US" w:eastAsia="zh-CN" w:bidi="ar-SA"/>
              </w:rPr>
              <w:t>海安县境内新通扬、通榆运河及两岸各1000 米</w:t>
            </w:r>
          </w:p>
        </w:tc>
        <w:tc>
          <w:tcPr>
            <w:tcW w:w="4930" w:type="dxa"/>
            <w:tcBorders>
              <w:tl2br w:val="nil"/>
              <w:tr2bl w:val="nil"/>
            </w:tcBorders>
            <w:vAlign w:val="center"/>
          </w:tcPr>
          <w:p>
            <w:pPr>
              <w:adjustRightInd w:val="0"/>
              <w:snapToGrid w:val="0"/>
              <w:jc w:val="left"/>
              <w:rPr>
                <w:rFonts w:eastAsia="宋体"/>
                <w:sz w:val="21"/>
                <w:szCs w:val="21"/>
              </w:rPr>
            </w:pPr>
            <w:r>
              <w:rPr>
                <w:rFonts w:hint="eastAsia" w:eastAsia="宋体"/>
                <w:sz w:val="21"/>
                <w:szCs w:val="21"/>
                <w:lang w:val="en-US" w:eastAsia="zh-CN"/>
              </w:rPr>
              <w:t>水源水质保护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tcBorders>
              <w:tl2br w:val="nil"/>
              <w:tr2bl w:val="nil"/>
            </w:tcBorders>
            <w:vAlign w:val="center"/>
          </w:tcPr>
          <w:p>
            <w:pPr>
              <w:pStyle w:val="140"/>
              <w:spacing w:before="0" w:line="240" w:lineRule="auto"/>
              <w:ind w:left="0" w:leftChars="0" w:right="0" w:rightChars="0"/>
              <w:jc w:val="center"/>
              <w:rPr>
                <w:rFonts w:hint="default"/>
                <w:sz w:val="21"/>
                <w:lang w:val="en-US"/>
              </w:rPr>
            </w:pPr>
          </w:p>
        </w:tc>
        <w:tc>
          <w:tcPr>
            <w:tcW w:w="2770" w:type="dxa"/>
            <w:tcBorders>
              <w:tl2br w:val="nil"/>
              <w:tr2bl w:val="nil"/>
            </w:tcBorders>
            <w:vAlign w:val="center"/>
          </w:tcPr>
          <w:p>
            <w:pPr>
              <w:pStyle w:val="140"/>
              <w:rPr>
                <w:rFonts w:hint="eastAsia" w:ascii="Times New Roman" w:cs="宋体"/>
                <w:kern w:val="2"/>
                <w:sz w:val="20"/>
                <w:szCs w:val="24"/>
                <w:lang w:val="en-US" w:eastAsia="zh-CN" w:bidi="ar-SA"/>
              </w:rPr>
            </w:pPr>
            <w:r>
              <w:rPr>
                <w:rFonts w:hint="eastAsia" w:ascii="Times New Roman" w:cs="宋体"/>
                <w:kern w:val="2"/>
                <w:sz w:val="20"/>
                <w:szCs w:val="24"/>
                <w:lang w:val="en-US" w:eastAsia="zh-CN" w:bidi="ar-SA"/>
              </w:rPr>
              <w:t>大公镇噇口村、北凌村、星河村、凌东村区域</w:t>
            </w:r>
          </w:p>
        </w:tc>
        <w:tc>
          <w:tcPr>
            <w:tcW w:w="4930" w:type="dxa"/>
            <w:tcBorders>
              <w:tl2br w:val="nil"/>
              <w:tr2bl w:val="nil"/>
            </w:tcBorders>
            <w:vAlign w:val="center"/>
          </w:tcPr>
          <w:p>
            <w:pPr>
              <w:adjustRightInd w:val="0"/>
              <w:snapToGrid w:val="0"/>
              <w:jc w:val="left"/>
              <w:rPr>
                <w:rFonts w:hint="eastAsia" w:eastAsia="宋体"/>
                <w:sz w:val="21"/>
                <w:szCs w:val="21"/>
                <w:lang w:val="en-US" w:eastAsia="zh-CN"/>
              </w:rPr>
            </w:pPr>
            <w:r>
              <w:rPr>
                <w:rFonts w:hint="eastAsia" w:eastAsia="宋体"/>
                <w:sz w:val="21"/>
                <w:szCs w:val="21"/>
                <w:lang w:val="en-US" w:eastAsia="zh-CN"/>
              </w:rPr>
              <w:t>种质资源保护</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）、一氧化碳（CO）年均浓度和臭氧日最大8小时滑动平均值第90百分位数（O</w:t>
      </w:r>
      <w:r>
        <w:rPr>
          <w:rFonts w:eastAsia="宋体"/>
          <w:vertAlign w:val="subscript"/>
        </w:rPr>
        <w:t>3</w:t>
      </w:r>
      <w:r>
        <w:rPr>
          <w:rFonts w:eastAsia="宋体"/>
        </w:rPr>
        <w:t>）分别为</w:t>
      </w:r>
      <w:r>
        <w:rPr>
          <w:rFonts w:hint="eastAsia" w:eastAsia="宋体"/>
          <w:lang w:val="en-US" w:eastAsia="zh-CN"/>
        </w:rPr>
        <w:t>34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w:t>
      </w:r>
      <w:r>
        <w:rPr>
          <w:rFonts w:hint="default" w:eastAsia="宋体"/>
          <w:lang w:val="en-US"/>
        </w:rPr>
        <w:t>1</w:t>
      </w:r>
      <w:r>
        <w:rPr>
          <w:rFonts w:eastAsia="宋体"/>
        </w:rPr>
        <w:t>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w:t>
      </w:r>
      <w:r>
        <w:rPr>
          <w:rFonts w:hint="eastAsia" w:eastAsia="宋体"/>
          <w:lang w:val="en-US" w:eastAsia="zh-CN"/>
        </w:rPr>
        <w:t>PM</w:t>
      </w:r>
      <w:r>
        <w:rPr>
          <w:rFonts w:hint="eastAsia" w:eastAsia="宋体"/>
          <w:vertAlign w:val="subscript"/>
          <w:lang w:val="en-US" w:eastAsia="zh-CN"/>
        </w:rPr>
        <w:t>2.5</w:t>
      </w:r>
      <w:r>
        <w:rPr>
          <w:rFonts w:hint="eastAsia" w:eastAsia="宋体"/>
          <w:lang w:val="en-US" w:eastAsia="zh-CN"/>
        </w:rPr>
        <w:t>、</w:t>
      </w:r>
      <w:r>
        <w:rPr>
          <w:rFonts w:eastAsia="宋体"/>
        </w:rPr>
        <w:t>PM</w:t>
      </w:r>
      <w:r>
        <w:rPr>
          <w:rFonts w:eastAsia="宋体"/>
          <w:vertAlign w:val="subscript"/>
        </w:rPr>
        <w:t>10</w:t>
      </w:r>
      <w:r>
        <w:rPr>
          <w:rFonts w:eastAsia="宋体"/>
        </w:rPr>
        <w:t>、</w:t>
      </w:r>
      <w:r>
        <w:rPr>
          <w:rFonts w:hint="eastAsia" w:eastAsia="宋体"/>
          <w:lang w:val="en-US" w:eastAsia="zh-CN"/>
        </w:rPr>
        <w:t>NO</w:t>
      </w:r>
      <w:r>
        <w:rPr>
          <w:rFonts w:hint="eastAsia" w:eastAsia="宋体"/>
          <w:vertAlign w:val="subscript"/>
          <w:lang w:val="en-US" w:eastAsia="zh-CN"/>
        </w:rPr>
        <w:t>2</w:t>
      </w:r>
      <w:r>
        <w:rPr>
          <w:rFonts w:eastAsia="宋体"/>
        </w:rPr>
        <w:t>和</w:t>
      </w:r>
      <w:r>
        <w:rPr>
          <w:rFonts w:hint="eastAsia" w:eastAsia="宋体"/>
          <w:lang w:val="en-US" w:eastAsia="zh-CN"/>
        </w:rPr>
        <w:t>O</w:t>
      </w:r>
      <w:r>
        <w:rPr>
          <w:rFonts w:hint="eastAsia" w:eastAsia="宋体"/>
          <w:vertAlign w:val="subscript"/>
          <w:lang w:val="en-US" w:eastAsia="zh-CN"/>
        </w:rPr>
        <w:t>3</w:t>
      </w:r>
      <w:r>
        <w:rPr>
          <w:rFonts w:hint="eastAsia" w:eastAsia="宋体"/>
          <w:lang w:val="en-US" w:eastAsia="zh-CN"/>
        </w:rPr>
        <w:t xml:space="preserve"> </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8.1%、16.4</w:t>
      </w:r>
      <w:r>
        <w:rPr>
          <w:rFonts w:eastAsia="宋体"/>
        </w:rPr>
        <w:t>%、</w:t>
      </w:r>
      <w:r>
        <w:rPr>
          <w:rFonts w:hint="eastAsia" w:eastAsia="宋体"/>
          <w:lang w:val="en-US" w:eastAsia="zh-CN"/>
        </w:rPr>
        <w:t>15.6</w:t>
      </w:r>
      <w:r>
        <w:rPr>
          <w:rFonts w:eastAsia="宋体"/>
        </w:rPr>
        <w:t>%和</w:t>
      </w:r>
      <w:r>
        <w:rPr>
          <w:rFonts w:hint="eastAsia" w:eastAsia="宋体"/>
          <w:lang w:val="en-US" w:eastAsia="zh-CN"/>
        </w:rPr>
        <w:t>5.7</w:t>
      </w:r>
      <w:r>
        <w:rPr>
          <w:rFonts w:eastAsia="宋体"/>
        </w:rPr>
        <w:t>%；O</w:t>
      </w:r>
      <w:r>
        <w:rPr>
          <w:rFonts w:eastAsia="宋体"/>
          <w:vertAlign w:val="subscript"/>
        </w:rPr>
        <w:t>3</w:t>
      </w:r>
      <w:r>
        <w:rPr>
          <w:rFonts w:eastAsia="宋体"/>
        </w:rPr>
        <w:t>浓度上升7.0%；CO浓度与201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南通市境内主要内河中，焦港河、通吕运河、如海运河、九圩港河水质基本达到Ⅲ类；通启运河、</w:t>
      </w:r>
      <w:r>
        <w:rPr>
          <w:rFonts w:hint="eastAsia" w:eastAsia="宋体"/>
          <w:lang w:eastAsia="zh-CN"/>
        </w:rPr>
        <w:t>爱民三号河</w:t>
      </w:r>
      <w:r>
        <w:rPr>
          <w:rFonts w:eastAsia="宋体"/>
        </w:rPr>
        <w:t>、新</w:t>
      </w:r>
      <w:r>
        <w:rPr>
          <w:rFonts w:hint="eastAsia" w:eastAsia="宋体"/>
          <w:lang w:eastAsia="zh-CN"/>
        </w:rPr>
        <w:t>爱民三号河</w:t>
      </w:r>
      <w:r>
        <w:rPr>
          <w:rFonts w:eastAsia="宋体"/>
        </w:rPr>
        <w:t>水质基本为Ⅲ类；栟茶运河、北凌河、如泰运河水质基本为Ⅳ类，主要污染物指标为总磷。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由《20</w:t>
      </w:r>
      <w:r>
        <w:rPr>
          <w:rFonts w:hint="default" w:eastAsia="宋体"/>
          <w:lang w:val="en-US" w:eastAsia="zh-CN"/>
        </w:rPr>
        <w:t>20</w:t>
      </w:r>
      <w:r>
        <w:rPr>
          <w:rFonts w:eastAsia="宋体"/>
        </w:rPr>
        <w:t>年度南通市环境质量公报》可知，</w:t>
      </w:r>
      <w:r>
        <w:rPr>
          <w:rFonts w:hint="default" w:eastAsia="宋体"/>
          <w:lang w:val="en-US" w:eastAsia="zh-CN"/>
        </w:rPr>
        <w:t>全市</w:t>
      </w:r>
      <w:r>
        <w:rPr>
          <w:rFonts w:eastAsia="宋体"/>
          <w:lang w:val="en-US" w:eastAsia="zh-CN"/>
        </w:rPr>
        <w:t xml:space="preserve">重点行业重点重金属污染物排放量已完成总量削减 </w:t>
      </w:r>
      <w:r>
        <w:rPr>
          <w:rFonts w:hint="default" w:eastAsia="宋体"/>
          <w:lang w:val="en-US" w:eastAsia="zh-CN"/>
        </w:rPr>
        <w:t>12.72%，全市化肥使用量同比减少 0.32 万吨</w:t>
      </w:r>
      <w:r>
        <w:rPr>
          <w:rFonts w:hint="eastAsia" w:ascii="Times New Roman" w:hAnsi="Times New Roman" w:eastAsia="宋体" w:cs="Times New Roman"/>
          <w:lang w:val="en-US" w:eastAsia="zh-CN"/>
        </w:rPr>
        <w:t>。</w:t>
      </w:r>
      <w:r>
        <w:rPr>
          <w:rFonts w:hint="default" w:eastAsia="宋体"/>
          <w:lang w:val="en-US" w:eastAsia="zh-CN"/>
        </w:rPr>
        <w:t>我市在全国非正规垃圾堆放点排查整治信息系统中累计录入非正规垃圾堆放点信息10 处，整治完成率 100%。</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④声</w:t>
      </w:r>
      <w:r>
        <w:rPr>
          <w:rFonts w:ascii="Times New Roman" w:hAnsi="Times New Roman" w:eastAsia="宋体" w:cs="Times New Roman"/>
        </w:rPr>
        <w:t>环境质量</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keepNext w:val="0"/>
        <w:keepLines w:val="0"/>
        <w:adjustRightInd w:val="0"/>
        <w:snapToGrid w:val="0"/>
        <w:spacing w:line="500" w:lineRule="exact"/>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生态环境状况指数</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根据对资源卫星资料图片开展的高精度解译结果，全市生物</w:t>
      </w:r>
      <w:r>
        <w:rPr>
          <w:rFonts w:hint="default" w:ascii="Times New Roman" w:hAnsi="Times New Roman" w:eastAsia="宋体" w:cs="Times New Roman"/>
          <w:lang w:val="en-US" w:eastAsia="zh-CN"/>
        </w:rPr>
        <w:t>丰度指数为30.44，植被覆盖指数为77.54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水网密度指数为73.71，土地胁迫指数为6.29，污染负荷指数0.51。按照《生态环境质量评价技术规范》（HJ/T192-2015），全市生态环境状况指数为65.10，处于良好状态。四县（市）、通州区、海门区生态环境状况指数分别为：海安66.04、如皋66.11、如东66.45、启东65.72、通州63.49、海门63.99，均处于良好状态。</w:t>
      </w:r>
    </w:p>
    <w:p>
      <w:pPr>
        <w:pStyle w:val="4"/>
        <w:adjustRightInd w:val="0"/>
        <w:snapToGrid w:val="0"/>
        <w:spacing w:line="480" w:lineRule="exact"/>
        <w:rPr>
          <w:rFonts w:hint="default" w:ascii="Times New Roman" w:hAnsi="Times New Roman" w:eastAsia="宋体" w:cs="Times New Roman"/>
          <w:sz w:val="24"/>
          <w:szCs w:val="24"/>
        </w:rPr>
      </w:pPr>
      <w:bookmarkStart w:id="42" w:name="_Toc5947"/>
      <w:bookmarkStart w:id="43" w:name="_Toc23710"/>
      <w:r>
        <w:rPr>
          <w:rFonts w:hint="default" w:ascii="Times New Roman" w:hAnsi="Times New Roman" w:eastAsia="宋体" w:cs="Times New Roman"/>
          <w:sz w:val="24"/>
          <w:szCs w:val="24"/>
        </w:rPr>
        <w:t>3.2 企业周边环境风险受体情况</w:t>
      </w:r>
      <w:bookmarkEnd w:id="42"/>
      <w:bookmarkEnd w:id="43"/>
    </w:p>
    <w:p>
      <w:pPr>
        <w:pStyle w:val="2"/>
        <w:adjustRightInd w:val="0"/>
        <w:snapToGrid w:val="0"/>
        <w:spacing w:line="480" w:lineRule="exact"/>
        <w:rPr>
          <w:rFonts w:hint="default" w:ascii="Times New Roman" w:hAnsi="Times New Roman" w:eastAsia="宋体" w:cs="Times New Roman"/>
          <w:sz w:val="24"/>
          <w:szCs w:val="24"/>
        </w:rPr>
      </w:pPr>
      <w:bookmarkStart w:id="44" w:name="_Toc4629"/>
      <w:bookmarkStart w:id="45" w:name="_Toc32178"/>
      <w:r>
        <w:rPr>
          <w:rFonts w:hint="default" w:ascii="Times New Roman" w:hAnsi="Times New Roman" w:eastAsia="宋体" w:cs="Times New Roman"/>
          <w:sz w:val="24"/>
          <w:szCs w:val="24"/>
        </w:rPr>
        <w:t>3.2.1大气环境风险受体</w:t>
      </w:r>
      <w:bookmarkEnd w:id="44"/>
      <w:bookmarkEnd w:id="4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美延家居</w:t>
      </w:r>
      <w:r>
        <w:rPr>
          <w:rFonts w:hint="default" w:ascii="Times New Roman" w:hAnsi="Times New Roman" w:eastAsia="宋体" w:cs="Times New Roman"/>
        </w:rPr>
        <w:t>位于</w:t>
      </w:r>
      <w:r>
        <w:rPr>
          <w:rFonts w:hint="eastAsia" w:eastAsia="宋体" w:cs="Times New Roman"/>
          <w:lang w:eastAsia="zh-CN"/>
        </w:rPr>
        <w:t>海安</w:t>
      </w:r>
      <w:r>
        <w:rPr>
          <w:rFonts w:hint="eastAsia" w:eastAsia="宋体" w:cs="Times New Roman"/>
          <w:lang w:val="en-US" w:eastAsia="zh-CN"/>
        </w:rPr>
        <w:t>经济技术开发区姚池路21号1号楼</w:t>
      </w:r>
      <w:r>
        <w:rPr>
          <w:rFonts w:hint="default" w:ascii="Times New Roman" w:hAnsi="Times New Roman" w:eastAsia="宋体" w:cs="Times New Roman"/>
        </w:rPr>
        <w:t>，</w:t>
      </w:r>
      <w:r>
        <w:rPr>
          <w:rFonts w:hint="eastAsia" w:eastAsia="宋体" w:cs="Times New Roman"/>
          <w:lang w:eastAsia="zh-CN"/>
        </w:rPr>
        <w:t>美延家居</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美延家居</w:t>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41"/>
        <w:gridCol w:w="1670"/>
        <w:gridCol w:w="987"/>
        <w:gridCol w:w="948"/>
        <w:gridCol w:w="1160"/>
        <w:gridCol w:w="1575"/>
        <w:gridCol w:w="1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4"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8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4"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义樽木业（</w:t>
            </w:r>
            <w:r>
              <w:rPr>
                <w:rFonts w:hint="eastAsia" w:ascii="Times New Roman" w:hAnsi="Times New Roman" w:eastAsia="宋体" w:cs="Times New Roman"/>
                <w:color w:val="auto"/>
                <w:kern w:val="0"/>
                <w:sz w:val="21"/>
                <w:szCs w:val="21"/>
                <w:highlight w:val="none"/>
                <w:lang w:val="en-US" w:eastAsia="zh-CN"/>
              </w:rPr>
              <w:t>江苏</w:t>
            </w:r>
            <w:r>
              <w:rPr>
                <w:rFonts w:hint="eastAsia" w:eastAsia="宋体"/>
                <w:color w:val="auto"/>
                <w:kern w:val="0"/>
                <w:sz w:val="21"/>
                <w:szCs w:val="21"/>
                <w:highlight w:val="none"/>
                <w:lang w:val="en-US" w:eastAsia="zh-CN"/>
              </w:rPr>
              <w:t>）有限公司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18930086868</w:t>
            </w:r>
          </w:p>
        </w:tc>
        <w:tc>
          <w:tcPr>
            <w:tcW w:w="980"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斯可馨家具海安有限公司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NE</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202</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0513-88368298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格瑞恩家具海安有限公司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E</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151</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艾一玛家居（海安）有限公司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E</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150</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南通缀美家具有限公司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207</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罗曼家具海安有限公司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199</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雅格丽木家具海安有限公司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468</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889"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江苏大红鹰家具有限公司</w:t>
            </w:r>
          </w:p>
        </w:tc>
        <w:tc>
          <w:tcPr>
            <w:tcW w:w="526"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w:t>
            </w:r>
          </w:p>
        </w:tc>
        <w:tc>
          <w:tcPr>
            <w:tcW w:w="504"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271</w:t>
            </w:r>
          </w:p>
        </w:tc>
        <w:tc>
          <w:tcPr>
            <w:tcW w:w="61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0513-88368038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889" w:type="pct"/>
            <w:tcBorders>
              <w:tl2br w:val="nil"/>
              <w:tr2bl w:val="nil"/>
            </w:tcBorders>
            <w:noWrap w:val="0"/>
            <w:vAlign w:val="center"/>
          </w:tcPr>
          <w:p>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波泉木业科技海安有限公司</w:t>
            </w:r>
          </w:p>
        </w:tc>
        <w:tc>
          <w:tcPr>
            <w:tcW w:w="526" w:type="pct"/>
            <w:tcBorders>
              <w:tl2br w:val="nil"/>
              <w:tr2bl w:val="nil"/>
            </w:tcBorders>
            <w:noWrap w:val="0"/>
            <w:vAlign w:val="center"/>
          </w:tcPr>
          <w:p>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SE</w:t>
            </w:r>
          </w:p>
        </w:tc>
        <w:tc>
          <w:tcPr>
            <w:tcW w:w="504"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409</w:t>
            </w:r>
          </w:p>
        </w:tc>
        <w:tc>
          <w:tcPr>
            <w:tcW w:w="618" w:type="pct"/>
            <w:tcBorders>
              <w:tl2br w:val="nil"/>
              <w:tr2bl w:val="nil"/>
            </w:tcBorders>
            <w:noWrap w:val="0"/>
            <w:vAlign w:val="center"/>
          </w:tcPr>
          <w:p>
            <w:pPr>
              <w:spacing w:before="0" w:line="240" w:lineRule="auto"/>
              <w:ind w:left="0" w:leftChars="0" w:right="0" w:rightChars="0" w:firstLine="420" w:firstLineChars="20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889" w:type="pct"/>
            <w:tcBorders>
              <w:tl2br w:val="nil"/>
              <w:tr2bl w:val="nil"/>
            </w:tcBorders>
            <w:noWrap w:val="0"/>
            <w:vAlign w:val="center"/>
          </w:tcPr>
          <w:p>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江苏君晶装饰工程有限公司</w:t>
            </w:r>
          </w:p>
        </w:tc>
        <w:tc>
          <w:tcPr>
            <w:tcW w:w="526" w:type="pct"/>
            <w:tcBorders>
              <w:tl2br w:val="nil"/>
              <w:tr2bl w:val="nil"/>
            </w:tcBorders>
            <w:noWrap w:val="0"/>
            <w:vAlign w:val="center"/>
          </w:tcPr>
          <w:p>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SE</w:t>
            </w:r>
          </w:p>
        </w:tc>
        <w:tc>
          <w:tcPr>
            <w:tcW w:w="504" w:type="pct"/>
            <w:tcBorders>
              <w:tl2br w:val="nil"/>
              <w:tr2bl w:val="nil"/>
            </w:tcBorders>
            <w:noWrap w:val="0"/>
            <w:vAlign w:val="center"/>
          </w:tcPr>
          <w:p>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498</w:t>
            </w:r>
          </w:p>
        </w:tc>
        <w:tc>
          <w:tcPr>
            <w:tcW w:w="618" w:type="pct"/>
            <w:tcBorders>
              <w:tl2br w:val="nil"/>
              <w:tr2bl w:val="nil"/>
            </w:tcBorders>
            <w:noWrap w:val="0"/>
            <w:vAlign w:val="center"/>
          </w:tcPr>
          <w:p>
            <w:pPr>
              <w:spacing w:before="0" w:line="240" w:lineRule="auto"/>
              <w:ind w:left="0" w:leftChars="0" w:right="0" w:rightChars="0" w:firstLine="420" w:firstLineChars="20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889"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海安鼎天家具有限公司</w:t>
            </w:r>
          </w:p>
        </w:tc>
        <w:tc>
          <w:tcPr>
            <w:tcW w:w="526"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S</w:t>
            </w:r>
          </w:p>
        </w:tc>
        <w:tc>
          <w:tcPr>
            <w:tcW w:w="504"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206</w:t>
            </w:r>
          </w:p>
        </w:tc>
        <w:tc>
          <w:tcPr>
            <w:tcW w:w="618" w:type="pct"/>
            <w:tcBorders>
              <w:tl2br w:val="nil"/>
              <w:tr2bl w:val="nil"/>
            </w:tcBorders>
            <w:noWrap w:val="0"/>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13771962636</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12</w:t>
            </w:r>
          </w:p>
        </w:tc>
        <w:tc>
          <w:tcPr>
            <w:tcW w:w="889"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海安橙方家具有限公司</w:t>
            </w:r>
          </w:p>
        </w:tc>
        <w:tc>
          <w:tcPr>
            <w:tcW w:w="526"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SW</w:t>
            </w:r>
          </w:p>
        </w:tc>
        <w:tc>
          <w:tcPr>
            <w:tcW w:w="504"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83</w:t>
            </w:r>
          </w:p>
        </w:tc>
        <w:tc>
          <w:tcPr>
            <w:tcW w:w="618" w:type="pct"/>
            <w:tcBorders>
              <w:tl2br w:val="nil"/>
              <w:tr2bl w:val="nil"/>
            </w:tcBorders>
            <w:noWrap w:val="0"/>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13916147319</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w:t>
            </w:r>
          </w:p>
        </w:tc>
        <w:tc>
          <w:tcPr>
            <w:tcW w:w="889"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三丰村</w:t>
            </w:r>
          </w:p>
        </w:tc>
        <w:tc>
          <w:tcPr>
            <w:tcW w:w="526"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w:t>
            </w:r>
          </w:p>
        </w:tc>
        <w:tc>
          <w:tcPr>
            <w:tcW w:w="504"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127</w:t>
            </w:r>
          </w:p>
        </w:tc>
        <w:tc>
          <w:tcPr>
            <w:tcW w:w="618" w:type="pct"/>
            <w:tcBorders>
              <w:tl2br w:val="nil"/>
              <w:tr2bl w:val="nil"/>
            </w:tcBorders>
            <w:noWrap w:val="0"/>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150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0513-88367085</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14</w:t>
            </w:r>
          </w:p>
        </w:tc>
        <w:tc>
          <w:tcPr>
            <w:tcW w:w="889"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澳联商业广场海安有限公司</w:t>
            </w:r>
          </w:p>
        </w:tc>
        <w:tc>
          <w:tcPr>
            <w:tcW w:w="526"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NW</w:t>
            </w:r>
          </w:p>
        </w:tc>
        <w:tc>
          <w:tcPr>
            <w:tcW w:w="504"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216</w:t>
            </w:r>
          </w:p>
        </w:tc>
        <w:tc>
          <w:tcPr>
            <w:tcW w:w="618" w:type="pct"/>
            <w:tcBorders>
              <w:tl2br w:val="nil"/>
              <w:tr2bl w:val="nil"/>
            </w:tcBorders>
            <w:noWrap w:val="0"/>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400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13813612348</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1"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09" w:type="pct"/>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1280</w:t>
            </w:r>
          </w:p>
        </w:tc>
        <w:tc>
          <w:tcPr>
            <w:tcW w:w="839"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美延家居</w:t>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689"/>
        <w:gridCol w:w="2058"/>
        <w:gridCol w:w="1231"/>
        <w:gridCol w:w="1178"/>
        <w:gridCol w:w="1441"/>
        <w:gridCol w:w="1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28"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6"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28"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义樽木业（江苏）有限公司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w:t>
            </w:r>
          </w:p>
        </w:tc>
        <w:tc>
          <w:tcPr>
            <w:tcW w:w="76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1035" w:type="pct"/>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斯可馨家具海安有限公司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NE</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202</w:t>
            </w:r>
          </w:p>
        </w:tc>
        <w:tc>
          <w:tcPr>
            <w:tcW w:w="76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格瑞恩家具海安有限公司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E</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151</w:t>
            </w:r>
          </w:p>
        </w:tc>
        <w:tc>
          <w:tcPr>
            <w:tcW w:w="76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艾一玛家居（海安）有限公司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E</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150</w:t>
            </w:r>
          </w:p>
        </w:tc>
        <w:tc>
          <w:tcPr>
            <w:tcW w:w="76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南通缀美家具有限公司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207</w:t>
            </w:r>
          </w:p>
        </w:tc>
        <w:tc>
          <w:tcPr>
            <w:tcW w:w="76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6</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罗曼家具海安有限公司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199</w:t>
            </w:r>
          </w:p>
        </w:tc>
        <w:tc>
          <w:tcPr>
            <w:tcW w:w="76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7</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雅格丽木家具海安有限公司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468</w:t>
            </w:r>
          </w:p>
        </w:tc>
        <w:tc>
          <w:tcPr>
            <w:tcW w:w="76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8</w:t>
            </w:r>
          </w:p>
        </w:tc>
        <w:tc>
          <w:tcPr>
            <w:tcW w:w="109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江苏大红鹰家具有限公司</w:t>
            </w:r>
          </w:p>
        </w:tc>
        <w:tc>
          <w:tcPr>
            <w:tcW w:w="656"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w:t>
            </w:r>
          </w:p>
        </w:tc>
        <w:tc>
          <w:tcPr>
            <w:tcW w:w="628" w:type="pct"/>
            <w:tcBorders>
              <w:tl2br w:val="nil"/>
              <w:tr2bl w:val="nil"/>
            </w:tcBorders>
            <w:noWrap w:val="0"/>
            <w:vAlign w:val="center"/>
          </w:tcPr>
          <w:p>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271</w:t>
            </w:r>
          </w:p>
        </w:tc>
        <w:tc>
          <w:tcPr>
            <w:tcW w:w="768" w:type="pct"/>
            <w:tcBorders>
              <w:tl2br w:val="nil"/>
              <w:tr2bl w:val="nil"/>
            </w:tcBorders>
            <w:noWrap w:val="0"/>
            <w:vAlign w:val="center"/>
          </w:tcPr>
          <w:p>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1096"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波泉木业科技海安有限公司</w:t>
            </w:r>
          </w:p>
        </w:tc>
        <w:tc>
          <w:tcPr>
            <w:tcW w:w="656"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628" w:type="pct"/>
            <w:tcBorders>
              <w:tl2br w:val="nil"/>
              <w:tr2bl w:val="nil"/>
            </w:tcBorders>
            <w:noWrap w:val="0"/>
            <w:vAlign w:val="center"/>
          </w:tcPr>
          <w:p>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409</w:t>
            </w:r>
          </w:p>
        </w:tc>
        <w:tc>
          <w:tcPr>
            <w:tcW w:w="768" w:type="pct"/>
            <w:tcBorders>
              <w:tl2br w:val="nil"/>
              <w:tr2bl w:val="nil"/>
            </w:tcBorders>
            <w:noWrap w:val="0"/>
            <w:vAlign w:val="center"/>
          </w:tcPr>
          <w:p>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109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江苏君晶装饰工程有限公司</w:t>
            </w:r>
          </w:p>
        </w:tc>
        <w:tc>
          <w:tcPr>
            <w:tcW w:w="65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SE</w:t>
            </w:r>
          </w:p>
        </w:tc>
        <w:tc>
          <w:tcPr>
            <w:tcW w:w="628"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498</w:t>
            </w:r>
          </w:p>
        </w:tc>
        <w:tc>
          <w:tcPr>
            <w:tcW w:w="768" w:type="pct"/>
            <w:tcBorders>
              <w:tl2br w:val="nil"/>
              <w:tr2bl w:val="nil"/>
            </w:tcBorders>
            <w:noWrap w:val="0"/>
            <w:vAlign w:val="center"/>
          </w:tcPr>
          <w:p>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109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海安鼎天家具有限公司</w:t>
            </w:r>
          </w:p>
        </w:tc>
        <w:tc>
          <w:tcPr>
            <w:tcW w:w="65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w:t>
            </w:r>
          </w:p>
        </w:tc>
        <w:tc>
          <w:tcPr>
            <w:tcW w:w="628"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206</w:t>
            </w:r>
          </w:p>
        </w:tc>
        <w:tc>
          <w:tcPr>
            <w:tcW w:w="768" w:type="pct"/>
            <w:tcBorders>
              <w:tl2br w:val="nil"/>
              <w:tr2bl w:val="nil"/>
            </w:tcBorders>
            <w:noWrap w:val="0"/>
            <w:vAlign w:val="center"/>
          </w:tcPr>
          <w:p>
            <w:pPr>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12</w:t>
            </w:r>
          </w:p>
        </w:tc>
        <w:tc>
          <w:tcPr>
            <w:tcW w:w="109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海安橙方家具有限公司</w:t>
            </w:r>
          </w:p>
        </w:tc>
        <w:tc>
          <w:tcPr>
            <w:tcW w:w="65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SW</w:t>
            </w:r>
          </w:p>
        </w:tc>
        <w:tc>
          <w:tcPr>
            <w:tcW w:w="628"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83</w:t>
            </w:r>
          </w:p>
        </w:tc>
        <w:tc>
          <w:tcPr>
            <w:tcW w:w="768" w:type="pct"/>
            <w:tcBorders>
              <w:tl2br w:val="nil"/>
              <w:tr2bl w:val="nil"/>
            </w:tcBorders>
            <w:noWrap w:val="0"/>
            <w:vAlign w:val="center"/>
          </w:tcPr>
          <w:p>
            <w:pPr>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w:t>
            </w:r>
          </w:p>
        </w:tc>
        <w:tc>
          <w:tcPr>
            <w:tcW w:w="109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三丰村</w:t>
            </w:r>
          </w:p>
        </w:tc>
        <w:tc>
          <w:tcPr>
            <w:tcW w:w="65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W</w:t>
            </w:r>
          </w:p>
        </w:tc>
        <w:tc>
          <w:tcPr>
            <w:tcW w:w="628"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127</w:t>
            </w:r>
          </w:p>
        </w:tc>
        <w:tc>
          <w:tcPr>
            <w:tcW w:w="768" w:type="pct"/>
            <w:tcBorders>
              <w:tl2br w:val="nil"/>
              <w:tr2bl w:val="nil"/>
            </w:tcBorders>
            <w:noWrap w:val="0"/>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800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14</w:t>
            </w:r>
          </w:p>
        </w:tc>
        <w:tc>
          <w:tcPr>
            <w:tcW w:w="109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澳联商业广场海安有限公司</w:t>
            </w:r>
          </w:p>
        </w:tc>
        <w:tc>
          <w:tcPr>
            <w:tcW w:w="656"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NW</w:t>
            </w:r>
          </w:p>
        </w:tc>
        <w:tc>
          <w:tcPr>
            <w:tcW w:w="628" w:type="pct"/>
            <w:tcBorders>
              <w:tl2br w:val="nil"/>
              <w:tr2bl w:val="nil"/>
            </w:tcBorders>
            <w:noWrap w:val="0"/>
            <w:vAlign w:val="center"/>
          </w:tcPr>
          <w:p>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216</w:t>
            </w:r>
          </w:p>
        </w:tc>
        <w:tc>
          <w:tcPr>
            <w:tcW w:w="768" w:type="pct"/>
            <w:tcBorders>
              <w:tl2br w:val="nil"/>
              <w:tr2bl w:val="nil"/>
            </w:tcBorders>
            <w:noWrap w:val="0"/>
            <w:vAlign w:val="center"/>
          </w:tcPr>
          <w:p>
            <w:pPr>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400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15</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优胜村</w:t>
            </w:r>
          </w:p>
        </w:tc>
        <w:tc>
          <w:tcPr>
            <w:tcW w:w="656"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auto"/>
                <w:sz w:val="21"/>
                <w:szCs w:val="21"/>
                <w:lang w:val="en-US" w:eastAsia="zh-CN"/>
              </w:rPr>
              <w:t>E</w:t>
            </w:r>
          </w:p>
        </w:tc>
        <w:tc>
          <w:tcPr>
            <w:tcW w:w="62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color w:val="auto"/>
                <w:sz w:val="21"/>
                <w:szCs w:val="21"/>
                <w:lang w:val="en-US" w:eastAsia="zh-CN"/>
              </w:rPr>
              <w:t>2692</w:t>
            </w:r>
          </w:p>
        </w:tc>
        <w:tc>
          <w:tcPr>
            <w:tcW w:w="76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1500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16</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光荣村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3295</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1800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17</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于家桥</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1558</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1500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许冯村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3293</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1300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19</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韩洋村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3020</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1400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20</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热岗村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3641</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1600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21</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韩南村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2047</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1200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22</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vertAlign w:val="baseline"/>
                <w:lang w:val="en-US" w:eastAsia="zh-CN" w:bidi="ar-SA"/>
              </w:rPr>
              <w:t>韩西村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3224</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color w:val="auto"/>
                <w:sz w:val="21"/>
                <w:szCs w:val="21"/>
                <w:lang w:val="en-US" w:eastAsia="zh-CN"/>
              </w:rPr>
              <w:t>1200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23</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vertAlign w:val="baseline"/>
                <w:lang w:val="en-US" w:eastAsia="zh-CN" w:bidi="ar-SA"/>
              </w:rPr>
              <w:t>崔家庄</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3853</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1300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24</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eastAsia="宋体" w:cs="Times New Roman"/>
                <w:color w:val="auto"/>
                <w:sz w:val="21"/>
                <w:szCs w:val="21"/>
                <w:lang w:val="en-US" w:eastAsia="zh-CN"/>
              </w:rPr>
              <w:t>民胜村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4096</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1200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25</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eastAsia="宋体" w:cs="Times New Roman"/>
                <w:color w:val="auto"/>
                <w:sz w:val="21"/>
                <w:szCs w:val="21"/>
                <w:vertAlign w:val="baseline"/>
                <w:lang w:val="en-US" w:eastAsia="zh-CN" w:bidi="ar-SA"/>
              </w:rPr>
              <w:t>于坝村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4625</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1200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26</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vertAlign w:val="baseline"/>
                <w:lang w:val="en-US" w:eastAsia="zh-CN" w:bidi="ar-SA"/>
              </w:rPr>
              <w:t>韩洋花苑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NW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799</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1600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27</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eastAsia="宋体" w:cs="Times New Roman"/>
                <w:color w:val="auto"/>
                <w:sz w:val="21"/>
                <w:szCs w:val="21"/>
                <w:vertAlign w:val="baseline"/>
                <w:lang w:val="en-US" w:eastAsia="zh-CN" w:bidi="ar-SA"/>
              </w:rPr>
              <w:t>三角村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776</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1400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28</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eastAsia="宋体" w:cs="Times New Roman"/>
                <w:color w:val="auto"/>
                <w:sz w:val="21"/>
                <w:szCs w:val="21"/>
                <w:vertAlign w:val="baseline"/>
                <w:lang w:val="en-US" w:eastAsia="zh-CN" w:bidi="ar-SA"/>
              </w:rPr>
              <w:t>海安市城东镇韩洋小学</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1393</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2000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29</w:t>
            </w:r>
          </w:p>
        </w:tc>
        <w:tc>
          <w:tcPr>
            <w:tcW w:w="1096"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洋蛮河村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2256</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1200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30</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eastAsia="宋体" w:cs="Times New Roman"/>
                <w:sz w:val="21"/>
                <w:szCs w:val="21"/>
                <w:vertAlign w:val="baseline"/>
                <w:lang w:val="en-US" w:eastAsia="zh-CN" w:bidi="ar-SA"/>
              </w:rPr>
              <w:t>赵桥村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3655</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1500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31</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陆家荡</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824</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1300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32</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东屏村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2788</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1400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33</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丰河村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704</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1500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34</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海安市开发区初级中学</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3676</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2000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35</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海安新生医院</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4650</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2500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36</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爱民村</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2206</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1500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37</w:t>
            </w:r>
          </w:p>
        </w:tc>
        <w:tc>
          <w:tcPr>
            <w:tcW w:w="10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海安市中医院开发区院区</w:t>
            </w:r>
          </w:p>
        </w:tc>
        <w:tc>
          <w:tcPr>
            <w:tcW w:w="6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SE</w:t>
            </w:r>
          </w:p>
        </w:tc>
        <w:tc>
          <w:tcPr>
            <w:tcW w:w="6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4823</w:t>
            </w:r>
          </w:p>
        </w:tc>
        <w:tc>
          <w:tcPr>
            <w:tcW w:w="7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2000</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auto"/>
          <w:trHeight w:val="340" w:hRule="atLeast"/>
          <w:jc w:val="center"/>
        </w:trPr>
        <w:tc>
          <w:tcPr>
            <w:tcW w:w="447"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48" w:type="pct"/>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bidi="ar-SA"/>
              </w:rPr>
              <w:t>约</w:t>
            </w:r>
            <w:r>
              <w:rPr>
                <w:rFonts w:hint="eastAsia" w:ascii="Times New Roman" w:eastAsia="宋体" w:cs="Times New Roman"/>
                <w:color w:val="auto"/>
                <w:sz w:val="21"/>
                <w:szCs w:val="21"/>
                <w:vertAlign w:val="baseline"/>
                <w:lang w:val="en-US" w:eastAsia="zh-CN" w:bidi="ar-SA"/>
              </w:rPr>
              <w:t>37030</w:t>
            </w:r>
            <w:r>
              <w:rPr>
                <w:rFonts w:hint="eastAsia"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46" w:name="_Toc3725"/>
      <w:bookmarkStart w:id="47" w:name="_Toc24780"/>
      <w:bookmarkStart w:id="48" w:name="_Toc510092935"/>
      <w:r>
        <w:rPr>
          <w:rFonts w:hint="default" w:ascii="Times New Roman" w:hAnsi="Times New Roman" w:eastAsia="宋体" w:cs="Times New Roman"/>
          <w:color w:val="000000" w:themeColor="text1"/>
          <w14:textFill>
            <w14:solidFill>
              <w14:schemeClr w14:val="tx1"/>
            </w14:solidFill>
          </w14:textFill>
        </w:rPr>
        <w:t>3.2.2水环境风险受体</w:t>
      </w:r>
      <w:bookmarkEnd w:id="46"/>
      <w:bookmarkEnd w:id="47"/>
      <w:bookmarkEnd w:id="48"/>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海安市水务集团城市污水处理有限公司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集中处理，达标尾水排入洋蛮河。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公司位于南通市海安</w:t>
      </w:r>
      <w:r>
        <w:rPr>
          <w:rFonts w:hint="eastAsia" w:eastAsia="宋体" w:cs="Times New Roman"/>
          <w:color w:val="000000" w:themeColor="text1"/>
          <w:lang w:val="en-US" w:eastAsia="zh-CN"/>
          <w14:textFill>
            <w14:solidFill>
              <w14:schemeClr w14:val="tx1"/>
            </w14:solidFill>
          </w14:textFill>
        </w:rPr>
        <w:t>经济技术开发区姚池路21号1号楼</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 xml:space="preserve"> 公司周边水环境敏感目标（</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87"/>
        <w:gridCol w:w="751"/>
        <w:gridCol w:w="1059"/>
        <w:gridCol w:w="589"/>
        <w:gridCol w:w="3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7"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5"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7"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487" w:type="dxa"/>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389" w:type="pct"/>
            <w:vAlign w:val="center"/>
          </w:tcPr>
          <w:p>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W</w:t>
            </w:r>
          </w:p>
        </w:tc>
        <w:tc>
          <w:tcPr>
            <w:tcW w:w="549" w:type="pct"/>
            <w:vAlign w:val="center"/>
          </w:tcPr>
          <w:p>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186</w:t>
            </w:r>
          </w:p>
        </w:tc>
        <w:tc>
          <w:tcPr>
            <w:tcW w:w="305" w:type="pct"/>
            <w:vAlign w:val="center"/>
          </w:tcPr>
          <w:p>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7" w:type="pct"/>
            <w:vMerge w:val="restart"/>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487" w:type="dxa"/>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爱民三号河</w:t>
            </w:r>
          </w:p>
        </w:tc>
        <w:tc>
          <w:tcPr>
            <w:tcW w:w="389" w:type="pct"/>
            <w:vAlign w:val="center"/>
          </w:tcPr>
          <w:p>
            <w:pPr>
              <w:pStyle w:val="140"/>
              <w:spacing w:before="0"/>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w w:val="100"/>
                <w:sz w:val="21"/>
                <w:szCs w:val="21"/>
                <w:highlight w:val="none"/>
                <w:lang w:val="en-US" w:eastAsia="zh-CN"/>
              </w:rPr>
              <w:t>S</w:t>
            </w:r>
          </w:p>
        </w:tc>
        <w:tc>
          <w:tcPr>
            <w:tcW w:w="549" w:type="pct"/>
            <w:vAlign w:val="center"/>
          </w:tcPr>
          <w:p>
            <w:pPr>
              <w:pStyle w:val="140"/>
              <w:spacing w:before="0"/>
              <w:ind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178</w:t>
            </w:r>
          </w:p>
        </w:tc>
        <w:tc>
          <w:tcPr>
            <w:tcW w:w="305" w:type="pct"/>
            <w:vAlign w:val="center"/>
          </w:tcPr>
          <w:p>
            <w:pPr>
              <w:adjustRightInd w:val="0"/>
              <w:snapToGrid w:val="0"/>
              <w:jc w:val="center"/>
              <w:textAlignment w:val="baseline"/>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7"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487" w:type="dxa"/>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春风河</w:t>
            </w:r>
          </w:p>
        </w:tc>
        <w:tc>
          <w:tcPr>
            <w:tcW w:w="389" w:type="pct"/>
            <w:vAlign w:val="center"/>
          </w:tcPr>
          <w:p>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w:t>
            </w:r>
          </w:p>
        </w:tc>
        <w:tc>
          <w:tcPr>
            <w:tcW w:w="549" w:type="pct"/>
            <w:vAlign w:val="center"/>
          </w:tcPr>
          <w:p>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4726</w:t>
            </w:r>
          </w:p>
        </w:tc>
        <w:tc>
          <w:tcPr>
            <w:tcW w:w="305" w:type="pct"/>
            <w:vAlign w:val="center"/>
          </w:tcPr>
          <w:p>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7"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487" w:type="dxa"/>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9" w:type="pct"/>
            <w:vAlign w:val="center"/>
          </w:tcPr>
          <w:p>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3222</w:t>
            </w:r>
          </w:p>
        </w:tc>
        <w:tc>
          <w:tcPr>
            <w:tcW w:w="305" w:type="pct"/>
            <w:vAlign w:val="center"/>
          </w:tcPr>
          <w:p>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7"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3487" w:type="dxa"/>
            <w:tcBorders>
              <w:bottom w:val="single" w:color="auto" w:sz="12" w:space="0"/>
            </w:tcBorders>
            <w:vAlign w:val="center"/>
          </w:tcPr>
          <w:p>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北凌河</w:t>
            </w:r>
          </w:p>
        </w:tc>
        <w:tc>
          <w:tcPr>
            <w:tcW w:w="389" w:type="pct"/>
            <w:tcBorders>
              <w:bottom w:val="single" w:color="auto" w:sz="12" w:space="0"/>
            </w:tcBorders>
            <w:vAlign w:val="center"/>
          </w:tcPr>
          <w:p>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N</w:t>
            </w:r>
          </w:p>
        </w:tc>
        <w:tc>
          <w:tcPr>
            <w:tcW w:w="549" w:type="pct"/>
            <w:tcBorders>
              <w:bottom w:val="single" w:color="auto" w:sz="12" w:space="0"/>
            </w:tcBorders>
            <w:vAlign w:val="center"/>
          </w:tcPr>
          <w:p>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4540</w:t>
            </w:r>
          </w:p>
        </w:tc>
        <w:tc>
          <w:tcPr>
            <w:tcW w:w="305" w:type="pct"/>
            <w:tcBorders>
              <w:bottom w:val="single" w:color="auto" w:sz="12" w:space="0"/>
            </w:tcBorders>
            <w:vAlign w:val="center"/>
          </w:tcPr>
          <w:p>
            <w:pPr>
              <w:adjustRightInd w:val="0"/>
              <w:snapToGrid w:val="0"/>
              <w:jc w:val="center"/>
              <w:textAlignment w:val="baseline"/>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7" w:type="pct"/>
            <w:vMerge w:val="continue"/>
            <w:tcBorders>
              <w:bottom w:val="single" w:color="auto" w:sz="12" w:space="0"/>
            </w:tcBorders>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等其它环境敏感区，周边居民饮用水来自市政自来水管网。</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49" w:name="3.2.4生态环境保护目标"/>
      <w:bookmarkEnd w:id="49"/>
      <w:bookmarkStart w:id="50" w:name="3.2.4生态环境保护目标"/>
      <w:bookmarkEnd w:id="50"/>
      <w:bookmarkStart w:id="51"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根据《省政府关于印发江苏省国家级生态保护红线规划的通知》（苏政发[2018]74号），距本项目最近的江苏省国家级生态红线保护区域为西侧5.8km 的新通扬-通榆运河清水通道维护区，本项目不在管控区范围内，满足江苏省生态红线区域保护规划要求。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建设项目属于</w:t>
      </w:r>
      <w:r>
        <w:rPr>
          <w:rFonts w:hint="default" w:ascii="Times New Roman" w:hAnsi="Times New Roman" w:eastAsia="宋体" w:cs="Times New Roman"/>
          <w:color w:val="000000" w:themeColor="text1"/>
          <w:lang w:val="en-US" w:eastAsia="zh-CN"/>
          <w14:textFill>
            <w14:solidFill>
              <w14:schemeClr w14:val="tx1"/>
            </w14:solidFill>
          </w14:textFill>
        </w:rPr>
        <w:t>于[C2110]木质家具制造</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产生的废水主要为生活污水及喷枪清洗废水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海安市水务集团城市污水处理有限公司；喷枪清洗废水回用到水性漆调配。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default" w:ascii="Times New Roman" w:hAnsi="Times New Roman" w:eastAsia="宋体" w:cs="Times New Roman"/>
          <w:color w:val="000000" w:themeColor="text1"/>
          <w:lang w:val="en-US" w:eastAsia="zh-CN"/>
          <w14:textFill>
            <w14:solidFill>
              <w14:schemeClr w14:val="tx1"/>
            </w14:solidFill>
          </w14:textFill>
        </w:rPr>
        <w:t>本项目废气主要为开料等木加工过程产生的木料粉尘，木制家具表面砂光、打磨废气，拼板、组装工序产生的有机废气，底漆打磨废气，木制家具透明底漆、白底漆、色漆喷涂产生的调漆及喷涂废气，透明面漆、白面漆喷涂过程产生的调漆及喷涂废气，晾干过程产生的晾干废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木料粉尘经管道收集后采用1套中央除尘器处理后由1#20m排气筒排放；有机废气在生产车间无组织排放；底漆打磨废气经干式脉冲打磨除尘柜处理后由4#20m排气筒排放；木质家具表面打磨、砂光废气经干式脉冲打磨除尘柜收集处理后经过中央除尘器处理由1#20m排气筒排放；喷涂废气经收集后经“多层过滤+光氧催化+活性炭吸附”处理后由2#20m排气筒高空排放；面漆房废气经多层过滤处理后，和晾干废气一起经“光氧催化+活性炭吸附”处理后由3#20m 排气筒高空排放。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 xml:space="preserve">建设项目主要噪声源为木工压刨床、砂光机、开料锯等设备，其噪声源强约80~90dB(A)。建设单位主要噪声防治措施如下：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 xml:space="preserve">设备选型时采用性能先进、高效节能、低噪设备，并加强对设备的维护管理，从源头上控制噪声的产生；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 xml:space="preserve">合理布局，将高噪声设备设置在厂房内，并且布置在远离厂界的一侧。通过厂房隔声和距离衰减，减少对周围环境的影响。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ascii="Times New Roman" w:hAnsi="Times New Roman" w:eastAsia="宋体" w:cs="Times New Roman"/>
          <w:color w:val="000000" w:themeColor="text1"/>
          <w:lang w:val="en-US" w:eastAsia="zh-CN"/>
          <w14:textFill>
            <w14:solidFill>
              <w14:schemeClr w14:val="tx1"/>
            </w14:solidFill>
          </w14:textFill>
        </w:rPr>
        <w:t>厂区建设绿化隔离带，对噪声进行削减，减少对厂界外声环境影响。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固体废物：</w:t>
      </w: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建设项目产生的固废主要为生活垃圾、木料边角料、收集尘及沉降尘(木屑)、收集尘(漆尘)、废活性炭、废包装桶、废过滤纤维、漆渣、废灯管、废催化剂。</w:t>
      </w:r>
    </w:p>
    <w:p>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w:t>
      </w:r>
      <w:r>
        <w:rPr>
          <w:rFonts w:hint="default" w:ascii="Times New Roman" w:hAnsi="Times New Roman" w:eastAsia="宋体" w:cs="Times New Roman"/>
          <w:color w:val="000000" w:themeColor="text1"/>
          <w:lang w:val="en-US" w:eastAsia="zh-CN"/>
          <w14:textFill>
            <w14:solidFill>
              <w14:schemeClr w14:val="tx1"/>
            </w14:solidFill>
          </w14:textFill>
        </w:rPr>
        <w:t>木料边角料、收集尘及沉降尘(木屑)</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color w:val="000000" w:themeColor="text1"/>
          <w:lang w:val="en-US" w:eastAsia="zh-CN"/>
          <w14:textFill>
            <w14:solidFill>
              <w14:schemeClr w14:val="tx1"/>
            </w14:solidFill>
          </w14:textFill>
        </w:rPr>
        <w:t>收集尘(漆尘)、废活性炭、废包装桶、废过滤纤维、漆渣、废灯管、废催化剂</w:t>
      </w:r>
      <w:r>
        <w:rPr>
          <w:rFonts w:hint="eastAsia" w:eastAsia="宋体" w:cs="Times New Roman"/>
          <w:color w:val="000000" w:themeColor="text1"/>
          <w:lang w:val="en-US" w:eastAsia="zh-CN"/>
          <w14:textFill>
            <w14:solidFill>
              <w14:schemeClr w14:val="tx1"/>
            </w14:solidFill>
          </w14:textFill>
        </w:rPr>
        <w:t>收集后由</w:t>
      </w:r>
      <w:r>
        <w:rPr>
          <w:rFonts w:hint="eastAsia" w:eastAsia="宋体" w:cs="Times New Roman"/>
          <w:color w:val="000000" w:themeColor="text1"/>
          <w:highlight w:val="none"/>
          <w:lang w:val="en-US" w:eastAsia="zh-CN"/>
          <w14:textFill>
            <w14:solidFill>
              <w14:schemeClr w14:val="tx1"/>
            </w14:solidFill>
          </w14:textFill>
        </w:rPr>
        <w:t>海安蔚蓝环保服务</w:t>
      </w:r>
      <w:r>
        <w:rPr>
          <w:rFonts w:hint="eastAsia" w:eastAsia="宋体" w:cs="Times New Roman"/>
          <w:color w:val="000000" w:themeColor="text1"/>
          <w:highlight w:val="none"/>
          <w:lang w:val="en-US" w:eastAsia="zh-CN"/>
          <w14:textFill>
            <w14:solidFill>
              <w14:schemeClr w14:val="tx1"/>
            </w14:solidFill>
          </w14:textFill>
        </w:rPr>
        <w:t>有</w:t>
      </w:r>
      <w:r>
        <w:rPr>
          <w:rFonts w:hint="eastAsia" w:eastAsia="宋体" w:cs="Times New Roman"/>
          <w:color w:val="000000" w:themeColor="text1"/>
          <w:lang w:val="en-US" w:eastAsia="zh-CN"/>
          <w14:textFill>
            <w14:solidFill>
              <w14:schemeClr w14:val="tx1"/>
            </w14:solidFill>
          </w14:textFill>
        </w:rPr>
        <w:t>限公司处置。</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52" w:name="3.2.5土壤环境敏感度"/>
      <w:bookmarkEnd w:id="52"/>
      <w:bookmarkStart w:id="53" w:name="3.2.5土壤环境敏感度"/>
      <w:bookmarkEnd w:id="53"/>
      <w:bookmarkStart w:id="54" w:name="_Toc19141"/>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5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本项目位于南通市海安市</w:t>
      </w:r>
      <w:r>
        <w:rPr>
          <w:rFonts w:hint="eastAsia" w:eastAsia="宋体" w:cs="Times New Roman"/>
          <w:color w:val="000000" w:themeColor="text1"/>
          <w:lang w:val="en-US" w:eastAsia="zh-CN"/>
          <w14:textFill>
            <w14:solidFill>
              <w14:schemeClr w14:val="tx1"/>
            </w14:solidFill>
          </w14:textFill>
        </w:rPr>
        <w:t>经济技术开发区姚池路21号1号楼</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5" w:name="_Toc4967"/>
      <w:bookmarkStart w:id="56" w:name="_Toc32010"/>
      <w:r>
        <w:rPr>
          <w:rFonts w:hint="default" w:ascii="Times New Roman" w:hAnsi="Times New Roman" w:eastAsia="宋体" w:cs="Times New Roman"/>
          <w:sz w:val="24"/>
          <w:szCs w:val="24"/>
        </w:rPr>
        <w:t>3.3风险物质识别</w:t>
      </w:r>
      <w:bookmarkEnd w:id="55"/>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451631652"/>
      <w:bookmarkStart w:id="58" w:name="_Toc12112"/>
      <w:bookmarkStart w:id="59" w:name="_Toc7850"/>
      <w:r>
        <w:rPr>
          <w:rFonts w:hint="default" w:ascii="Times New Roman" w:hAnsi="Times New Roman" w:eastAsia="宋体" w:cs="Times New Roman"/>
          <w:sz w:val="24"/>
          <w:szCs w:val="24"/>
        </w:rPr>
        <w:t>3.3.1物质性质</w:t>
      </w:r>
      <w:bookmarkEnd w:id="57"/>
      <w:bookmarkEnd w:id="58"/>
      <w:bookmarkEnd w:id="5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604"/>
        <w:gridCol w:w="1828"/>
        <w:gridCol w:w="1042"/>
        <w:gridCol w:w="1275"/>
        <w:gridCol w:w="860"/>
        <w:gridCol w:w="1196"/>
        <w:gridCol w:w="11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855"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974"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555"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679"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458"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637" w:type="pct"/>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610" w:type="pct"/>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实木材</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红橡、红樱桃</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80m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20m</w:t>
            </w:r>
            <w:r>
              <w:rPr>
                <w:rFonts w:hint="default" w:ascii="Times New Roman" w:hAnsi="Times New Roman" w:eastAsia="宋体" w:cs="Times New Roman"/>
                <w:sz w:val="21"/>
                <w:szCs w:val="21"/>
                <w:vertAlign w:val="superscript"/>
                <w:lang w:val="en-US" w:eastAsia="zh-CN"/>
              </w:rPr>
              <w:t>3</w:t>
            </w:r>
          </w:p>
        </w:tc>
        <w:tc>
          <w:tcPr>
            <w:tcW w:w="458" w:type="pct"/>
            <w:vAlign w:val="center"/>
          </w:tcPr>
          <w:p>
            <w:pPr>
              <w:pStyle w:val="14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散装</w:t>
            </w:r>
          </w:p>
        </w:tc>
        <w:tc>
          <w:tcPr>
            <w:tcW w:w="637" w:type="pct"/>
            <w:vAlign w:val="center"/>
          </w:tcPr>
          <w:p>
            <w:pPr>
              <w:pStyle w:val="14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生产车间备用区域</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多层板</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E0级</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1200张/年</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120张</w:t>
            </w:r>
          </w:p>
        </w:tc>
        <w:tc>
          <w:tcPr>
            <w:tcW w:w="458"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eastAsia="zh-CN"/>
              </w:rPr>
              <w:t>散装</w:t>
            </w:r>
          </w:p>
        </w:tc>
        <w:tc>
          <w:tcPr>
            <w:tcW w:w="637"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eastAsia="zh-CN"/>
              </w:rPr>
              <w:t>生产车间备用区域</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砂皮</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1000张/年</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100张</w:t>
            </w:r>
          </w:p>
        </w:tc>
        <w:tc>
          <w:tcPr>
            <w:tcW w:w="458"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eastAsia="zh-CN"/>
              </w:rPr>
              <w:t>袋装</w:t>
            </w:r>
          </w:p>
        </w:tc>
        <w:tc>
          <w:tcPr>
            <w:tcW w:w="637"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rPr>
              <w:t>原</w:t>
            </w:r>
            <w:r>
              <w:rPr>
                <w:rFonts w:hint="eastAsia" w:ascii="Times New Roman" w:hAnsi="Times New Roman" w:eastAsia="宋体" w:cs="Times New Roman"/>
                <w:sz w:val="21"/>
                <w:szCs w:val="21"/>
                <w:lang w:val="en-US" w:eastAsia="zh-CN"/>
              </w:rPr>
              <w:t>料</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水性白胶</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聚乙酸乙烯酯乳液、聚乙烯醇、助剂、水，总挥发性有机物26g/L</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0.8t/a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0.1t</w:t>
            </w:r>
          </w:p>
        </w:tc>
        <w:tc>
          <w:tcPr>
            <w:tcW w:w="458" w:type="pct"/>
            <w:vAlign w:val="center"/>
          </w:tcPr>
          <w:p>
            <w:pPr>
              <w:pStyle w:val="140"/>
              <w:ind w:firstLine="105" w:firstLineChars="50"/>
              <w:jc w:val="both"/>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油漆</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枪钉</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铁制、钢制</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20箱/年</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lang w:val="en-US" w:eastAsia="zh-CN"/>
              </w:rPr>
              <w:t>2箱</w:t>
            </w:r>
          </w:p>
        </w:tc>
        <w:tc>
          <w:tcPr>
            <w:tcW w:w="458"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eastAsia="zh-CN"/>
              </w:rPr>
              <w:t>盒装</w:t>
            </w:r>
          </w:p>
        </w:tc>
        <w:tc>
          <w:tcPr>
            <w:tcW w:w="637"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rPr>
              <w:t>原</w:t>
            </w:r>
            <w:r>
              <w:rPr>
                <w:rFonts w:hint="eastAsia" w:ascii="Times New Roman" w:hAnsi="Times New Roman" w:eastAsia="宋体" w:cs="Times New Roman"/>
                <w:sz w:val="21"/>
                <w:szCs w:val="21"/>
                <w:lang w:val="en-US" w:eastAsia="zh-CN"/>
              </w:rPr>
              <w:t>料</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水性底漆(双组份)</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水性丙烯酸乳液、二丙二醇丁醚、硬脂酸锌、水</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lang w:val="en-US" w:eastAsia="zh-CN"/>
              </w:rPr>
              <w:t>0.3t</w:t>
            </w:r>
          </w:p>
        </w:tc>
        <w:tc>
          <w:tcPr>
            <w:tcW w:w="458"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0"/>
                <w:sz w:val="21"/>
                <w:szCs w:val="21"/>
                <w:lang w:val="zh-CN" w:eastAsia="zh-CN" w:bidi="zh-CN"/>
              </w:rPr>
            </w:pPr>
            <w:r>
              <w:rPr>
                <w:rFonts w:hint="default" w:ascii="Times New Roman" w:hAnsi="Times New Roman" w:eastAsia="宋体" w:cs="Times New Roman"/>
                <w:sz w:val="21"/>
                <w:szCs w:val="21"/>
                <w:lang w:val="en-US" w:eastAsia="zh-CN"/>
              </w:rPr>
              <w:t>油漆</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水性面漆（双组份）</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聚氨基甲酸酯聚合物、</w:t>
            </w:r>
            <w:r>
              <w:rPr>
                <w:rFonts w:hint="default" w:eastAsia="宋体"/>
                <w:sz w:val="21"/>
                <w:szCs w:val="18"/>
              </w:rPr>
              <w:t>二甲基乙酰胺</w:t>
            </w:r>
            <w:r>
              <w:rPr>
                <w:rFonts w:hint="default" w:eastAsia="宋体"/>
                <w:sz w:val="21"/>
                <w:szCs w:val="18"/>
                <w:lang w:eastAsia="zh-CN"/>
              </w:rPr>
              <w:t>、</w:t>
            </w:r>
            <w:r>
              <w:rPr>
                <w:rFonts w:hint="default" w:eastAsia="宋体"/>
                <w:sz w:val="21"/>
                <w:szCs w:val="18"/>
              </w:rPr>
              <w:t>二氧化硅</w:t>
            </w:r>
            <w:r>
              <w:rPr>
                <w:rFonts w:hint="default" w:eastAsia="宋体"/>
                <w:sz w:val="21"/>
                <w:szCs w:val="18"/>
                <w:lang w:eastAsia="zh-CN"/>
              </w:rPr>
              <w:t>、</w:t>
            </w:r>
            <w:r>
              <w:rPr>
                <w:rFonts w:hint="default" w:ascii="Times New Roman" w:hAnsi="Times New Roman" w:eastAsia="宋体" w:cs="Times New Roman"/>
                <w:sz w:val="21"/>
                <w:szCs w:val="21"/>
              </w:rPr>
              <w:t>水等</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1.8t/a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0.2t</w:t>
            </w:r>
          </w:p>
        </w:tc>
        <w:tc>
          <w:tcPr>
            <w:tcW w:w="458"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油漆</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异氰酸酯</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1.03t/a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0.1t</w:t>
            </w:r>
          </w:p>
        </w:tc>
        <w:tc>
          <w:tcPr>
            <w:tcW w:w="458"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油漆</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水性底漆白漆(双组份)</w:t>
            </w:r>
          </w:p>
        </w:tc>
        <w:tc>
          <w:tcPr>
            <w:tcW w:w="974" w:type="pct"/>
            <w:vAlign w:val="top"/>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聚丙烯酸聚合物、二丙二醇甲醚</w:t>
            </w:r>
            <w:r>
              <w:rPr>
                <w:rFonts w:hint="eastAsia" w:eastAsia="宋体" w:cs="Times New Roman"/>
                <w:sz w:val="21"/>
                <w:szCs w:val="21"/>
                <w:lang w:eastAsia="zh-CN"/>
              </w:rPr>
              <w:t>、</w:t>
            </w:r>
            <w:r>
              <w:rPr>
                <w:rFonts w:hint="default" w:ascii="Times New Roman" w:hAnsi="Times New Roman" w:eastAsia="宋体" w:cs="Times New Roman"/>
                <w:sz w:val="21"/>
                <w:szCs w:val="21"/>
              </w:rPr>
              <w:t>二丙二醇丁醚、水等</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1.5t/a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r>
              <w:rPr>
                <w:rFonts w:hint="eastAsia" w:eastAsia="宋体" w:cs="Times New Roman"/>
                <w:sz w:val="21"/>
                <w:szCs w:val="21"/>
                <w:lang w:val="en-US" w:eastAsia="zh-CN"/>
              </w:rPr>
              <w:t>5</w:t>
            </w:r>
            <w:r>
              <w:rPr>
                <w:rFonts w:hint="default" w:ascii="Times New Roman" w:hAnsi="Times New Roman" w:eastAsia="宋体" w:cs="Times New Roman"/>
                <w:sz w:val="21"/>
                <w:szCs w:val="21"/>
                <w:lang w:val="en-US" w:eastAsia="zh-CN"/>
              </w:rPr>
              <w:t>t</w:t>
            </w:r>
          </w:p>
        </w:tc>
        <w:tc>
          <w:tcPr>
            <w:tcW w:w="458"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油漆</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水性面漆白漆(双组份)</w:t>
            </w:r>
          </w:p>
        </w:tc>
        <w:tc>
          <w:tcPr>
            <w:tcW w:w="974" w:type="pct"/>
            <w:vAlign w:val="top"/>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聚氨基酸酯聚合物</w:t>
            </w:r>
            <w:r>
              <w:rPr>
                <w:rFonts w:hint="default" w:ascii="Times New Roman" w:hAnsi="Times New Roman" w:eastAsia="宋体" w:cs="Times New Roman"/>
                <w:sz w:val="21"/>
                <w:szCs w:val="21"/>
              </w:rPr>
              <w:t>、二丙二醇甲醚、二丙二醇丁醚、水等</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1.5/a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r>
              <w:rPr>
                <w:rFonts w:hint="eastAsia" w:eastAsia="宋体" w:cs="Times New Roman"/>
                <w:sz w:val="21"/>
                <w:szCs w:val="21"/>
                <w:lang w:val="en-US" w:eastAsia="zh-CN"/>
              </w:rPr>
              <w:t>5</w:t>
            </w:r>
            <w:r>
              <w:rPr>
                <w:rFonts w:hint="default" w:ascii="Times New Roman" w:hAnsi="Times New Roman" w:eastAsia="宋体" w:cs="Times New Roman"/>
                <w:sz w:val="21"/>
                <w:szCs w:val="21"/>
                <w:lang w:val="en-US" w:eastAsia="zh-CN"/>
              </w:rPr>
              <w:t>t</w:t>
            </w:r>
          </w:p>
        </w:tc>
        <w:tc>
          <w:tcPr>
            <w:tcW w:w="458"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油漆</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色精</w:t>
            </w:r>
          </w:p>
        </w:tc>
        <w:tc>
          <w:tcPr>
            <w:tcW w:w="974"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水50%，颜料20%，水性亚麻油树脂30%</w:t>
            </w:r>
          </w:p>
        </w:tc>
        <w:tc>
          <w:tcPr>
            <w:tcW w:w="555"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0.06t/a</w:t>
            </w:r>
          </w:p>
        </w:tc>
        <w:tc>
          <w:tcPr>
            <w:tcW w:w="679" w:type="pct"/>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0.03t</w:t>
            </w:r>
          </w:p>
        </w:tc>
        <w:tc>
          <w:tcPr>
            <w:tcW w:w="458"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w:t>
            </w:r>
          </w:p>
        </w:tc>
        <w:tc>
          <w:tcPr>
            <w:tcW w:w="637" w:type="pct"/>
            <w:vAlign w:val="center"/>
          </w:tcPr>
          <w:p>
            <w:pPr>
              <w:pStyle w:val="14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rPr>
              <w:t>原</w:t>
            </w:r>
            <w:r>
              <w:rPr>
                <w:rFonts w:hint="eastAsia" w:ascii="Times New Roman" w:hAnsi="Times New Roman" w:eastAsia="宋体" w:cs="Times New Roman"/>
                <w:sz w:val="21"/>
                <w:szCs w:val="21"/>
                <w:lang w:val="en-US" w:eastAsia="zh-CN"/>
              </w:rPr>
              <w:t>料</w:t>
            </w:r>
            <w:r>
              <w:rPr>
                <w:rFonts w:hint="default" w:ascii="Times New Roman" w:hAnsi="Times New Roman" w:eastAsia="宋体" w:cs="Times New Roman"/>
                <w:sz w:val="21"/>
                <w:szCs w:val="21"/>
                <w:lang w:val="en-US"/>
              </w:rPr>
              <w:t>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产品</w:t>
            </w:r>
          </w:p>
        </w:tc>
        <w:tc>
          <w:tcPr>
            <w:tcW w:w="855" w:type="pct"/>
            <w:vAlign w:val="center"/>
          </w:tcPr>
          <w:p>
            <w:pPr>
              <w:pStyle w:val="140"/>
              <w:spacing w:before="0"/>
              <w:ind w:left="0" w:leftChars="0"/>
              <w:jc w:val="center"/>
              <w:rPr>
                <w:rFonts w:hint="default" w:ascii="Times New Roman" w:hAnsi="Times New Roman" w:eastAsia="宋体" w:cs="Times New Roman"/>
                <w:spacing w:val="-4"/>
                <w:kern w:val="2"/>
                <w:sz w:val="21"/>
                <w:szCs w:val="21"/>
                <w:lang w:val="en-US" w:eastAsia="zh-CN" w:bidi="ar-SA"/>
              </w:rPr>
            </w:pPr>
            <w:r>
              <w:rPr>
                <w:rFonts w:hint="default" w:ascii="Times New Roman" w:hAnsi="Times New Roman" w:eastAsia="宋体" w:cs="Times New Roman"/>
                <w:spacing w:val="-4"/>
                <w:sz w:val="21"/>
                <w:szCs w:val="21"/>
                <w:lang w:val="en-US" w:eastAsia="zh-CN"/>
              </w:rPr>
              <w:t>别墅套房家具</w:t>
            </w:r>
          </w:p>
        </w:tc>
        <w:tc>
          <w:tcPr>
            <w:tcW w:w="974"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55"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30套</w:t>
            </w:r>
          </w:p>
        </w:tc>
        <w:tc>
          <w:tcPr>
            <w:tcW w:w="679" w:type="pct"/>
            <w:vAlign w:val="center"/>
          </w:tcPr>
          <w:p>
            <w:pPr>
              <w:pStyle w:val="140"/>
              <w:ind w:left="0" w:leftChars="0" w:right="0" w:rightChars="0"/>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1套</w:t>
            </w:r>
          </w:p>
        </w:tc>
        <w:tc>
          <w:tcPr>
            <w:tcW w:w="458" w:type="pct"/>
            <w:vAlign w:val="center"/>
          </w:tcPr>
          <w:p>
            <w:pPr>
              <w:pStyle w:val="140"/>
              <w:spacing w:before="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散装</w:t>
            </w:r>
          </w:p>
        </w:tc>
        <w:tc>
          <w:tcPr>
            <w:tcW w:w="637" w:type="pct"/>
            <w:vAlign w:val="center"/>
          </w:tcPr>
          <w:p>
            <w:pPr>
              <w:pStyle w:val="140"/>
              <w:spacing w:before="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成品仓库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855"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974"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r>
              <w:rPr>
                <w:rFonts w:hint="eastAsia" w:eastAsia="宋体" w:cs="Times New Roman"/>
                <w:b w:val="0"/>
                <w:bCs/>
                <w:color w:val="auto"/>
                <w:kern w:val="2"/>
                <w:sz w:val="21"/>
                <w:szCs w:val="21"/>
                <w:highlight w:val="none"/>
                <w:lang w:val="en-US" w:eastAsia="zh-CN" w:bidi="ar-SA"/>
              </w:rPr>
              <w:t>挥发性有机物</w:t>
            </w:r>
          </w:p>
        </w:tc>
        <w:tc>
          <w:tcPr>
            <w:tcW w:w="555"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679"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458"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637" w:type="pc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610" w:type="pct"/>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w:t>
            </w:r>
          </w:p>
        </w:tc>
        <w:tc>
          <w:tcPr>
            <w:tcW w:w="855" w:type="pct"/>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收集尘（漆尘）</w:t>
            </w:r>
          </w:p>
        </w:tc>
        <w:tc>
          <w:tcPr>
            <w:tcW w:w="974"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漆尘</w:t>
            </w:r>
          </w:p>
        </w:tc>
        <w:tc>
          <w:tcPr>
            <w:tcW w:w="555"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0.0604t</w:t>
            </w:r>
            <w:r>
              <w:rPr>
                <w:rFonts w:hint="default" w:ascii="Times New Roman" w:hAnsi="Times New Roman" w:eastAsia="宋体" w:cs="Times New Roman"/>
                <w:sz w:val="21"/>
                <w:szCs w:val="21"/>
              </w:rPr>
              <w:t>/a</w:t>
            </w:r>
          </w:p>
        </w:tc>
        <w:tc>
          <w:tcPr>
            <w:tcW w:w="679"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0.02t</w:t>
            </w:r>
          </w:p>
        </w:tc>
        <w:tc>
          <w:tcPr>
            <w:tcW w:w="45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637"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废活性炭</w:t>
            </w:r>
          </w:p>
        </w:tc>
        <w:tc>
          <w:tcPr>
            <w:tcW w:w="974"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活性炭、有机物</w:t>
            </w:r>
          </w:p>
        </w:tc>
        <w:tc>
          <w:tcPr>
            <w:tcW w:w="555"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2.583t</w:t>
            </w:r>
            <w:r>
              <w:rPr>
                <w:rFonts w:hint="default" w:ascii="Times New Roman" w:hAnsi="Times New Roman" w:eastAsia="宋体" w:cs="Times New Roman"/>
                <w:sz w:val="21"/>
                <w:szCs w:val="21"/>
              </w:rPr>
              <w:t>/a</w:t>
            </w:r>
          </w:p>
        </w:tc>
        <w:tc>
          <w:tcPr>
            <w:tcW w:w="679"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0.6t</w:t>
            </w:r>
          </w:p>
        </w:tc>
        <w:tc>
          <w:tcPr>
            <w:tcW w:w="45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637"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废包装桶</w:t>
            </w:r>
          </w:p>
        </w:tc>
        <w:tc>
          <w:tcPr>
            <w:tcW w:w="974"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铁桶/塑料桶、有机物</w:t>
            </w:r>
          </w:p>
        </w:tc>
        <w:tc>
          <w:tcPr>
            <w:tcW w:w="555"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0.3t</w:t>
            </w:r>
            <w:r>
              <w:rPr>
                <w:rFonts w:hint="default" w:ascii="Times New Roman" w:hAnsi="Times New Roman" w:eastAsia="宋体" w:cs="Times New Roman"/>
                <w:sz w:val="21"/>
                <w:szCs w:val="21"/>
              </w:rPr>
              <w:t>/a</w:t>
            </w:r>
          </w:p>
        </w:tc>
        <w:tc>
          <w:tcPr>
            <w:tcW w:w="679"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0.2t</w:t>
            </w:r>
          </w:p>
        </w:tc>
        <w:tc>
          <w:tcPr>
            <w:tcW w:w="45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散装</w:t>
            </w:r>
          </w:p>
        </w:tc>
        <w:tc>
          <w:tcPr>
            <w:tcW w:w="637"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废过滤纤维</w:t>
            </w:r>
          </w:p>
        </w:tc>
        <w:tc>
          <w:tcPr>
            <w:tcW w:w="974"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过滤纤维、有机物</w:t>
            </w:r>
          </w:p>
        </w:tc>
        <w:tc>
          <w:tcPr>
            <w:tcW w:w="555"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2.1436t</w:t>
            </w:r>
            <w:r>
              <w:rPr>
                <w:rFonts w:hint="default" w:ascii="Times New Roman" w:hAnsi="Times New Roman" w:eastAsia="宋体" w:cs="Times New Roman"/>
                <w:sz w:val="21"/>
                <w:szCs w:val="21"/>
              </w:rPr>
              <w:t>/a</w:t>
            </w:r>
          </w:p>
        </w:tc>
        <w:tc>
          <w:tcPr>
            <w:tcW w:w="679"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0.5t</w:t>
            </w:r>
          </w:p>
        </w:tc>
        <w:tc>
          <w:tcPr>
            <w:tcW w:w="45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637"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漆渣</w:t>
            </w:r>
          </w:p>
        </w:tc>
        <w:tc>
          <w:tcPr>
            <w:tcW w:w="974"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涂料</w:t>
            </w:r>
          </w:p>
        </w:tc>
        <w:tc>
          <w:tcPr>
            <w:tcW w:w="555" w:type="pct"/>
            <w:vAlign w:val="center"/>
          </w:tcPr>
          <w:p>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kern w:val="0"/>
                <w:sz w:val="21"/>
                <w:szCs w:val="21"/>
                <w:lang w:val="en-US" w:eastAsia="zh-CN" w:bidi="zh-CN"/>
              </w:rPr>
              <w:t>0.243t</w:t>
            </w:r>
            <w:r>
              <w:rPr>
                <w:rFonts w:hint="default" w:ascii="Times New Roman" w:hAnsi="Times New Roman" w:eastAsia="宋体" w:cs="Times New Roman"/>
                <w:sz w:val="21"/>
                <w:szCs w:val="21"/>
              </w:rPr>
              <w:t>/a</w:t>
            </w:r>
          </w:p>
        </w:tc>
        <w:tc>
          <w:tcPr>
            <w:tcW w:w="679"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0.06t</w:t>
            </w:r>
          </w:p>
        </w:tc>
        <w:tc>
          <w:tcPr>
            <w:tcW w:w="45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637"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zh-CN"/>
              </w:rPr>
              <w:t>废灯管</w:t>
            </w:r>
          </w:p>
        </w:tc>
        <w:tc>
          <w:tcPr>
            <w:tcW w:w="974" w:type="pct"/>
            <w:vAlign w:val="center"/>
          </w:tcPr>
          <w:p>
            <w:pPr>
              <w:pStyle w:val="140"/>
              <w:ind w:left="0" w:lef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灯管</w:t>
            </w:r>
          </w:p>
        </w:tc>
        <w:tc>
          <w:tcPr>
            <w:tcW w:w="555" w:type="pct"/>
            <w:vAlign w:val="center"/>
          </w:tcPr>
          <w:p>
            <w:pPr>
              <w:pStyle w:val="140"/>
              <w:ind w:left="0" w:lef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0.06t</w:t>
            </w:r>
            <w:r>
              <w:rPr>
                <w:rFonts w:hint="default" w:ascii="Times New Roman" w:hAnsi="Times New Roman" w:eastAsia="宋体" w:cs="Times New Roman"/>
                <w:sz w:val="21"/>
                <w:szCs w:val="21"/>
              </w:rPr>
              <w:t>/a</w:t>
            </w:r>
          </w:p>
        </w:tc>
        <w:tc>
          <w:tcPr>
            <w:tcW w:w="679"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0.02t</w:t>
            </w:r>
          </w:p>
        </w:tc>
        <w:tc>
          <w:tcPr>
            <w:tcW w:w="45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637"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855" w:type="pct"/>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废催化剂</w:t>
            </w:r>
          </w:p>
        </w:tc>
        <w:tc>
          <w:tcPr>
            <w:tcW w:w="974" w:type="pct"/>
            <w:vAlign w:val="center"/>
          </w:tcPr>
          <w:p>
            <w:pPr>
              <w:pStyle w:val="140"/>
              <w:ind w:left="0" w:left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催化剂、有机物</w:t>
            </w:r>
          </w:p>
        </w:tc>
        <w:tc>
          <w:tcPr>
            <w:tcW w:w="555" w:type="pct"/>
            <w:vAlign w:val="center"/>
          </w:tcPr>
          <w:p>
            <w:pPr>
              <w:pStyle w:val="140"/>
              <w:ind w:left="0" w:left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0.01t</w:t>
            </w:r>
            <w:r>
              <w:rPr>
                <w:rFonts w:hint="default" w:ascii="Times New Roman" w:hAnsi="Times New Roman" w:eastAsia="宋体" w:cs="Times New Roman"/>
                <w:sz w:val="21"/>
                <w:szCs w:val="21"/>
              </w:rPr>
              <w:t>/a</w:t>
            </w:r>
          </w:p>
        </w:tc>
        <w:tc>
          <w:tcPr>
            <w:tcW w:w="679" w:type="pct"/>
            <w:vAlign w:val="center"/>
          </w:tcPr>
          <w:p>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0.01t</w:t>
            </w:r>
          </w:p>
        </w:tc>
        <w:tc>
          <w:tcPr>
            <w:tcW w:w="458" w:type="pct"/>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637" w:type="pct"/>
            <w:vAlign w:val="center"/>
          </w:tcPr>
          <w:p>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危废仓库</w:t>
            </w:r>
          </w:p>
        </w:tc>
        <w:tc>
          <w:tcPr>
            <w:tcW w:w="610"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eastAsia="宋体" w:cs="Times New Roman"/>
                <w:b w:val="0"/>
                <w:bCs/>
                <w:color w:val="auto"/>
                <w:sz w:val="21"/>
                <w:szCs w:val="21"/>
                <w:highlight w:val="none"/>
                <w:lang w:val="en-US" w:eastAsia="zh-CN"/>
              </w:rPr>
              <w:t>、涉水</w:t>
            </w:r>
          </w:p>
        </w:tc>
      </w:tr>
    </w:tbl>
    <w:p>
      <w:pPr>
        <w:widowControl/>
        <w:spacing w:before="120" w:beforeLines="50" w:line="500" w:lineRule="exact"/>
        <w:ind w:firstLine="0" w:firstLineChars="0"/>
        <w:jc w:val="center"/>
        <w:rPr>
          <w:rFonts w:hint="default" w:ascii="Times New Roman" w:hAnsi="Times New Roman" w:cs="Times New Roman" w:eastAsiaTheme="minorEastAsia"/>
          <w:b/>
          <w:bCs/>
          <w:color w:val="auto"/>
          <w:sz w:val="24"/>
          <w:szCs w:val="24"/>
          <w:highlight w:val="none"/>
        </w:rPr>
      </w:pPr>
      <w:bookmarkStart w:id="60" w:name="_Toc32621"/>
      <w:bookmarkStart w:id="61" w:name="_Toc7621"/>
      <w:r>
        <w:rPr>
          <w:rFonts w:ascii="Times New Roman" w:hAnsi="Times New Roman" w:cs="Times New Roman" w:eastAsiaTheme="minorEastAsia"/>
          <w:b/>
          <w:bCs/>
          <w:color w:val="auto"/>
          <w:sz w:val="24"/>
          <w:szCs w:val="24"/>
          <w:highlight w:val="none"/>
        </w:rPr>
        <w:t>表</w:t>
      </w:r>
      <w:r>
        <w:rPr>
          <w:rFonts w:hint="eastAsia" w:cs="Times New Roman" w:eastAsiaTheme="minorEastAsia"/>
          <w:b/>
          <w:bCs/>
          <w:color w:val="auto"/>
          <w:sz w:val="24"/>
          <w:szCs w:val="24"/>
          <w:highlight w:val="none"/>
          <w:lang w:val="en-US" w:eastAsia="zh-CN"/>
        </w:rPr>
        <w:t>3-8</w:t>
      </w:r>
      <w:r>
        <w:rPr>
          <w:rFonts w:hint="default" w:ascii="Times New Roman" w:hAnsi="Times New Roman" w:cs="Times New Roman" w:eastAsiaTheme="minorEastAsia"/>
          <w:b/>
          <w:bCs/>
          <w:color w:val="auto"/>
          <w:sz w:val="24"/>
          <w:szCs w:val="24"/>
          <w:highlight w:val="none"/>
          <w:lang w:val="en-US" w:eastAsia="zh-CN"/>
        </w:rPr>
        <w:t xml:space="preserve"> </w:t>
      </w:r>
      <w:r>
        <w:rPr>
          <w:rFonts w:hint="default" w:ascii="Times New Roman" w:hAnsi="Times New Roman" w:cs="Times New Roman" w:eastAsiaTheme="minorEastAsia"/>
          <w:b/>
          <w:bCs/>
          <w:color w:val="auto"/>
          <w:sz w:val="24"/>
          <w:szCs w:val="24"/>
          <w:highlight w:val="none"/>
        </w:rPr>
        <w:t>水性漆及固化剂主要成分表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516"/>
        <w:gridCol w:w="1188"/>
        <w:gridCol w:w="2232"/>
        <w:gridCol w:w="2666"/>
        <w:gridCol w:w="2675"/>
        <w:tblGridChange w:id="0">
          <w:tblGrid>
            <w:gridCol w:w="1"/>
            <w:gridCol w:w="515"/>
            <w:gridCol w:w="10"/>
            <w:gridCol w:w="1"/>
            <w:gridCol w:w="1177"/>
            <w:gridCol w:w="10"/>
            <w:gridCol w:w="1"/>
            <w:gridCol w:w="2221"/>
            <w:gridCol w:w="2666"/>
            <w:gridCol w:w="2675"/>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640"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涂料名称</w:t>
            </w:r>
          </w:p>
        </w:tc>
        <w:tc>
          <w:tcPr>
            <w:tcW w:w="1202"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主要成份</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浓度</w:t>
            </w:r>
            <w:r>
              <w:rPr>
                <w:rFonts w:hint="default" w:ascii="Times New Roman" w:hAnsi="Times New Roman" w:eastAsia="宋体" w:cs="Times New Roman"/>
                <w:sz w:val="21"/>
                <w:szCs w:val="21"/>
              </w:rPr>
              <w:t>（%）</w:t>
            </w:r>
          </w:p>
        </w:tc>
        <w:tc>
          <w:tcPr>
            <w:tcW w:w="1441" w:type="pct"/>
            <w:tcBorders>
              <w:tl2br w:val="nil"/>
              <w:tr2bl w:val="nil"/>
            </w:tcBorders>
            <w:noWrap w:val="0"/>
            <w:vAlign w:val="center"/>
          </w:tcPr>
          <w:p>
            <w:pPr>
              <w:spacing w:line="240" w:lineRule="auto"/>
              <w:ind w:firstLine="0" w:firstLineChars="0"/>
              <w:jc w:val="center"/>
              <w:rPr>
                <w:rFonts w:hint="default" w:eastAsia="宋体" w:cs="Times New Roman"/>
                <w:sz w:val="21"/>
                <w:szCs w:val="21"/>
                <w:lang w:val="en-US" w:eastAsia="zh-CN"/>
              </w:rPr>
            </w:pPr>
            <w:r>
              <w:rPr>
                <w:rFonts w:hint="eastAsia" w:eastAsia="宋体" w:cs="Times New Roman"/>
                <w:sz w:val="21"/>
                <w:szCs w:val="21"/>
                <w:lang w:val="en-US" w:eastAsia="zh-CN"/>
              </w:rPr>
              <w:t>CAS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40"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水性底漆</w:t>
            </w:r>
          </w:p>
        </w:tc>
        <w:tc>
          <w:tcPr>
            <w:tcW w:w="1202"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聚丙烯酸聚合物</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25-40</w:t>
            </w:r>
          </w:p>
        </w:tc>
        <w:tc>
          <w:tcPr>
            <w:tcW w:w="1441"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640"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1202"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水</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50-60</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7732-18-5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640"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1202"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二丙二醇甲醚</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1-3</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345990-94-8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640"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1202"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二丙二醇丁醚</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1-3</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29911-28-2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640"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水性面漆</w:t>
            </w:r>
          </w:p>
        </w:tc>
        <w:tc>
          <w:tcPr>
            <w:tcW w:w="1202"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聚氨基酸酯聚合物</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22-33</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640"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1202"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水</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53-62</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7732-18-5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640"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1202"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二甲基乙酰胺</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2-6</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127-19-5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wBefore w:w="0" w:type="auto"/>
          <w:wAfter w:w="0" w:type="auto"/>
          <w:trHeight w:val="340" w:hRule="atLeast"/>
          <w:tblHeader/>
          <w:jc w:val="center"/>
        </w:trPr>
        <w:tc>
          <w:tcPr>
            <w:tcW w:w="278"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640"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p>
        </w:tc>
        <w:tc>
          <w:tcPr>
            <w:tcW w:w="1202" w:type="pct"/>
            <w:tcBorders>
              <w:tl2br w:val="nil"/>
              <w:tr2bl w:val="nil"/>
            </w:tcBorders>
            <w:noWrap w:val="0"/>
            <w:vAlign w:val="center"/>
          </w:tcPr>
          <w:p>
            <w:pPr>
              <w:spacing w:line="240" w:lineRule="auto"/>
              <w:ind w:firstLine="0" w:firstLineChars="0"/>
              <w:jc w:val="center"/>
              <w:rPr>
                <w:rFonts w:hint="default" w:eastAsia="宋体" w:cs="Times New Roman"/>
                <w:sz w:val="21"/>
                <w:szCs w:val="21"/>
                <w:lang w:val="en-US" w:eastAsia="zh-CN"/>
              </w:rPr>
            </w:pPr>
            <w:r>
              <w:rPr>
                <w:rFonts w:hint="eastAsia" w:eastAsia="宋体" w:cs="Times New Roman"/>
                <w:sz w:val="21"/>
                <w:szCs w:val="21"/>
                <w:lang w:val="en-US" w:eastAsia="zh-CN"/>
              </w:rPr>
              <w:t>二氧化硅</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1-5</w:t>
            </w:r>
          </w:p>
        </w:tc>
        <w:tc>
          <w:tcPr>
            <w:tcW w:w="144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14808-60-7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78"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640"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水性固化剂</w:t>
            </w:r>
          </w:p>
        </w:tc>
        <w:tc>
          <w:tcPr>
            <w:tcW w:w="1202"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异氰酸酯</w:t>
            </w:r>
          </w:p>
        </w:tc>
        <w:tc>
          <w:tcPr>
            <w:tcW w:w="1436"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100</w:t>
            </w:r>
          </w:p>
        </w:tc>
        <w:tc>
          <w:tcPr>
            <w:tcW w:w="1441" w:type="pct"/>
            <w:tcBorders>
              <w:tl2br w:val="nil"/>
              <w:tr2bl w:val="nil"/>
            </w:tcBorders>
            <w:noWrap w:val="0"/>
            <w:vAlign w:val="center"/>
          </w:tcPr>
          <w:p>
            <w:pPr>
              <w:spacing w:line="240" w:lineRule="auto"/>
              <w:ind w:firstLine="0" w:firstLineChars="0"/>
              <w:jc w:val="center"/>
              <w:rPr>
                <w:rFonts w:hint="default" w:eastAsia="宋体" w:cs="Times New Roman"/>
                <w:sz w:val="21"/>
                <w:szCs w:val="21"/>
                <w:lang w:val="en-US" w:eastAsia="zh-CN"/>
              </w:rPr>
            </w:pPr>
            <w:r>
              <w:rPr>
                <w:rFonts w:hint="eastAsia" w:eastAsia="宋体" w:cs="Times New Roman"/>
                <w:sz w:val="21"/>
                <w:szCs w:val="21"/>
                <w:lang w:val="en-US" w:eastAsia="zh-CN"/>
              </w:rPr>
              <w:t>75-13-8</w:t>
            </w:r>
          </w:p>
        </w:tc>
      </w:tr>
    </w:tbl>
    <w:p>
      <w:pPr>
        <w:pageBreakBefore w:val="0"/>
        <w:widowControl w:val="0"/>
        <w:kinsoku/>
        <w:wordWrap/>
        <w:overflowPunct/>
        <w:topLinePunct w:val="0"/>
        <w:autoSpaceDE/>
        <w:autoSpaceDN/>
        <w:bidi w:val="0"/>
        <w:snapToGrid w:val="0"/>
        <w:spacing w:line="500" w:lineRule="exact"/>
        <w:jc w:val="center"/>
        <w:textAlignment w:val="auto"/>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t>表</w:t>
      </w:r>
      <w:r>
        <w:rPr>
          <w:rFonts w:hint="eastAsia" w:cs="Times New Roman" w:eastAsiaTheme="minorEastAsia"/>
          <w:b/>
          <w:color w:val="auto"/>
          <w:sz w:val="24"/>
          <w:szCs w:val="24"/>
          <w:highlight w:val="none"/>
          <w:lang w:val="en-US" w:eastAsia="zh-CN"/>
        </w:rPr>
        <w:t>3-9</w:t>
      </w:r>
      <w:r>
        <w:rPr>
          <w:rFonts w:hint="eastAsia" w:eastAsiaTheme="minorEastAsia"/>
          <w:b/>
          <w:color w:val="000000" w:themeColor="text1"/>
          <w:sz w:val="24"/>
          <w:szCs w:val="24"/>
          <w:lang w:val="en-US" w:eastAsia="zh-CN"/>
          <w14:textFill>
            <w14:solidFill>
              <w14:schemeClr w14:val="tx1"/>
            </w14:solidFill>
          </w14:textFill>
        </w:rPr>
        <w:t>公司原辅料理化性质</w:t>
      </w:r>
    </w:p>
    <w:tbl>
      <w:tblPr>
        <w:tblStyle w:val="37"/>
        <w:tblW w:w="517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35"/>
        <w:gridCol w:w="1549"/>
        <w:gridCol w:w="3376"/>
        <w:gridCol w:w="2230"/>
        <w:gridCol w:w="1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81"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序号</w:t>
            </w:r>
          </w:p>
        </w:tc>
        <w:tc>
          <w:tcPr>
            <w:tcW w:w="813"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名称</w:t>
            </w:r>
          </w:p>
        </w:tc>
        <w:tc>
          <w:tcPr>
            <w:tcW w:w="1771"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理化性质</w:t>
            </w:r>
          </w:p>
        </w:tc>
        <w:tc>
          <w:tcPr>
            <w:tcW w:w="1170"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危险特</w:t>
            </w:r>
            <w:r>
              <w:rPr>
                <w:rFonts w:hint="default" w:ascii="Times New Roman" w:hAnsi="Times New Roman" w:eastAsia="宋体" w:cs="Times New Roman"/>
                <w:b/>
                <w:bCs/>
                <w:color w:val="auto"/>
                <w:sz w:val="21"/>
                <w:szCs w:val="21"/>
                <w:highlight w:val="none"/>
                <w:lang w:val="en-US" w:eastAsia="zh-CN"/>
              </w:rPr>
              <w:t>性</w:t>
            </w:r>
          </w:p>
        </w:tc>
        <w:tc>
          <w:tcPr>
            <w:tcW w:w="962"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毒理毒性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白胶</w:t>
            </w:r>
          </w:p>
        </w:tc>
        <w:tc>
          <w:tcPr>
            <w:tcW w:w="177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主要成分聚乙酸乙烯酯乳液。外观：乳白色。固含量(30%-45%)，粘度：5000-60000pa.s以上。pH值4~6。</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二丙二醇甲醚</w:t>
            </w:r>
          </w:p>
        </w:tc>
        <w:tc>
          <w:tcPr>
            <w:tcW w:w="177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分子式C</w:t>
            </w:r>
            <w:r>
              <w:rPr>
                <w:rFonts w:hint="default" w:ascii="Times New Roman" w:hAnsi="Times New Roman" w:eastAsia="宋体" w:cs="Times New Roman"/>
                <w:sz w:val="21"/>
                <w:szCs w:val="21"/>
                <w:vertAlign w:val="subscript"/>
              </w:rPr>
              <w:t>7</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16</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，分子量 148.2。无色透明液体,有微弱醚味。密度(25℃)0.95，沸点(101.3kPa)/C=190℃，熔点-80℃。闪点(闭杯)75℃，(开杯)85℃。与水和多种有机溶剂混溶。</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遇明火、高热可燃。</w:t>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低毒</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大鼠LD</w:t>
            </w:r>
            <w:r>
              <w:rPr>
                <w:rFonts w:hint="default" w:ascii="Times New Roman" w:hAnsi="Times New Roman" w:eastAsia="宋体" w:cs="Times New Roman"/>
                <w:sz w:val="21"/>
                <w:szCs w:val="21"/>
                <w:vertAlign w:val="subscript"/>
              </w:rPr>
              <w:t>50</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5500mg/kg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二丙二醇丁醚</w:t>
            </w:r>
          </w:p>
        </w:tc>
        <w:tc>
          <w:tcPr>
            <w:tcW w:w="177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分子式C</w:t>
            </w:r>
            <w:r>
              <w:rPr>
                <w:rFonts w:hint="default" w:ascii="Times New Roman" w:hAnsi="Times New Roman" w:eastAsia="宋体" w:cs="Times New Roman"/>
                <w:sz w:val="21"/>
                <w:szCs w:val="21"/>
                <w:vertAlign w:val="subscript"/>
              </w:rPr>
              <w:t>10</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，分子量 190.3</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外观性质：无色液体。溶解性：溶于水。沸点222-232℃(lit.)。密度0.913 g/mL at 25℃(lit.)。闪点 205 °F。</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遇明火、高热可燃。</w:t>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聚乙烯醇</w:t>
            </w:r>
          </w:p>
        </w:tc>
        <w:tc>
          <w:tcPr>
            <w:tcW w:w="177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CAS号为9002-89-5，白色片状、絮状或粉末状固体，无味。溶于水，聚乙烯醇的</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"https://baike.so.com/doc/2751462-2903816.html"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相对密度</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(25℃/4℃)1.27~1.31(固体)、1.02(10%溶液)。</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可燃，具</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"https://baike.so.com/doc/3105569-3273338.html"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刺激性</w:t>
            </w:r>
            <w:r>
              <w:rPr>
                <w:rFonts w:hint="default" w:ascii="Times New Roman" w:hAnsi="Times New Roman" w:eastAsia="宋体" w:cs="Times New Roman"/>
                <w:sz w:val="21"/>
                <w:szCs w:val="21"/>
              </w:rPr>
              <w:fldChar w:fldCharType="end"/>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丙烯酸</w:t>
            </w:r>
          </w:p>
        </w:tc>
        <w:tc>
          <w:tcPr>
            <w:tcW w:w="177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丙烯酸是重要的有机合成原料及</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"https://baike.baidu.com/item/%E5%90%88%E6%88%90%E6%A0%91%E8%84%82"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合成树脂</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单体，是聚合速度非常快的乙烯类单体。CAS号:79-10-7, 相对蒸气密度(空气=1)：2.45,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"https://baike.baidu.com/item/%E7%9B%B8%E5%AF%B9%E5%AF%86%E5%BA%A6"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相对密度</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(20℃)：1.050。是最简单的不饱和羧酸，由一个</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"https://baike.baidu.com/item/%E4%B9%99%E7%83%AF%E5%9F%BA"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乙烯基</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和一个</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"https://baike.baidu.com/item/%E7%BE%A7%E5%9F%BA"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羧基</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组成。</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易燃</w:t>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大鼠经口LD</w:t>
            </w:r>
            <w:r>
              <w:rPr>
                <w:rFonts w:hint="eastAsia" w:ascii="Times New Roman" w:hAnsi="Times New Roman" w:eastAsia="宋体" w:cs="Times New Roman"/>
                <w:sz w:val="21"/>
                <w:szCs w:val="21"/>
                <w:vertAlign w:val="subscript"/>
                <w:lang w:val="en-US" w:eastAsia="zh-CN"/>
              </w:rPr>
              <w:t>50</w:t>
            </w:r>
            <w:r>
              <w:rPr>
                <w:rFonts w:hint="default" w:ascii="Times New Roman" w:hAnsi="Times New Roman" w:eastAsia="宋体" w:cs="Times New Roman"/>
                <w:sz w:val="21"/>
                <w:szCs w:val="21"/>
              </w:rPr>
              <w:t xml:space="preserve">：33500 </w:t>
            </w:r>
            <w:r>
              <w:rPr>
                <w:rFonts w:hint="default" w:ascii="Times New Roman" w:hAnsi="Times New Roman" w:eastAsia="宋体" w:cs="Times New Roman"/>
                <w:sz w:val="21"/>
                <w:szCs w:val="21"/>
                <w:lang w:val="en-US" w:eastAsia="zh-CN"/>
              </w:rPr>
              <w:t>μ</w:t>
            </w:r>
            <w:r>
              <w:rPr>
                <w:rFonts w:hint="eastAsia" w:ascii="Times New Roman" w:hAnsi="Times New Roman" w:eastAsia="宋体" w:cs="Times New Roman"/>
                <w:sz w:val="21"/>
                <w:szCs w:val="21"/>
                <w:lang w:val="en-US" w:eastAsia="zh-CN"/>
              </w:rPr>
              <w:t>g</w:t>
            </w:r>
            <w:r>
              <w:rPr>
                <w:rFonts w:hint="default" w:ascii="Times New Roman" w:hAnsi="Times New Roman" w:eastAsia="宋体" w:cs="Times New Roman"/>
                <w:sz w:val="21"/>
                <w:szCs w:val="21"/>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6</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丙二醇甲醚醋酸酯</w:t>
            </w:r>
          </w:p>
        </w:tc>
        <w:tc>
          <w:tcPr>
            <w:tcW w:w="1771" w:type="pct"/>
            <w:shd w:val="clear" w:color="auto" w:fill="auto"/>
            <w:vAlign w:val="center"/>
          </w:tcPr>
          <w:p>
            <w:pPr>
              <w:widowControl/>
              <w:spacing w:before="0" w:beforeAutospacing="0" w:after="0" w:afterAutospacing="0"/>
              <w:ind w:left="0" w:leftChars="0" w:right="0" w:rightChars="0"/>
              <w:jc w:val="left"/>
              <w:rPr>
                <w:rFonts w:hint="default" w:ascii="Times New Roman" w:hAnsi="Times New Roman" w:eastAsia="宋体" w:cs="Times New Roman"/>
                <w:i w:val="0"/>
                <w:iCs w:val="0"/>
                <w:caps w:val="0"/>
                <w:color w:val="333333"/>
                <w:spacing w:val="0"/>
                <w:kern w:val="0"/>
                <w:sz w:val="21"/>
                <w:szCs w:val="21"/>
                <w:shd w:val="clear" w:fill="FFFFFF"/>
                <w:lang w:val="en-US" w:eastAsia="zh-CN" w:bidi="ar"/>
              </w:rPr>
            </w:pPr>
            <w:r>
              <w:rPr>
                <w:rFonts w:hint="default" w:ascii="Times New Roman" w:hAnsi="Times New Roman" w:eastAsia="宋体" w:cs="Times New Roman"/>
                <w:sz w:val="21"/>
                <w:szCs w:val="21"/>
              </w:rPr>
              <w:t>分子式为C</w:t>
            </w:r>
            <w:r>
              <w:rPr>
                <w:rFonts w:hint="default" w:ascii="Times New Roman" w:hAnsi="Times New Roman" w:eastAsia="宋体" w:cs="Times New Roman"/>
                <w:sz w:val="21"/>
                <w:szCs w:val="21"/>
                <w:vertAlign w:val="subscript"/>
              </w:rPr>
              <w:t>6</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无色吸湿液体，有特殊气味，是一种具有多官能团的非公害溶剂。密度（g/mL,25℃）：0.96；相对密度（20℃，4℃）：0.9677；熔点（ºC）：-87；沸点（ºC,常压）：146740；折射率（D20)：1.4028；闪点（ºC）：42；自燃点或引燃温度（ºC）: 315；临界密度（g·cm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）：0.306；临界体积（cm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·mol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）：432；临界压缩因子：0.262；临界温度（ºC）：324-65；临界压力（MPa）：3.01</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易燃液体</w:t>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急性毒性：大鼠经口LD</w:t>
            </w:r>
            <w:r>
              <w:rPr>
                <w:rFonts w:hint="default" w:ascii="Times New Roman" w:hAnsi="Times New Roman" w:eastAsia="宋体" w:cs="Times New Roman"/>
                <w:sz w:val="21"/>
                <w:szCs w:val="21"/>
                <w:vertAlign w:val="subscript"/>
              </w:rPr>
              <w:t>50</w:t>
            </w:r>
            <w:r>
              <w:rPr>
                <w:rFonts w:hint="default" w:ascii="Times New Roman" w:hAnsi="Times New Roman" w:eastAsia="宋体" w:cs="Times New Roman"/>
                <w:sz w:val="21"/>
                <w:szCs w:val="21"/>
              </w:rPr>
              <w:t>：8532mg/kg；小鼠经腹腔LD</w:t>
            </w:r>
            <w:r>
              <w:rPr>
                <w:rFonts w:hint="default" w:ascii="Times New Roman" w:hAnsi="Times New Roman" w:eastAsia="宋体" w:cs="Times New Roman"/>
                <w:sz w:val="21"/>
                <w:szCs w:val="21"/>
                <w:vertAlign w:val="subscript"/>
              </w:rPr>
              <w:t>50</w:t>
            </w:r>
            <w:r>
              <w:rPr>
                <w:rFonts w:hint="default" w:ascii="Times New Roman" w:hAnsi="Times New Roman" w:eastAsia="宋体" w:cs="Times New Roman"/>
                <w:sz w:val="21"/>
                <w:szCs w:val="21"/>
              </w:rPr>
              <w:t>：750mg/kg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81" w:type="pct"/>
            <w:shd w:val="clear" w:color="auto" w:fill="auto"/>
            <w:vAlign w:val="center"/>
          </w:tcPr>
          <w:p>
            <w:pPr>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7</w:t>
            </w:r>
          </w:p>
        </w:tc>
        <w:tc>
          <w:tcPr>
            <w:tcW w:w="813"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脂肪族聚异氰酸酯</w:t>
            </w:r>
          </w:p>
        </w:tc>
        <w:tc>
          <w:tcPr>
            <w:tcW w:w="1771"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无色有强烈气味液体，用作涂料的固化剂组分；密度1.13，闪点50℃，溶于酯类、酮类、芳烃类溶剂</w:t>
            </w:r>
          </w:p>
        </w:tc>
        <w:tc>
          <w:tcPr>
            <w:tcW w:w="1170"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962" w:type="pct"/>
            <w:shd w:val="clear" w:color="auto" w:fill="auto"/>
            <w:vAlign w:val="center"/>
          </w:tcPr>
          <w:p>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bl>
    <w:p>
      <w:pPr>
        <w:pStyle w:val="4"/>
        <w:adjustRightInd w:val="0"/>
        <w:snapToGrid w:val="0"/>
        <w:spacing w:line="48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3.4 </w:t>
      </w:r>
      <w:r>
        <w:rPr>
          <w:rFonts w:hint="eastAsia" w:eastAsia="宋体" w:cs="Times New Roman"/>
          <w:sz w:val="24"/>
          <w:szCs w:val="24"/>
          <w:lang w:val="en-US" w:eastAsia="zh-CN"/>
        </w:rPr>
        <w:t>环境</w:t>
      </w:r>
      <w:bookmarkEnd w:id="60"/>
      <w:r>
        <w:rPr>
          <w:rFonts w:hint="eastAsia" w:eastAsia="宋体" w:cs="Times New Roman"/>
          <w:sz w:val="24"/>
          <w:szCs w:val="24"/>
          <w:lang w:val="en-US" w:eastAsia="zh-CN"/>
        </w:rPr>
        <w:t>风险单元识别</w:t>
      </w:r>
    </w:p>
    <w:p>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油漆</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color w:val="000000" w:themeColor="text1"/>
          <w:sz w:val="24"/>
          <w:szCs w:val="24"/>
          <w14:textFill>
            <w14:solidFill>
              <w14:schemeClr w14:val="tx1"/>
            </w14:solidFill>
          </w14:textFill>
        </w:rPr>
        <w:t xml:space="preserve">  </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pPr>
              <w:pStyle w:val="140"/>
              <w:spacing w:before="0"/>
              <w:ind w:left="0" w:right="0"/>
              <w:rPr>
                <w:b/>
                <w:sz w:val="21"/>
              </w:rPr>
            </w:pPr>
            <w:r>
              <w:rPr>
                <w:b/>
                <w:sz w:val="21"/>
              </w:rPr>
              <w:t>环境风险</w:t>
            </w:r>
          </w:p>
          <w:p>
            <w:pPr>
              <w:pStyle w:val="140"/>
              <w:spacing w:before="0" w:line="240" w:lineRule="auto"/>
              <w:ind w:left="0" w:right="0"/>
              <w:rPr>
                <w:b/>
                <w:sz w:val="21"/>
              </w:rPr>
            </w:pPr>
            <w:r>
              <w:rPr>
                <w:b/>
                <w:sz w:val="21"/>
              </w:rPr>
              <w:t>单元</w:t>
            </w:r>
          </w:p>
        </w:tc>
        <w:tc>
          <w:tcPr>
            <w:tcW w:w="1984" w:type="dxa"/>
            <w:tcBorders>
              <w:tl2br w:val="nil"/>
              <w:tr2bl w:val="nil"/>
            </w:tcBorders>
            <w:vAlign w:val="center"/>
          </w:tcPr>
          <w:p>
            <w:pPr>
              <w:pStyle w:val="140"/>
              <w:spacing w:before="0"/>
              <w:ind w:left="0" w:right="0"/>
              <w:rPr>
                <w:b/>
                <w:sz w:val="21"/>
              </w:rPr>
            </w:pPr>
            <w:r>
              <w:rPr>
                <w:b/>
                <w:sz w:val="21"/>
              </w:rPr>
              <w:t>风险物质名称</w:t>
            </w:r>
          </w:p>
        </w:tc>
        <w:tc>
          <w:tcPr>
            <w:tcW w:w="1437" w:type="dxa"/>
            <w:tcBorders>
              <w:tl2br w:val="nil"/>
              <w:tr2bl w:val="nil"/>
            </w:tcBorders>
            <w:vAlign w:val="center"/>
          </w:tcPr>
          <w:p>
            <w:pPr>
              <w:pStyle w:val="140"/>
              <w:spacing w:before="0"/>
              <w:ind w:left="0"/>
              <w:jc w:val="center"/>
              <w:rPr>
                <w:b/>
                <w:sz w:val="21"/>
              </w:rPr>
            </w:pPr>
            <w:r>
              <w:rPr>
                <w:b/>
                <w:sz w:val="21"/>
              </w:rPr>
              <w:t>最大存在总</w:t>
            </w:r>
          </w:p>
          <w:p>
            <w:pPr>
              <w:pStyle w:val="140"/>
              <w:spacing w:before="0" w:line="240" w:lineRule="auto"/>
              <w:ind w:left="0"/>
              <w:jc w:val="center"/>
              <w:rPr>
                <w:b/>
                <w:sz w:val="21"/>
              </w:rPr>
            </w:pPr>
            <w:r>
              <w:rPr>
                <w:b/>
                <w:sz w:val="21"/>
              </w:rPr>
              <w:t xml:space="preserve">量 </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pPr>
              <w:pStyle w:val="140"/>
              <w:spacing w:before="0"/>
              <w:ind w:left="0" w:right="0"/>
              <w:rPr>
                <w:rFonts w:ascii="Times New Roman" w:eastAsia="Times New Roman"/>
                <w:b/>
                <w:sz w:val="21"/>
              </w:rPr>
            </w:pPr>
            <w:r>
              <w:rPr>
                <w:b/>
                <w:sz w:val="21"/>
              </w:rPr>
              <w:t xml:space="preserve">临界量 </w:t>
            </w:r>
            <w:r>
              <w:rPr>
                <w:rFonts w:ascii="Times New Roman" w:eastAsia="Times New Roman"/>
                <w:b/>
                <w:sz w:val="21"/>
              </w:rPr>
              <w:t>Qi</w:t>
            </w:r>
          </w:p>
          <w:p>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pPr>
              <w:pStyle w:val="140"/>
              <w:spacing w:before="0"/>
              <w:ind w:left="0" w:right="0"/>
              <w:rPr>
                <w:b/>
                <w:sz w:val="21"/>
              </w:rPr>
            </w:pPr>
            <w:r>
              <w:rPr>
                <w:b/>
                <w:sz w:val="21"/>
              </w:rPr>
              <w:t>是否重要环境</w:t>
            </w:r>
          </w:p>
          <w:p>
            <w:pPr>
              <w:pStyle w:val="140"/>
              <w:spacing w:before="0" w:line="240" w:lineRule="auto"/>
              <w:ind w:left="0" w:right="0"/>
              <w:rPr>
                <w:b/>
                <w:sz w:val="21"/>
              </w:rPr>
            </w:pPr>
            <w:r>
              <w:rPr>
                <w:b/>
                <w:sz w:val="21"/>
              </w:rPr>
              <w:t>风险单元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pPr>
              <w:pStyle w:val="140"/>
              <w:spacing w:before="0"/>
              <w:ind w:left="0" w:right="0"/>
              <w:rPr>
                <w:rFonts w:hint="default"/>
                <w:sz w:val="21"/>
                <w:lang w:val="en-US" w:eastAsia="zh-CN"/>
              </w:rPr>
            </w:pPr>
            <w:r>
              <w:rPr>
                <w:rFonts w:hint="default" w:ascii="Times New Roman" w:hAnsi="Times New Roman" w:eastAsia="宋体" w:cs="Times New Roman"/>
                <w:sz w:val="21"/>
                <w:szCs w:val="21"/>
              </w:rPr>
              <w:t>水性白胶</w:t>
            </w:r>
          </w:p>
        </w:tc>
        <w:tc>
          <w:tcPr>
            <w:tcW w:w="1437"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pPr>
              <w:pStyle w:val="140"/>
              <w:ind w:left="0"/>
              <w:rPr>
                <w:rFonts w:hint="eastAsia" w:eastAsia="宋体"/>
                <w:w w:val="100"/>
                <w:sz w:val="21"/>
                <w:lang w:val="en-US" w:eastAsia="zh-CN"/>
              </w:rPr>
            </w:pPr>
            <w:r>
              <w:rPr>
                <w:rFonts w:hint="eastAsia"/>
                <w:w w:val="100"/>
                <w:sz w:val="21"/>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0"/>
              <w:spacing w:before="0"/>
              <w:ind w:left="0" w:right="0"/>
              <w:rPr>
                <w:rFonts w:hint="eastAsia"/>
                <w:sz w:val="21"/>
                <w:lang w:val="en-US" w:eastAsia="zh-CN"/>
              </w:rPr>
            </w:pPr>
          </w:p>
        </w:tc>
        <w:tc>
          <w:tcPr>
            <w:tcW w:w="1984" w:type="dxa"/>
            <w:tcBorders>
              <w:tl2br w:val="nil"/>
              <w:tr2bl w:val="nil"/>
            </w:tcBorders>
            <w:vAlign w:val="center"/>
          </w:tcPr>
          <w:p>
            <w:pPr>
              <w:pStyle w:val="140"/>
              <w:spacing w:before="0"/>
              <w:ind w:left="0" w:right="0"/>
              <w:rPr>
                <w:rFonts w:hint="default"/>
                <w:sz w:val="21"/>
                <w:lang w:val="en-US" w:eastAsia="zh-CN"/>
              </w:rPr>
            </w:pPr>
            <w:r>
              <w:rPr>
                <w:rFonts w:hint="default" w:ascii="Times New Roman" w:hAnsi="Times New Roman" w:eastAsia="宋体" w:cs="Times New Roman"/>
                <w:sz w:val="21"/>
                <w:szCs w:val="21"/>
              </w:rPr>
              <w:t>水性底漆(双组份)</w:t>
            </w:r>
          </w:p>
        </w:tc>
        <w:tc>
          <w:tcPr>
            <w:tcW w:w="1437"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0.3</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0.003</w:t>
            </w:r>
          </w:p>
        </w:tc>
        <w:tc>
          <w:tcPr>
            <w:tcW w:w="1570" w:type="dxa"/>
            <w:vMerge w:val="continue"/>
            <w:tcBorders>
              <w:tl2br w:val="nil"/>
              <w:tr2bl w:val="nil"/>
            </w:tcBorders>
            <w:vAlign w:val="center"/>
          </w:tcPr>
          <w:p>
            <w:pPr>
              <w:pStyle w:val="140"/>
              <w:ind w:left="0"/>
              <w:rPr>
                <w:rFonts w:hint="eastAsia"/>
                <w:w w:val="100"/>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0"/>
              <w:spacing w:before="0"/>
              <w:ind w:left="0" w:right="0"/>
              <w:rPr>
                <w:rFonts w:hint="eastAsia"/>
                <w:sz w:val="21"/>
                <w:lang w:val="en-US" w:eastAsia="zh-CN"/>
              </w:rPr>
            </w:pPr>
          </w:p>
        </w:tc>
        <w:tc>
          <w:tcPr>
            <w:tcW w:w="1984" w:type="dxa"/>
            <w:tcBorders>
              <w:tl2br w:val="nil"/>
              <w:tr2bl w:val="nil"/>
            </w:tcBorders>
            <w:vAlign w:val="center"/>
          </w:tcPr>
          <w:p>
            <w:pPr>
              <w:pStyle w:val="140"/>
              <w:spacing w:before="0"/>
              <w:ind w:left="0" w:right="0"/>
              <w:rPr>
                <w:rFonts w:hint="default"/>
                <w:sz w:val="21"/>
                <w:lang w:val="en-US" w:eastAsia="zh-CN"/>
              </w:rPr>
            </w:pPr>
            <w:r>
              <w:rPr>
                <w:rFonts w:hint="default" w:ascii="Times New Roman" w:hAnsi="Times New Roman" w:eastAsia="宋体" w:cs="Times New Roman"/>
                <w:sz w:val="21"/>
                <w:szCs w:val="21"/>
              </w:rPr>
              <w:t>水性面漆（双组份）</w:t>
            </w:r>
          </w:p>
        </w:tc>
        <w:tc>
          <w:tcPr>
            <w:tcW w:w="1437"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0.2</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pPr>
              <w:pStyle w:val="140"/>
              <w:ind w:left="0"/>
              <w:rPr>
                <w:rFonts w:hint="eastAsia"/>
                <w:w w:val="100"/>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0"/>
              <w:spacing w:before="0"/>
              <w:ind w:left="0" w:right="0"/>
              <w:rPr>
                <w:rFonts w:hint="eastAsia"/>
                <w:sz w:val="21"/>
                <w:lang w:val="en-US" w:eastAsia="zh-CN"/>
              </w:rPr>
            </w:pPr>
          </w:p>
        </w:tc>
        <w:tc>
          <w:tcPr>
            <w:tcW w:w="1984" w:type="dxa"/>
            <w:tcBorders>
              <w:tl2br w:val="nil"/>
              <w:tr2bl w:val="nil"/>
            </w:tcBorders>
            <w:vAlign w:val="center"/>
          </w:tcPr>
          <w:p>
            <w:pPr>
              <w:pStyle w:val="140"/>
              <w:spacing w:before="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固化剂</w:t>
            </w:r>
          </w:p>
        </w:tc>
        <w:tc>
          <w:tcPr>
            <w:tcW w:w="1437"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pPr>
              <w:pStyle w:val="140"/>
              <w:ind w:left="0"/>
              <w:rPr>
                <w:rFonts w:hint="eastAsia"/>
                <w:w w:val="100"/>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0"/>
              <w:spacing w:before="0"/>
              <w:ind w:left="0" w:right="0"/>
              <w:rPr>
                <w:rFonts w:hint="eastAsia"/>
                <w:sz w:val="21"/>
                <w:lang w:val="en-US" w:eastAsia="zh-CN"/>
              </w:rPr>
            </w:pPr>
          </w:p>
        </w:tc>
        <w:tc>
          <w:tcPr>
            <w:tcW w:w="1984" w:type="dxa"/>
            <w:tcBorders>
              <w:tl2br w:val="nil"/>
              <w:tr2bl w:val="nil"/>
            </w:tcBorders>
            <w:vAlign w:val="center"/>
          </w:tcPr>
          <w:p>
            <w:pPr>
              <w:pStyle w:val="140"/>
              <w:spacing w:before="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水性底漆白漆(双组份)</w:t>
            </w:r>
          </w:p>
        </w:tc>
        <w:tc>
          <w:tcPr>
            <w:tcW w:w="1437"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0.15</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0.0015</w:t>
            </w:r>
          </w:p>
        </w:tc>
        <w:tc>
          <w:tcPr>
            <w:tcW w:w="1570" w:type="dxa"/>
            <w:vMerge w:val="continue"/>
            <w:tcBorders>
              <w:tl2br w:val="nil"/>
              <w:tr2bl w:val="nil"/>
            </w:tcBorders>
            <w:vAlign w:val="center"/>
          </w:tcPr>
          <w:p>
            <w:pPr>
              <w:pStyle w:val="140"/>
              <w:ind w:left="0"/>
              <w:rPr>
                <w:rFonts w:hint="eastAsia"/>
                <w:w w:val="100"/>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0"/>
              <w:spacing w:before="0"/>
              <w:ind w:left="0" w:right="0"/>
              <w:rPr>
                <w:rFonts w:hint="eastAsia"/>
                <w:sz w:val="21"/>
                <w:lang w:val="en-US" w:eastAsia="zh-CN"/>
              </w:rPr>
            </w:pPr>
          </w:p>
        </w:tc>
        <w:tc>
          <w:tcPr>
            <w:tcW w:w="1984" w:type="dxa"/>
            <w:tcBorders>
              <w:tl2br w:val="nil"/>
              <w:tr2bl w:val="nil"/>
            </w:tcBorders>
            <w:vAlign w:val="center"/>
          </w:tcPr>
          <w:p>
            <w:pPr>
              <w:pStyle w:val="140"/>
              <w:spacing w:before="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水性面漆白漆(双组份)</w:t>
            </w:r>
          </w:p>
        </w:tc>
        <w:tc>
          <w:tcPr>
            <w:tcW w:w="1437"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0.15</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0.0015</w:t>
            </w:r>
          </w:p>
        </w:tc>
        <w:tc>
          <w:tcPr>
            <w:tcW w:w="1570" w:type="dxa"/>
            <w:vMerge w:val="continue"/>
            <w:tcBorders>
              <w:tl2br w:val="nil"/>
              <w:tr2bl w:val="nil"/>
            </w:tcBorders>
            <w:vAlign w:val="center"/>
          </w:tcPr>
          <w:p>
            <w:pPr>
              <w:pStyle w:val="140"/>
              <w:ind w:left="0"/>
              <w:rPr>
                <w:rFonts w:hint="eastAsia"/>
                <w:w w:val="100"/>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pPr>
              <w:pStyle w:val="140"/>
              <w:spacing w:before="0"/>
              <w:ind w:right="0"/>
              <w:jc w:val="center"/>
              <w:rPr>
                <w:rFonts w:hint="default" w:ascii="Times New Roman" w:eastAsia="宋体"/>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pPr>
              <w:jc w:val="center"/>
              <w:rPr>
                <w:rFonts w:hint="eastAsia" w:ascii="宋体" w:hAnsi="宋体" w:eastAsia="宋体" w:cs="宋体"/>
                <w:sz w:val="21"/>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水性白胶</w:t>
            </w:r>
          </w:p>
        </w:tc>
        <w:tc>
          <w:tcPr>
            <w:tcW w:w="1437"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0.005</w:t>
            </w:r>
          </w:p>
        </w:tc>
        <w:tc>
          <w:tcPr>
            <w:tcW w:w="1300"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0.00005</w:t>
            </w:r>
          </w:p>
        </w:tc>
        <w:tc>
          <w:tcPr>
            <w:tcW w:w="1570" w:type="dxa"/>
            <w:vMerge w:val="restart"/>
            <w:tcBorders>
              <w:tl2br w:val="nil"/>
              <w:tr2bl w:val="nil"/>
            </w:tcBorders>
            <w:vAlign w:val="center"/>
          </w:tcPr>
          <w:p>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水性底漆(双组份)</w:t>
            </w:r>
          </w:p>
        </w:tc>
        <w:tc>
          <w:tcPr>
            <w:tcW w:w="1437"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0.01</w:t>
            </w:r>
          </w:p>
        </w:tc>
        <w:tc>
          <w:tcPr>
            <w:tcW w:w="1300"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0.00001</w:t>
            </w:r>
          </w:p>
        </w:tc>
        <w:tc>
          <w:tcPr>
            <w:tcW w:w="1570" w:type="dxa"/>
            <w:vMerge w:val="continue"/>
            <w:tcBorders>
              <w:tl2br w:val="nil"/>
              <w:tr2bl w:val="nil"/>
            </w:tcBorders>
            <w:vAlign w:val="center"/>
          </w:tcPr>
          <w:p>
            <w:pPr>
              <w:jc w:val="center"/>
              <w:rPr>
                <w:rFonts w:hint="eastAsia" w:ascii="宋体" w:hAnsi="宋体" w:eastAsia="宋体" w:cs="宋体"/>
                <w:sz w:val="21"/>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水性面漆（双组份）</w:t>
            </w:r>
          </w:p>
        </w:tc>
        <w:tc>
          <w:tcPr>
            <w:tcW w:w="1437"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0.01</w:t>
            </w:r>
          </w:p>
        </w:tc>
        <w:tc>
          <w:tcPr>
            <w:tcW w:w="1300"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pPr>
              <w:pStyle w:val="140"/>
              <w:spacing w:before="0"/>
              <w:ind w:right="0"/>
              <w:jc w:val="center"/>
              <w:rPr>
                <w:rFonts w:hint="eastAsia" w:ascii="Times New Roman"/>
                <w:w w:val="100"/>
                <w:sz w:val="21"/>
                <w:lang w:val="en-US" w:eastAsia="zh-CN"/>
              </w:rPr>
            </w:pPr>
            <w:r>
              <w:rPr>
                <w:rFonts w:hint="eastAsia" w:ascii="Times New Roman"/>
                <w:w w:val="100"/>
                <w:sz w:val="21"/>
                <w:lang w:val="en-US" w:eastAsia="zh-CN"/>
              </w:rPr>
              <w:t>0.00001</w:t>
            </w:r>
          </w:p>
        </w:tc>
        <w:tc>
          <w:tcPr>
            <w:tcW w:w="1570" w:type="dxa"/>
            <w:vMerge w:val="continue"/>
            <w:tcBorders>
              <w:tl2br w:val="nil"/>
              <w:tr2bl w:val="nil"/>
            </w:tcBorders>
            <w:vAlign w:val="center"/>
          </w:tcPr>
          <w:p>
            <w:pPr>
              <w:jc w:val="center"/>
              <w:rPr>
                <w:rFonts w:hint="eastAsia" w:ascii="宋体" w:hAnsi="宋体" w:eastAsia="宋体" w:cs="宋体"/>
                <w:sz w:val="21"/>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1437"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0.005</w:t>
            </w:r>
          </w:p>
        </w:tc>
        <w:tc>
          <w:tcPr>
            <w:tcW w:w="1300"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pPr>
              <w:pStyle w:val="140"/>
              <w:spacing w:before="0"/>
              <w:ind w:right="0"/>
              <w:jc w:val="center"/>
              <w:rPr>
                <w:rFonts w:hint="eastAsia" w:ascii="Times New Roman"/>
                <w:w w:val="100"/>
                <w:sz w:val="21"/>
                <w:lang w:val="en-US" w:eastAsia="zh-CN"/>
              </w:rPr>
            </w:pPr>
            <w:r>
              <w:rPr>
                <w:rFonts w:hint="eastAsia" w:ascii="Times New Roman"/>
                <w:w w:val="100"/>
                <w:sz w:val="21"/>
                <w:lang w:val="en-US" w:eastAsia="zh-CN"/>
              </w:rPr>
              <w:t>0.00005</w:t>
            </w:r>
          </w:p>
        </w:tc>
        <w:tc>
          <w:tcPr>
            <w:tcW w:w="1570" w:type="dxa"/>
            <w:vMerge w:val="continue"/>
            <w:tcBorders>
              <w:tl2br w:val="nil"/>
              <w:tr2bl w:val="nil"/>
            </w:tcBorders>
            <w:vAlign w:val="center"/>
          </w:tcPr>
          <w:p>
            <w:pPr>
              <w:jc w:val="center"/>
              <w:rPr>
                <w:rFonts w:hint="eastAsia" w:ascii="宋体" w:hAnsi="宋体" w:eastAsia="宋体" w:cs="宋体"/>
                <w:sz w:val="21"/>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水性底漆白漆(双组份)</w:t>
            </w:r>
          </w:p>
        </w:tc>
        <w:tc>
          <w:tcPr>
            <w:tcW w:w="1437"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0.005</w:t>
            </w:r>
          </w:p>
        </w:tc>
        <w:tc>
          <w:tcPr>
            <w:tcW w:w="1300"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pPr>
              <w:pStyle w:val="140"/>
              <w:spacing w:before="0"/>
              <w:ind w:right="0"/>
              <w:jc w:val="center"/>
              <w:rPr>
                <w:rFonts w:hint="eastAsia" w:ascii="Times New Roman"/>
                <w:w w:val="100"/>
                <w:sz w:val="21"/>
                <w:lang w:val="en-US" w:eastAsia="zh-CN"/>
              </w:rPr>
            </w:pPr>
            <w:r>
              <w:rPr>
                <w:rFonts w:hint="eastAsia" w:ascii="Times New Roman"/>
                <w:w w:val="100"/>
                <w:sz w:val="21"/>
                <w:lang w:val="en-US" w:eastAsia="zh-CN"/>
              </w:rPr>
              <w:t>0.00005</w:t>
            </w:r>
          </w:p>
        </w:tc>
        <w:tc>
          <w:tcPr>
            <w:tcW w:w="1570" w:type="dxa"/>
            <w:vMerge w:val="continue"/>
            <w:tcBorders>
              <w:tl2br w:val="nil"/>
              <w:tr2bl w:val="nil"/>
            </w:tcBorders>
            <w:vAlign w:val="center"/>
          </w:tcPr>
          <w:p>
            <w:pPr>
              <w:jc w:val="center"/>
              <w:rPr>
                <w:rFonts w:hint="eastAsia" w:ascii="宋体" w:hAnsi="宋体" w:eastAsia="宋体" w:cs="宋体"/>
                <w:sz w:val="21"/>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水性面漆白漆(双组份)</w:t>
            </w:r>
          </w:p>
        </w:tc>
        <w:tc>
          <w:tcPr>
            <w:tcW w:w="1437"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0.005</w:t>
            </w:r>
          </w:p>
        </w:tc>
        <w:tc>
          <w:tcPr>
            <w:tcW w:w="1300" w:type="dxa"/>
            <w:tcBorders>
              <w:tl2br w:val="nil"/>
              <w:tr2bl w:val="nil"/>
            </w:tcBorders>
            <w:vAlign w:val="center"/>
          </w:tcPr>
          <w:p>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pPr>
              <w:pStyle w:val="140"/>
              <w:spacing w:before="0"/>
              <w:ind w:right="0"/>
              <w:jc w:val="center"/>
              <w:rPr>
                <w:rFonts w:hint="eastAsia" w:ascii="Times New Roman"/>
                <w:w w:val="100"/>
                <w:sz w:val="21"/>
                <w:lang w:val="en-US" w:eastAsia="zh-CN"/>
              </w:rPr>
            </w:pPr>
            <w:r>
              <w:rPr>
                <w:rFonts w:hint="eastAsia" w:ascii="Times New Roman"/>
                <w:w w:val="100"/>
                <w:sz w:val="21"/>
                <w:lang w:val="en-US" w:eastAsia="zh-CN"/>
              </w:rPr>
              <w:t>0.00005</w:t>
            </w:r>
          </w:p>
        </w:tc>
        <w:tc>
          <w:tcPr>
            <w:tcW w:w="1570" w:type="dxa"/>
            <w:vMerge w:val="continue"/>
            <w:tcBorders>
              <w:tl2br w:val="nil"/>
              <w:tr2bl w:val="nil"/>
            </w:tcBorders>
            <w:vAlign w:val="center"/>
          </w:tcPr>
          <w:p>
            <w:pPr>
              <w:jc w:val="center"/>
              <w:rPr>
                <w:rFonts w:hint="eastAsia" w:ascii="宋体" w:hAnsi="宋体" w:eastAsia="宋体" w:cs="宋体"/>
                <w:sz w:val="21"/>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0.00022</w:t>
            </w:r>
          </w:p>
        </w:tc>
        <w:tc>
          <w:tcPr>
            <w:tcW w:w="1570" w:type="dxa"/>
            <w:vMerge w:val="continue"/>
            <w:tcBorders>
              <w:tl2br w:val="nil"/>
              <w:tr2bl w:val="nil"/>
            </w:tcBorders>
            <w:vAlign w:val="center"/>
          </w:tcPr>
          <w:p>
            <w:pPr>
              <w:jc w:val="center"/>
              <w:rPr>
                <w:rFonts w:hint="eastAsia" w:ascii="宋体" w:hAnsi="宋体" w:eastAsia="宋体" w:cs="宋体"/>
                <w:sz w:val="21"/>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收集尘（漆尘）</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300" w:type="dxa"/>
            <w:tcBorders>
              <w:tl2br w:val="nil"/>
              <w:tr2bl w:val="nil"/>
            </w:tcBorders>
            <w:vAlign w:val="center"/>
          </w:tcPr>
          <w:p>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0.0004</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废活性炭</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0.6</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0.012</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废包装桶</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0.2</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0.004</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废过滤纤维</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0.5</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漆渣</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0.06</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0.012</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zh-CN"/>
              </w:rPr>
              <w:t>废灯管</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0.0004</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废催化剂</w:t>
            </w:r>
          </w:p>
        </w:tc>
        <w:tc>
          <w:tcPr>
            <w:tcW w:w="1437" w:type="dxa"/>
            <w:tcBorders>
              <w:tl2br w:val="nil"/>
              <w:tr2bl w:val="nil"/>
            </w:tcBorders>
            <w:vAlign w:val="center"/>
          </w:tcPr>
          <w:p>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0.01</w:t>
            </w:r>
          </w:p>
        </w:tc>
        <w:tc>
          <w:tcPr>
            <w:tcW w:w="1300"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0.0002</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0.0304</w:t>
            </w:r>
          </w:p>
        </w:tc>
        <w:tc>
          <w:tcPr>
            <w:tcW w:w="1570" w:type="dxa"/>
            <w:vMerge w:val="continue"/>
            <w:tcBorders>
              <w:tl2br w:val="nil"/>
              <w:tr2bl w:val="nil"/>
            </w:tcBorders>
            <w:vAlign w:val="center"/>
          </w:tcPr>
          <w:p>
            <w:pPr>
              <w:jc w:val="center"/>
              <w:rPr>
                <w:sz w:val="2"/>
                <w:szCs w:val="2"/>
              </w:rPr>
            </w:pPr>
          </w:p>
        </w:tc>
      </w:tr>
    </w:tbl>
    <w:p>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 应辨识重要环境风险单元。表</w:t>
      </w:r>
      <w:r>
        <w:rPr>
          <w:rFonts w:ascii="Times New Roman" w:eastAsia="宋体"/>
        </w:rPr>
        <w:t>3-</w:t>
      </w:r>
      <w:r>
        <w:rPr>
          <w:rFonts w:hint="eastAsia" w:eastAsia="宋体"/>
          <w:lang w:val="en-US" w:eastAsia="zh-CN"/>
        </w:rPr>
        <w:t>9</w:t>
      </w:r>
      <w:r>
        <w:rPr>
          <w:rFonts w:eastAsia="宋体"/>
          <w:spacing w:val="0"/>
        </w:rPr>
        <w:t>中企业存在环境风险的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pPr>
        <w:pStyle w:val="4"/>
        <w:adjustRightInd w:val="0"/>
        <w:snapToGrid w:val="0"/>
        <w:spacing w:line="480" w:lineRule="exact"/>
        <w:rPr>
          <w:rFonts w:hint="default" w:ascii="Times New Roman" w:hAnsi="Times New Roman" w:eastAsia="宋体" w:cs="Times New Roman"/>
          <w:sz w:val="24"/>
          <w:szCs w:val="24"/>
        </w:rPr>
      </w:pPr>
      <w:bookmarkStart w:id="62" w:name="_Toc32620"/>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 xml:space="preserve"> 生产工艺情况</w:t>
      </w:r>
      <w:bookmarkEnd w:id="61"/>
      <w:bookmarkEnd w:id="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别墅套房家具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Change w:id="1">
          <w:tblGrid>
            <w:gridCol w:w="894"/>
            <w:gridCol w:w="2083"/>
            <w:gridCol w:w="2376"/>
            <w:gridCol w:w="2099"/>
            <w:gridCol w:w="2323"/>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家具制造项目</w:t>
            </w:r>
          </w:p>
        </w:tc>
        <w:tc>
          <w:tcPr>
            <w:tcW w:w="1215" w:type="pct"/>
            <w:vAlign w:val="center"/>
          </w:tcPr>
          <w:p>
            <w:pPr>
              <w:pStyle w:val="140"/>
              <w:spacing w:before="77" w:line="263" w:lineRule="exact"/>
              <w:ind w:left="101" w:leftChars="0" w:right="75" w:rightChars="0"/>
              <w:rPr>
                <w:rFonts w:hint="default" w:ascii="宋体" w:hAnsi="宋体" w:eastAsia="宋体" w:cs="宋体"/>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别墅套房家具</w:t>
            </w:r>
          </w:p>
        </w:tc>
        <w:tc>
          <w:tcPr>
            <w:tcW w:w="1073" w:type="pct"/>
            <w:vAlign w:val="center"/>
          </w:tcPr>
          <w:p>
            <w:pPr>
              <w:pStyle w:val="140"/>
              <w:spacing w:before="91"/>
              <w:ind w:left="26" w:leftChars="0"/>
              <w:rPr>
                <w:rFonts w:hint="default" w:ascii="Times New Roman" w:hAnsi="宋体" w:eastAsia="宋体" w:cs="宋体"/>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30套</w:t>
            </w:r>
          </w:p>
        </w:tc>
        <w:tc>
          <w:tcPr>
            <w:tcW w:w="1188" w:type="pct"/>
            <w:vAlign w:val="center"/>
          </w:tcPr>
          <w:p>
            <w:pPr>
              <w:spacing w:beforeLines="30" w:afterLines="3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生产时数</w:t>
            </w:r>
            <w:r>
              <w:rPr>
                <w:rFonts w:hint="eastAsia" w:eastAsia="宋体" w:cs="Times New Roman"/>
                <w:color w:val="auto"/>
                <w:sz w:val="21"/>
                <w:szCs w:val="21"/>
                <w:lang w:val="en-US" w:eastAsia="zh-CN"/>
              </w:rPr>
              <w:t>2560</w:t>
            </w:r>
            <w:r>
              <w:rPr>
                <w:rFonts w:hint="default" w:ascii="Times New Roman" w:hAnsi="Times New Roman" w:eastAsia="宋体" w:cs="Times New Roman"/>
                <w:color w:val="auto"/>
                <w:sz w:val="21"/>
                <w:szCs w:val="21"/>
                <w:lang w:val="en-US" w:eastAsia="zh-CN"/>
              </w:rPr>
              <w:t>h/a</w:t>
            </w:r>
          </w:p>
        </w:tc>
      </w:tr>
    </w:tbl>
    <w:p>
      <w:pPr>
        <w:pStyle w:val="2"/>
        <w:adjustRightInd w:val="0"/>
        <w:snapToGrid w:val="0"/>
        <w:spacing w:line="480" w:lineRule="exact"/>
        <w:rPr>
          <w:rFonts w:hint="default" w:ascii="Times New Roman" w:hAnsi="Times New Roman" w:eastAsia="宋体" w:cs="Times New Roman"/>
        </w:rPr>
      </w:pPr>
      <w:bookmarkStart w:id="63" w:name="_Toc20743"/>
      <w:bookmarkStart w:id="64" w:name="_Toc3252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 生产工艺简介</w:t>
      </w:r>
      <w:bookmarkEnd w:id="63"/>
      <w:bookmarkEnd w:id="6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p>
    <w:p>
      <w:pPr>
        <w:pStyle w:val="13"/>
        <w:spacing w:before="0" w:after="0" w:line="500" w:lineRule="exact"/>
        <w:ind w:left="0" w:right="0" w:firstLine="480"/>
        <w:jc w:val="both"/>
        <w:rPr>
          <w:rFonts w:hint="eastAsia"/>
          <w:color w:val="auto"/>
          <w:spacing w:val="0"/>
          <w:sz w:val="24"/>
          <w:szCs w:val="24"/>
          <w:highlight w:val="none"/>
          <w:lang w:eastAsia="zh-CN"/>
        </w:rPr>
      </w:pPr>
      <w:bookmarkStart w:id="65" w:name="_Toc11213"/>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pStyle w:val="13"/>
        <w:spacing w:before="0" w:after="0" w:line="500" w:lineRule="exact"/>
        <w:ind w:left="0" w:right="0" w:firstLine="480"/>
        <w:jc w:val="both"/>
        <w:rPr>
          <w:rFonts w:hint="eastAsia"/>
          <w:color w:val="auto"/>
          <w:spacing w:val="0"/>
          <w:sz w:val="24"/>
          <w:szCs w:val="24"/>
          <w:highlight w:val="none"/>
          <w:lang w:eastAsia="zh-CN"/>
        </w:rPr>
      </w:pPr>
    </w:p>
    <w:p>
      <w:pPr>
        <w:keepNext w:val="0"/>
        <w:keepLines w:val="0"/>
        <w:pageBreakBefore w:val="0"/>
        <w:widowControl w:val="0"/>
        <w:kinsoku/>
        <w:wordWrap/>
        <w:overflowPunct/>
        <w:topLinePunct w:val="0"/>
        <w:bidi w:val="0"/>
        <w:snapToGrid w:val="0"/>
        <w:spacing w:line="500" w:lineRule="exact"/>
        <w:jc w:val="center"/>
        <w:textAlignment w:val="auto"/>
        <w:rPr>
          <w:rFonts w:hint="default" w:ascii="Times New Roman" w:hAnsi="Times New Roman" w:eastAsia="宋体" w:cs="Times New Roman"/>
          <w:b/>
          <w:bCs/>
          <w:color w:val="auto"/>
          <w:kern w:val="0"/>
          <w:sz w:val="24"/>
          <w:szCs w:val="24"/>
          <w:highlight w:val="none"/>
          <w:lang w:val="en-US" w:eastAsia="zh-CN"/>
        </w:rPr>
      </w:pPr>
      <w:r>
        <w:drawing>
          <wp:anchor distT="0" distB="0" distL="114300" distR="114300" simplePos="0" relativeHeight="251667456" behindDoc="0" locked="0" layoutInCell="1" allowOverlap="1">
            <wp:simplePos x="0" y="0"/>
            <wp:positionH relativeFrom="column">
              <wp:posOffset>622935</wp:posOffset>
            </wp:positionH>
            <wp:positionV relativeFrom="page">
              <wp:posOffset>1007745</wp:posOffset>
            </wp:positionV>
            <wp:extent cx="4372610" cy="7118350"/>
            <wp:effectExtent l="0" t="0" r="889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4372610" cy="7118350"/>
                    </a:xfrm>
                    <a:prstGeom prst="rect">
                      <a:avLst/>
                    </a:prstGeom>
                    <a:noFill/>
                    <a:ln>
                      <a:noFill/>
                    </a:ln>
                  </pic:spPr>
                </pic:pic>
              </a:graphicData>
            </a:graphic>
          </wp:anchor>
        </w:drawing>
      </w: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w:t>
      </w:r>
      <w:r>
        <w:rPr>
          <w:rFonts w:hint="eastAsia" w:ascii="Times New Roman" w:hAnsi="Times New Roman" w:eastAsia="宋体" w:cs="Times New Roman"/>
          <w:b/>
          <w:bCs/>
          <w:color w:val="auto"/>
          <w:kern w:val="0"/>
          <w:sz w:val="24"/>
          <w:szCs w:val="24"/>
          <w:highlight w:val="none"/>
          <w:lang w:val="en-US" w:eastAsia="zh-CN"/>
        </w:rPr>
        <w:t xml:space="preserve"> </w:t>
      </w:r>
      <w:r>
        <w:rPr>
          <w:rFonts w:hint="eastAsia" w:eastAsia="宋体" w:cs="Times New Roman"/>
          <w:b/>
          <w:bCs/>
          <w:color w:val="auto"/>
          <w:kern w:val="0"/>
          <w:sz w:val="24"/>
          <w:szCs w:val="24"/>
          <w:highlight w:val="none"/>
          <w:lang w:val="en-US" w:eastAsia="zh-CN"/>
        </w:rPr>
        <w:t>家具</w:t>
      </w:r>
      <w:r>
        <w:rPr>
          <w:rFonts w:hint="eastAsia" w:ascii="Times New Roman" w:hAnsi="Times New Roman" w:eastAsia="宋体" w:cs="Times New Roman"/>
          <w:b/>
          <w:bCs/>
          <w:color w:val="auto"/>
          <w:kern w:val="0"/>
          <w:sz w:val="24"/>
          <w:szCs w:val="24"/>
          <w:highlight w:val="none"/>
          <w:lang w:val="en-US" w:eastAsia="zh-CN"/>
        </w:rPr>
        <w:t>生产工艺流程图</w:t>
      </w:r>
    </w:p>
    <w:p>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工艺流程简述：</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(1)开料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将外购的原料按照尺寸要求采用精密推台锯等设备进行开料加工。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产污环节：下料过程产生开料粉尘 G</w:t>
      </w:r>
      <w:r>
        <w:rPr>
          <w:rFonts w:hint="default" w:ascii="Times New Roman" w:hAnsi="Times New Roman" w:cs="Times New Roman" w:eastAsiaTheme="minorEastAsia"/>
          <w:color w:val="auto"/>
          <w:sz w:val="24"/>
          <w:szCs w:val="24"/>
          <w:highlight w:val="none"/>
          <w:vertAlign w:val="subscript"/>
          <w:lang w:val="en-US" w:eastAsia="zh-CN"/>
        </w:rPr>
        <w:t>1</w:t>
      </w:r>
      <w:r>
        <w:rPr>
          <w:rFonts w:hint="default" w:ascii="Times New Roman" w:hAnsi="Times New Roman" w:cs="Times New Roman" w:eastAsiaTheme="minorEastAsia"/>
          <w:color w:val="auto"/>
          <w:sz w:val="24"/>
          <w:szCs w:val="24"/>
          <w:highlight w:val="none"/>
          <w:lang w:val="en-US" w:eastAsia="zh-CN"/>
        </w:rPr>
        <w:t>，设备噪声 N1，边角料 S</w:t>
      </w:r>
      <w:r>
        <w:rPr>
          <w:rFonts w:hint="default" w:ascii="Times New Roman" w:hAnsi="Times New Roman" w:cs="Times New Roman" w:eastAsiaTheme="minorEastAsia"/>
          <w:color w:val="auto"/>
          <w:sz w:val="24"/>
          <w:szCs w:val="24"/>
          <w:highlight w:val="none"/>
          <w:vertAlign w:val="subscript"/>
          <w:lang w:val="en-US" w:eastAsia="zh-CN"/>
        </w:rPr>
        <w:t>1</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(2)拼板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将开料得到的板材使用白胶压制拼接在一起，得到需要的厚度和尺寸。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产污环节：拼板过程产生拼板废气 G</w:t>
      </w:r>
      <w:r>
        <w:rPr>
          <w:rFonts w:hint="default" w:ascii="Times New Roman" w:hAnsi="Times New Roman" w:cs="Times New Roman" w:eastAsiaTheme="minorEastAsia"/>
          <w:color w:val="auto"/>
          <w:sz w:val="24"/>
          <w:szCs w:val="24"/>
          <w:highlight w:val="none"/>
          <w:vertAlign w:val="subscript"/>
          <w:lang w:val="en-US" w:eastAsia="zh-CN"/>
        </w:rPr>
        <w:t>2</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2</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(3)砂光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将经过上述加工的工件采用砂光机进行砂光处理。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产污环节：砂光过程产生砂光粉尘 G</w:t>
      </w:r>
      <w:r>
        <w:rPr>
          <w:rFonts w:hint="default" w:ascii="Times New Roman" w:hAnsi="Times New Roman" w:cs="Times New Roman" w:eastAsiaTheme="minorEastAsia"/>
          <w:color w:val="auto"/>
          <w:sz w:val="24"/>
          <w:szCs w:val="24"/>
          <w:highlight w:val="none"/>
          <w:vertAlign w:val="subscript"/>
          <w:lang w:val="en-US" w:eastAsia="zh-CN"/>
        </w:rPr>
        <w:t>3</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3</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(4)立铣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将经过砂光后的工件采用木工镂铣机、单轴铣床进行立铣加工，得到符合要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求的尺寸和形状。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产污环节：立铣过程产生立铣粉尘 G</w:t>
      </w:r>
      <w:r>
        <w:rPr>
          <w:rFonts w:hint="default" w:ascii="Times New Roman" w:hAnsi="Times New Roman" w:cs="Times New Roman" w:eastAsiaTheme="minorEastAsia"/>
          <w:color w:val="auto"/>
          <w:sz w:val="24"/>
          <w:szCs w:val="24"/>
          <w:highlight w:val="none"/>
          <w:vertAlign w:val="subscript"/>
          <w:lang w:val="en-US" w:eastAsia="zh-CN"/>
        </w:rPr>
        <w:t>4</w:t>
      </w:r>
      <w:r>
        <w:rPr>
          <w:rFonts w:hint="default" w:ascii="Times New Roman" w:hAnsi="Times New Roman" w:cs="Times New Roman" w:eastAsiaTheme="minorEastAsia"/>
          <w:color w:val="auto"/>
          <w:sz w:val="24"/>
          <w:szCs w:val="24"/>
          <w:highlight w:val="none"/>
          <w:lang w:val="en-US" w:eastAsia="zh-CN"/>
        </w:rPr>
        <w:t>，木料边角料 S</w:t>
      </w:r>
      <w:r>
        <w:rPr>
          <w:rFonts w:hint="default" w:ascii="Times New Roman" w:hAnsi="Times New Roman" w:cs="Times New Roman" w:eastAsiaTheme="minorEastAsia"/>
          <w:color w:val="auto"/>
          <w:sz w:val="24"/>
          <w:szCs w:val="24"/>
          <w:highlight w:val="none"/>
          <w:vertAlign w:val="subscript"/>
          <w:lang w:val="en-US" w:eastAsia="zh-CN"/>
        </w:rPr>
        <w:t>2</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4</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(5)组装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将立铣后的工件采用白胶进行组装。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产污环节：组装过程产生组装有机废气 G</w:t>
      </w:r>
      <w:r>
        <w:rPr>
          <w:rFonts w:hint="default" w:ascii="Times New Roman" w:hAnsi="Times New Roman" w:cs="Times New Roman" w:eastAsiaTheme="minorEastAsia"/>
          <w:color w:val="auto"/>
          <w:sz w:val="24"/>
          <w:szCs w:val="24"/>
          <w:highlight w:val="none"/>
          <w:vertAlign w:val="subscript"/>
          <w:lang w:val="en-US" w:eastAsia="zh-CN"/>
        </w:rPr>
        <w:t>5</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(6)清边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在组装好的工件采用单面木工压刨床、木工压刨床进行清边加工。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产污环节：清边过程产生清边粉尘 G</w:t>
      </w:r>
      <w:r>
        <w:rPr>
          <w:rFonts w:hint="default" w:ascii="Times New Roman" w:hAnsi="Times New Roman" w:cs="Times New Roman" w:eastAsiaTheme="minorEastAsia"/>
          <w:color w:val="auto"/>
          <w:sz w:val="24"/>
          <w:szCs w:val="24"/>
          <w:highlight w:val="none"/>
          <w:vertAlign w:val="subscript"/>
          <w:lang w:val="en-US" w:eastAsia="zh-CN"/>
        </w:rPr>
        <w:t>6</w:t>
      </w:r>
      <w:r>
        <w:rPr>
          <w:rFonts w:hint="default" w:ascii="Times New Roman" w:hAnsi="Times New Roman" w:cs="Times New Roman" w:eastAsiaTheme="minorEastAsia"/>
          <w:color w:val="auto"/>
          <w:sz w:val="24"/>
          <w:szCs w:val="24"/>
          <w:highlight w:val="none"/>
          <w:lang w:val="en-US" w:eastAsia="zh-CN"/>
        </w:rPr>
        <w:t>，木料边角料 S</w:t>
      </w:r>
      <w:r>
        <w:rPr>
          <w:rFonts w:hint="default" w:ascii="Times New Roman" w:hAnsi="Times New Roman" w:cs="Times New Roman" w:eastAsiaTheme="minorEastAsia"/>
          <w:color w:val="auto"/>
          <w:sz w:val="24"/>
          <w:szCs w:val="24"/>
          <w:highlight w:val="none"/>
          <w:vertAlign w:val="subscript"/>
          <w:lang w:val="en-US" w:eastAsia="zh-CN"/>
        </w:rPr>
        <w:t>3</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5</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(7)砂光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将经过上述加工的工件采用砂光机进行砂光平整。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产污环节：砂光过程产生砂光粉尘 G</w:t>
      </w:r>
      <w:r>
        <w:rPr>
          <w:rFonts w:hint="default" w:ascii="Times New Roman" w:hAnsi="Times New Roman" w:cs="Times New Roman" w:eastAsiaTheme="minorEastAsia"/>
          <w:color w:val="auto"/>
          <w:sz w:val="24"/>
          <w:szCs w:val="24"/>
          <w:highlight w:val="none"/>
          <w:vertAlign w:val="subscript"/>
          <w:lang w:val="en-US" w:eastAsia="zh-CN"/>
        </w:rPr>
        <w:t>7</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6</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(8)打磨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将经过加工的半成品放置打磨区内进行人工打磨。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产污环节：打磨过程产生打磨粉尘 G</w:t>
      </w:r>
      <w:r>
        <w:rPr>
          <w:rFonts w:hint="default" w:ascii="Times New Roman" w:hAnsi="Times New Roman" w:cs="Times New Roman" w:eastAsiaTheme="minorEastAsia"/>
          <w:color w:val="auto"/>
          <w:sz w:val="24"/>
          <w:szCs w:val="24"/>
          <w:highlight w:val="none"/>
          <w:vertAlign w:val="subscript"/>
          <w:lang w:val="en-US" w:eastAsia="zh-CN"/>
        </w:rPr>
        <w:t>8</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7</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(9)喷漆加工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喷漆的目的是在基体材料表面形成有机覆层来进行材料保护，延长使用期限。本项目喷涂为水性漆喷涂。在喷漆房内人工操作将水性涂料、水、固化剂、色精按照比例调配混匀。调漆过程中产生有机废气。</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喷底漆：加工好的半成品进入底漆喷房，使用喷枪对其表面喷底漆。底漆喷涂晾干后需进行底漆打磨。项目底漆喷涂根据客户要求分为两种，一种为双组份透明底漆，喷涂时需将底漆、固化剂、和水按照 100:15:15 进行调配，透明底漆喷涂 2 遍，即喷底漆-晾干-打磨后再次喷底漆-晾干-打磨再进入喷色漆和面漆的工序。另一种为白底漆，白底漆喷涂为将白底漆、固化剂和水按照 100:5:20 进行调配，白底漆喷涂一遍，即喷白底漆-晾干-打磨后进入喷白面漆的工序。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底漆喷涂在底漆房中进行，喷漆采用人工喷枪喷涂，未被吸收的废气在排风机引力作用下抽送至废气处理设施集中处理后排放。涂着部分主要是漆中的固份，漆中的溶剂挥发。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产污环节：此过程产生底漆调漆及喷涂废气 G</w:t>
      </w:r>
      <w:r>
        <w:rPr>
          <w:rFonts w:hint="default" w:ascii="Times New Roman" w:hAnsi="Times New Roman" w:cs="Times New Roman" w:eastAsiaTheme="minorEastAsia"/>
          <w:color w:val="auto"/>
          <w:sz w:val="24"/>
          <w:szCs w:val="24"/>
          <w:highlight w:val="none"/>
          <w:vertAlign w:val="subscript"/>
          <w:lang w:val="en-US" w:eastAsia="zh-CN"/>
        </w:rPr>
        <w:t>9</w:t>
      </w:r>
      <w:r>
        <w:rPr>
          <w:rFonts w:hint="default" w:ascii="Times New Roman" w:hAnsi="Times New Roman" w:cs="Times New Roman" w:eastAsiaTheme="minorEastAsia"/>
          <w:color w:val="auto"/>
          <w:sz w:val="24"/>
          <w:szCs w:val="24"/>
          <w:highlight w:val="none"/>
          <w:lang w:val="en-US" w:eastAsia="zh-CN"/>
        </w:rPr>
        <w:t>、G</w:t>
      </w:r>
      <w:r>
        <w:rPr>
          <w:rFonts w:hint="default" w:ascii="Times New Roman" w:hAnsi="Times New Roman" w:cs="Times New Roman" w:eastAsiaTheme="minorEastAsia"/>
          <w:color w:val="auto"/>
          <w:sz w:val="24"/>
          <w:szCs w:val="24"/>
          <w:highlight w:val="none"/>
          <w:vertAlign w:val="subscript"/>
          <w:lang w:val="en-US" w:eastAsia="zh-CN"/>
        </w:rPr>
        <w:t>10</w:t>
      </w:r>
      <w:r>
        <w:rPr>
          <w:rFonts w:hint="default" w:ascii="Times New Roman" w:hAnsi="Times New Roman" w:cs="Times New Roman" w:eastAsiaTheme="minorEastAsia"/>
          <w:color w:val="auto"/>
          <w:sz w:val="24"/>
          <w:szCs w:val="24"/>
          <w:highlight w:val="none"/>
          <w:lang w:val="en-US" w:eastAsia="zh-CN"/>
        </w:rPr>
        <w:t>，废漆桶 S</w:t>
      </w:r>
      <w:r>
        <w:rPr>
          <w:rFonts w:hint="default" w:ascii="Times New Roman" w:hAnsi="Times New Roman" w:cs="Times New Roman" w:eastAsiaTheme="minorEastAsia"/>
          <w:color w:val="auto"/>
          <w:sz w:val="24"/>
          <w:szCs w:val="24"/>
          <w:highlight w:val="none"/>
          <w:vertAlign w:val="subscript"/>
          <w:lang w:val="en-US" w:eastAsia="zh-CN"/>
        </w:rPr>
        <w:t>4</w:t>
      </w:r>
      <w:r>
        <w:rPr>
          <w:rFonts w:hint="default" w:ascii="Times New Roman" w:hAnsi="Times New Roman" w:cs="Times New Roman" w:eastAsiaTheme="minorEastAsia"/>
          <w:color w:val="auto"/>
          <w:sz w:val="24"/>
          <w:szCs w:val="24"/>
          <w:highlight w:val="none"/>
          <w:lang w:val="en-US" w:eastAsia="zh-CN"/>
        </w:rPr>
        <w:t>、S</w:t>
      </w:r>
      <w:r>
        <w:rPr>
          <w:rFonts w:hint="default" w:ascii="Times New Roman" w:hAnsi="Times New Roman" w:cs="Times New Roman" w:eastAsiaTheme="minorEastAsia"/>
          <w:color w:val="auto"/>
          <w:sz w:val="24"/>
          <w:szCs w:val="24"/>
          <w:highlight w:val="none"/>
          <w:vertAlign w:val="subscript"/>
          <w:lang w:val="en-US" w:eastAsia="zh-CN"/>
        </w:rPr>
        <w:t>6</w:t>
      </w:r>
      <w:r>
        <w:rPr>
          <w:rFonts w:hint="default" w:ascii="Times New Roman" w:hAnsi="Times New Roman" w:cs="Times New Roman" w:eastAsiaTheme="minorEastAsia"/>
          <w:color w:val="auto"/>
          <w:sz w:val="24"/>
          <w:szCs w:val="24"/>
          <w:highlight w:val="none"/>
          <w:lang w:val="en-US" w:eastAsia="zh-CN"/>
        </w:rPr>
        <w:t>，漆渣S</w:t>
      </w:r>
      <w:r>
        <w:rPr>
          <w:rFonts w:hint="default" w:ascii="Times New Roman" w:hAnsi="Times New Roman" w:cs="Times New Roman" w:eastAsiaTheme="minorEastAsia"/>
          <w:color w:val="auto"/>
          <w:sz w:val="24"/>
          <w:szCs w:val="24"/>
          <w:highlight w:val="none"/>
          <w:vertAlign w:val="subscript"/>
          <w:lang w:val="en-US" w:eastAsia="zh-CN"/>
        </w:rPr>
        <w:t>5</w:t>
      </w:r>
      <w:r>
        <w:rPr>
          <w:rFonts w:hint="default" w:ascii="Times New Roman" w:hAnsi="Times New Roman" w:cs="Times New Roman" w:eastAsiaTheme="minorEastAsia"/>
          <w:color w:val="auto"/>
          <w:sz w:val="24"/>
          <w:szCs w:val="24"/>
          <w:highlight w:val="none"/>
          <w:lang w:val="en-US" w:eastAsia="zh-CN"/>
        </w:rPr>
        <w:t>、S</w:t>
      </w:r>
      <w:r>
        <w:rPr>
          <w:rFonts w:hint="default" w:ascii="Times New Roman" w:hAnsi="Times New Roman" w:cs="Times New Roman" w:eastAsiaTheme="minorEastAsia"/>
          <w:color w:val="auto"/>
          <w:sz w:val="24"/>
          <w:szCs w:val="24"/>
          <w:highlight w:val="none"/>
          <w:vertAlign w:val="subscript"/>
          <w:lang w:val="en-US" w:eastAsia="zh-CN"/>
        </w:rPr>
        <w:t>7</w:t>
      </w:r>
      <w:r>
        <w:rPr>
          <w:rFonts w:hint="default" w:ascii="Times New Roman" w:hAnsi="Times New Roman" w:cs="Times New Roman" w:eastAsiaTheme="minorEastAsia"/>
          <w:color w:val="auto"/>
          <w:sz w:val="24"/>
          <w:szCs w:val="24"/>
          <w:highlight w:val="none"/>
          <w:lang w:val="en-US" w:eastAsia="zh-CN"/>
        </w:rPr>
        <w:t>，喷枪清洗废水 W</w:t>
      </w:r>
      <w:r>
        <w:rPr>
          <w:rFonts w:hint="default" w:ascii="Times New Roman" w:hAnsi="Times New Roman" w:cs="Times New Roman" w:eastAsiaTheme="minorEastAsia"/>
          <w:color w:val="auto"/>
          <w:sz w:val="24"/>
          <w:szCs w:val="24"/>
          <w:highlight w:val="none"/>
          <w:vertAlign w:val="subscript"/>
          <w:lang w:val="en-US" w:eastAsia="zh-CN"/>
        </w:rPr>
        <w:t>1</w:t>
      </w:r>
      <w:r>
        <w:rPr>
          <w:rFonts w:hint="default" w:ascii="Times New Roman" w:hAnsi="Times New Roman" w:cs="Times New Roman" w:eastAsiaTheme="minorEastAsia"/>
          <w:color w:val="auto"/>
          <w:sz w:val="24"/>
          <w:szCs w:val="24"/>
          <w:highlight w:val="none"/>
          <w:lang w:val="en-US" w:eastAsia="zh-CN"/>
        </w:rPr>
        <w:t>、W</w:t>
      </w:r>
      <w:r>
        <w:rPr>
          <w:rFonts w:hint="default" w:ascii="Times New Roman" w:hAnsi="Times New Roman" w:cs="Times New Roman" w:eastAsiaTheme="minorEastAsia"/>
          <w:color w:val="auto"/>
          <w:sz w:val="24"/>
          <w:szCs w:val="24"/>
          <w:highlight w:val="none"/>
          <w:vertAlign w:val="subscript"/>
          <w:lang w:val="en-US" w:eastAsia="zh-CN"/>
        </w:rPr>
        <w:t>2</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晾干：喷底漆后工件晾干在晾干房内采用自然晾干的形式进行。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产污环节：此过程产生晾干废气 G</w:t>
      </w:r>
      <w:r>
        <w:rPr>
          <w:rFonts w:hint="default" w:ascii="Times New Roman" w:hAnsi="Times New Roman" w:cs="Times New Roman" w:eastAsiaTheme="minorEastAsia"/>
          <w:color w:val="auto"/>
          <w:sz w:val="24"/>
          <w:szCs w:val="24"/>
          <w:highlight w:val="none"/>
          <w:vertAlign w:val="subscript"/>
          <w:lang w:val="en-US" w:eastAsia="zh-CN"/>
        </w:rPr>
        <w:t>11</w:t>
      </w:r>
      <w:r>
        <w:rPr>
          <w:rFonts w:hint="default" w:ascii="Times New Roman" w:hAnsi="Times New Roman" w:cs="Times New Roman" w:eastAsiaTheme="minorEastAsia"/>
          <w:color w:val="auto"/>
          <w:sz w:val="24"/>
          <w:szCs w:val="24"/>
          <w:highlight w:val="none"/>
          <w:lang w:val="en-US" w:eastAsia="zh-CN"/>
        </w:rPr>
        <w:t>、 G</w:t>
      </w:r>
      <w:r>
        <w:rPr>
          <w:rFonts w:hint="default" w:ascii="Times New Roman" w:hAnsi="Times New Roman" w:cs="Times New Roman" w:eastAsiaTheme="minorEastAsia"/>
          <w:color w:val="auto"/>
          <w:sz w:val="24"/>
          <w:szCs w:val="24"/>
          <w:highlight w:val="none"/>
          <w:vertAlign w:val="subscript"/>
          <w:lang w:val="en-US" w:eastAsia="zh-CN"/>
        </w:rPr>
        <w:t>12</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打磨：在底漆晾干后进行打磨，以消除底漆表面不平整等，使家具底漆表面更光滑，方便后续喷第二遍工序，每道底漆打磨一次。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产污环节：此过程产生打磨废气 G</w:t>
      </w:r>
      <w:r>
        <w:rPr>
          <w:rFonts w:hint="default" w:ascii="Times New Roman" w:hAnsi="Times New Roman" w:cs="Times New Roman" w:eastAsiaTheme="minorEastAsia"/>
          <w:color w:val="auto"/>
          <w:sz w:val="24"/>
          <w:szCs w:val="24"/>
          <w:highlight w:val="none"/>
          <w:vertAlign w:val="subscript"/>
          <w:lang w:val="en-US" w:eastAsia="zh-CN"/>
        </w:rPr>
        <w:t>13</w:t>
      </w:r>
      <w:r>
        <w:rPr>
          <w:rFonts w:hint="default" w:ascii="Times New Roman" w:hAnsi="Times New Roman" w:cs="Times New Roman" w:eastAsiaTheme="minorEastAsia"/>
          <w:color w:val="auto"/>
          <w:sz w:val="24"/>
          <w:szCs w:val="24"/>
          <w:highlight w:val="none"/>
          <w:lang w:val="en-US" w:eastAsia="zh-CN"/>
        </w:rPr>
        <w:t>、G</w:t>
      </w:r>
      <w:r>
        <w:rPr>
          <w:rFonts w:hint="default" w:ascii="Times New Roman" w:hAnsi="Times New Roman" w:cs="Times New Roman" w:eastAsiaTheme="minorEastAsia"/>
          <w:color w:val="auto"/>
          <w:sz w:val="24"/>
          <w:szCs w:val="24"/>
          <w:highlight w:val="none"/>
          <w:vertAlign w:val="subscript"/>
          <w:lang w:val="en-US" w:eastAsia="zh-CN"/>
        </w:rPr>
        <w:t>14</w:t>
      </w:r>
      <w:r>
        <w:rPr>
          <w:rFonts w:hint="default" w:ascii="Times New Roman" w:hAnsi="Times New Roman" w:cs="Times New Roman" w:eastAsiaTheme="minorEastAsia"/>
          <w:color w:val="auto"/>
          <w:sz w:val="24"/>
          <w:szCs w:val="24"/>
          <w:highlight w:val="none"/>
          <w:lang w:val="en-US" w:eastAsia="zh-CN"/>
        </w:rPr>
        <w:t>，设备噪声 N</w:t>
      </w:r>
      <w:r>
        <w:rPr>
          <w:rFonts w:hint="default" w:ascii="Times New Roman" w:hAnsi="Times New Roman" w:cs="Times New Roman" w:eastAsiaTheme="minorEastAsia"/>
          <w:color w:val="auto"/>
          <w:sz w:val="24"/>
          <w:szCs w:val="24"/>
          <w:highlight w:val="none"/>
          <w:vertAlign w:val="subscript"/>
          <w:lang w:val="en-US" w:eastAsia="zh-CN"/>
        </w:rPr>
        <w:t>8</w:t>
      </w:r>
      <w:r>
        <w:rPr>
          <w:rFonts w:hint="default" w:ascii="Times New Roman" w:hAnsi="Times New Roman" w:cs="Times New Roman" w:eastAsiaTheme="minorEastAsia"/>
          <w:color w:val="auto"/>
          <w:sz w:val="24"/>
          <w:szCs w:val="24"/>
          <w:highlight w:val="none"/>
          <w:lang w:val="en-US" w:eastAsia="zh-CN"/>
        </w:rPr>
        <w:t>、 N</w:t>
      </w:r>
      <w:r>
        <w:rPr>
          <w:rFonts w:hint="default" w:ascii="Times New Roman" w:hAnsi="Times New Roman" w:cs="Times New Roman" w:eastAsiaTheme="minorEastAsia"/>
          <w:color w:val="auto"/>
          <w:sz w:val="24"/>
          <w:szCs w:val="24"/>
          <w:highlight w:val="none"/>
          <w:vertAlign w:val="subscript"/>
          <w:lang w:val="en-US" w:eastAsia="zh-CN"/>
        </w:rPr>
        <w:t>9</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喷色漆：根据客户需求，部分喷涂透明底漆的家具需进行喷色漆加工。项目在底漆喷房内进行色漆喷涂，项目色漆为透明面漆、水、固化剂和色精按照0:1:1:2进行调配得到。色漆喷涂及晾干工艺与底漆喷涂及晾干工艺相同。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产污环节：此过程产生色漆调漆及喷涂废气 G</w:t>
      </w:r>
      <w:r>
        <w:rPr>
          <w:rFonts w:hint="default" w:ascii="Times New Roman" w:hAnsi="Times New Roman" w:cs="Times New Roman" w:eastAsiaTheme="minorEastAsia"/>
          <w:color w:val="auto"/>
          <w:sz w:val="24"/>
          <w:szCs w:val="24"/>
          <w:highlight w:val="none"/>
          <w:vertAlign w:val="subscript"/>
          <w:lang w:val="en-US" w:eastAsia="zh-CN"/>
        </w:rPr>
        <w:t>15</w:t>
      </w:r>
      <w:r>
        <w:rPr>
          <w:rFonts w:hint="default" w:ascii="Times New Roman" w:hAnsi="Times New Roman" w:cs="Times New Roman" w:eastAsiaTheme="minorEastAsia"/>
          <w:color w:val="auto"/>
          <w:sz w:val="24"/>
          <w:szCs w:val="24"/>
          <w:highlight w:val="none"/>
          <w:lang w:val="en-US" w:eastAsia="zh-CN"/>
        </w:rPr>
        <w:t>，废漆桶 S</w:t>
      </w:r>
      <w:r>
        <w:rPr>
          <w:rFonts w:hint="default" w:ascii="Times New Roman" w:hAnsi="Times New Roman" w:cs="Times New Roman" w:eastAsiaTheme="minorEastAsia"/>
          <w:color w:val="auto"/>
          <w:sz w:val="24"/>
          <w:szCs w:val="24"/>
          <w:highlight w:val="none"/>
          <w:vertAlign w:val="subscript"/>
          <w:lang w:val="en-US" w:eastAsia="zh-CN"/>
        </w:rPr>
        <w:t>8</w:t>
      </w:r>
      <w:r>
        <w:rPr>
          <w:rFonts w:hint="default" w:ascii="Times New Roman" w:hAnsi="Times New Roman" w:cs="Times New Roman" w:eastAsiaTheme="minorEastAsia"/>
          <w:color w:val="auto"/>
          <w:sz w:val="24"/>
          <w:szCs w:val="24"/>
          <w:highlight w:val="none"/>
          <w:lang w:val="en-US" w:eastAsia="zh-CN"/>
        </w:rPr>
        <w:t>，漆渣 S</w:t>
      </w:r>
      <w:r>
        <w:rPr>
          <w:rFonts w:hint="default" w:ascii="Times New Roman" w:hAnsi="Times New Roman" w:cs="Times New Roman" w:eastAsiaTheme="minorEastAsia"/>
          <w:color w:val="auto"/>
          <w:sz w:val="24"/>
          <w:szCs w:val="24"/>
          <w:highlight w:val="none"/>
          <w:vertAlign w:val="subscript"/>
          <w:lang w:val="en-US" w:eastAsia="zh-CN"/>
        </w:rPr>
        <w:t>9</w:t>
      </w:r>
      <w:r>
        <w:rPr>
          <w:rFonts w:hint="default" w:ascii="Times New Roman" w:hAnsi="Times New Roman" w:cs="Times New Roman" w:eastAsiaTheme="minorEastAsia"/>
          <w:color w:val="auto"/>
          <w:sz w:val="24"/>
          <w:szCs w:val="24"/>
          <w:highlight w:val="none"/>
          <w:lang w:val="en-US" w:eastAsia="zh-CN"/>
        </w:rPr>
        <w:t>，喷枪清洗废水 W</w:t>
      </w:r>
      <w:r>
        <w:rPr>
          <w:rFonts w:hint="default" w:ascii="Times New Roman" w:hAnsi="Times New Roman" w:cs="Times New Roman" w:eastAsiaTheme="minorEastAsia"/>
          <w:color w:val="auto"/>
          <w:sz w:val="24"/>
          <w:szCs w:val="24"/>
          <w:highlight w:val="none"/>
          <w:vertAlign w:val="subscript"/>
          <w:lang w:val="en-US" w:eastAsia="zh-CN"/>
        </w:rPr>
        <w:t>3</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晾干：色漆喷涂后在晾干房内采用自然晾干的方式进行。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产污环节：此过程产生晾干废气 G</w:t>
      </w:r>
      <w:r>
        <w:rPr>
          <w:rFonts w:hint="default" w:ascii="Times New Roman" w:hAnsi="Times New Roman" w:cs="Times New Roman" w:eastAsiaTheme="minorEastAsia"/>
          <w:color w:val="auto"/>
          <w:sz w:val="24"/>
          <w:szCs w:val="24"/>
          <w:highlight w:val="none"/>
          <w:vertAlign w:val="subscript"/>
          <w:lang w:val="en-US" w:eastAsia="zh-CN"/>
        </w:rPr>
        <w:t>16</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喷面漆：晾干后进行喷面漆加工。项目在面漆喷房内进行面漆喷涂，项目面漆分为双组份透明面漆和白面漆两种，双组份透明面漆喷涂时需将面漆、固化剂和水按照 10:1:1 进行调配，白面漆喷涂时需将白面漆、固化剂和水按照</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00:10:20进行调配，面漆喷一道，面漆喷涂及晾干工艺与底漆喷涂及晾干工艺相同。</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产污环节：此过程产生面漆调漆及喷涂废气 G</w:t>
      </w:r>
      <w:r>
        <w:rPr>
          <w:rFonts w:hint="default" w:ascii="Times New Roman" w:hAnsi="Times New Roman" w:cs="Times New Roman" w:eastAsiaTheme="minorEastAsia"/>
          <w:color w:val="auto"/>
          <w:sz w:val="24"/>
          <w:szCs w:val="24"/>
          <w:highlight w:val="none"/>
          <w:vertAlign w:val="subscript"/>
          <w:lang w:val="en-US" w:eastAsia="zh-CN"/>
        </w:rPr>
        <w:t>17</w:t>
      </w:r>
      <w:r>
        <w:rPr>
          <w:rFonts w:hint="default" w:ascii="Times New Roman" w:hAnsi="Times New Roman" w:cs="Times New Roman" w:eastAsiaTheme="minorEastAsia"/>
          <w:color w:val="auto"/>
          <w:sz w:val="24"/>
          <w:szCs w:val="24"/>
          <w:highlight w:val="none"/>
          <w:lang w:val="en-US" w:eastAsia="zh-CN"/>
        </w:rPr>
        <w:t>、G</w:t>
      </w:r>
      <w:r>
        <w:rPr>
          <w:rFonts w:hint="default" w:ascii="Times New Roman" w:hAnsi="Times New Roman" w:cs="Times New Roman" w:eastAsiaTheme="minorEastAsia"/>
          <w:color w:val="auto"/>
          <w:sz w:val="24"/>
          <w:szCs w:val="24"/>
          <w:highlight w:val="none"/>
          <w:vertAlign w:val="subscript"/>
          <w:lang w:val="en-US" w:eastAsia="zh-CN"/>
        </w:rPr>
        <w:t>18</w:t>
      </w:r>
      <w:r>
        <w:rPr>
          <w:rFonts w:hint="default" w:ascii="Times New Roman" w:hAnsi="Times New Roman" w:cs="Times New Roman" w:eastAsiaTheme="minorEastAsia"/>
          <w:color w:val="auto"/>
          <w:sz w:val="24"/>
          <w:szCs w:val="24"/>
          <w:highlight w:val="none"/>
          <w:lang w:val="en-US" w:eastAsia="zh-CN"/>
        </w:rPr>
        <w:t>，废漆桶 S</w:t>
      </w:r>
      <w:r>
        <w:rPr>
          <w:rFonts w:hint="default" w:ascii="Times New Roman" w:hAnsi="Times New Roman" w:cs="Times New Roman" w:eastAsiaTheme="minorEastAsia"/>
          <w:color w:val="auto"/>
          <w:sz w:val="24"/>
          <w:szCs w:val="24"/>
          <w:highlight w:val="none"/>
          <w:vertAlign w:val="subscript"/>
          <w:lang w:val="en-US" w:eastAsia="zh-CN"/>
        </w:rPr>
        <w:t>10</w:t>
      </w:r>
      <w:r>
        <w:rPr>
          <w:rFonts w:hint="default" w:ascii="Times New Roman" w:hAnsi="Times New Roman" w:cs="Times New Roman" w:eastAsiaTheme="minorEastAsia"/>
          <w:color w:val="auto"/>
          <w:sz w:val="24"/>
          <w:szCs w:val="24"/>
          <w:highlight w:val="none"/>
          <w:lang w:val="en-US" w:eastAsia="zh-CN"/>
        </w:rPr>
        <w:t>、S</w:t>
      </w:r>
      <w:r>
        <w:rPr>
          <w:rFonts w:hint="default" w:ascii="Times New Roman" w:hAnsi="Times New Roman" w:cs="Times New Roman" w:eastAsiaTheme="minorEastAsia"/>
          <w:color w:val="auto"/>
          <w:sz w:val="24"/>
          <w:szCs w:val="24"/>
          <w:highlight w:val="none"/>
          <w:vertAlign w:val="subscript"/>
          <w:lang w:val="en-US" w:eastAsia="zh-CN"/>
        </w:rPr>
        <w:t>12</w:t>
      </w:r>
      <w:r>
        <w:rPr>
          <w:rFonts w:hint="default" w:ascii="Times New Roman" w:hAnsi="Times New Roman" w:cs="Times New Roman" w:eastAsiaTheme="minorEastAsia"/>
          <w:color w:val="auto"/>
          <w:sz w:val="24"/>
          <w:szCs w:val="24"/>
          <w:highlight w:val="none"/>
          <w:lang w:val="en-US" w:eastAsia="zh-CN"/>
        </w:rPr>
        <w:t>，漆渣 S</w:t>
      </w:r>
      <w:r>
        <w:rPr>
          <w:rFonts w:hint="default" w:ascii="Times New Roman" w:hAnsi="Times New Roman" w:cs="Times New Roman" w:eastAsiaTheme="minorEastAsia"/>
          <w:color w:val="auto"/>
          <w:sz w:val="24"/>
          <w:szCs w:val="24"/>
          <w:highlight w:val="none"/>
          <w:vertAlign w:val="subscript"/>
          <w:lang w:val="en-US" w:eastAsia="zh-CN"/>
        </w:rPr>
        <w:t>11</w:t>
      </w:r>
      <w:r>
        <w:rPr>
          <w:rFonts w:hint="default" w:ascii="Times New Roman" w:hAnsi="Times New Roman" w:cs="Times New Roman" w:eastAsiaTheme="minorEastAsia"/>
          <w:color w:val="auto"/>
          <w:sz w:val="24"/>
          <w:szCs w:val="24"/>
          <w:highlight w:val="none"/>
          <w:lang w:val="en-US" w:eastAsia="zh-CN"/>
        </w:rPr>
        <w:t>、S</w:t>
      </w:r>
      <w:r>
        <w:rPr>
          <w:rFonts w:hint="default" w:ascii="Times New Roman" w:hAnsi="Times New Roman" w:cs="Times New Roman" w:eastAsiaTheme="minorEastAsia"/>
          <w:color w:val="auto"/>
          <w:sz w:val="24"/>
          <w:szCs w:val="24"/>
          <w:highlight w:val="none"/>
          <w:vertAlign w:val="subscript"/>
          <w:lang w:val="en-US" w:eastAsia="zh-CN"/>
        </w:rPr>
        <w:t>13</w:t>
      </w:r>
      <w:r>
        <w:rPr>
          <w:rFonts w:hint="default" w:ascii="Times New Roman" w:hAnsi="Times New Roman" w:cs="Times New Roman" w:eastAsiaTheme="minorEastAsia"/>
          <w:color w:val="auto"/>
          <w:sz w:val="24"/>
          <w:szCs w:val="24"/>
          <w:highlight w:val="none"/>
          <w:lang w:val="en-US" w:eastAsia="zh-CN"/>
        </w:rPr>
        <w:t>，喷枪清洗废水 W</w:t>
      </w:r>
      <w:r>
        <w:rPr>
          <w:rFonts w:hint="default" w:ascii="Times New Roman" w:hAnsi="Times New Roman" w:cs="Times New Roman" w:eastAsiaTheme="minorEastAsia"/>
          <w:color w:val="auto"/>
          <w:sz w:val="24"/>
          <w:szCs w:val="24"/>
          <w:highlight w:val="none"/>
          <w:vertAlign w:val="subscript"/>
          <w:lang w:val="en-US" w:eastAsia="zh-CN"/>
        </w:rPr>
        <w:t>4</w:t>
      </w:r>
      <w:r>
        <w:rPr>
          <w:rFonts w:hint="default" w:ascii="Times New Roman" w:hAnsi="Times New Roman" w:cs="Times New Roman" w:eastAsiaTheme="minorEastAsia"/>
          <w:color w:val="auto"/>
          <w:sz w:val="24"/>
          <w:szCs w:val="24"/>
          <w:highlight w:val="none"/>
          <w:lang w:val="en-US" w:eastAsia="zh-CN"/>
        </w:rPr>
        <w:t>、W</w:t>
      </w:r>
      <w:r>
        <w:rPr>
          <w:rFonts w:hint="default" w:ascii="Times New Roman" w:hAnsi="Times New Roman" w:cs="Times New Roman" w:eastAsiaTheme="minorEastAsia"/>
          <w:color w:val="auto"/>
          <w:sz w:val="24"/>
          <w:szCs w:val="24"/>
          <w:highlight w:val="none"/>
          <w:vertAlign w:val="subscript"/>
          <w:lang w:val="en-US" w:eastAsia="zh-CN"/>
        </w:rPr>
        <w:t>5</w:t>
      </w:r>
      <w:r>
        <w:rPr>
          <w:rFonts w:hint="default" w:ascii="Times New Roman" w:hAnsi="Times New Roman" w:cs="Times New Roman" w:eastAsiaTheme="minorEastAsia"/>
          <w:color w:val="auto"/>
          <w:sz w:val="24"/>
          <w:szCs w:val="24"/>
          <w:highlight w:val="none"/>
          <w:lang w:val="en-US" w:eastAsia="zh-CN"/>
        </w:rPr>
        <w:t xml:space="preserve">。 </w:t>
      </w:r>
    </w:p>
    <w:p>
      <w:pPr>
        <w:keepNext w:val="0"/>
        <w:keepLines w:val="0"/>
        <w:widowControl w:val="0"/>
        <w:suppressLineNumbers w:val="0"/>
        <w:spacing w:line="500" w:lineRule="exact"/>
        <w:ind w:firstLine="480" w:firstLineChars="200"/>
        <w:jc w:val="lef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晾干：面漆干燥在面漆晾干区内采用自然晾干方式进行。</w:t>
      </w:r>
    </w:p>
    <w:p>
      <w:pPr>
        <w:keepNext w:val="0"/>
        <w:keepLines w:val="0"/>
        <w:widowControl w:val="0"/>
        <w:suppressLineNumbers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产污环节：此过程产生晾干废气 G19、G20。</w:t>
      </w:r>
    </w:p>
    <w:p>
      <w:pPr>
        <w:pStyle w:val="13"/>
        <w:keepNext w:val="0"/>
        <w:keepLines w:val="0"/>
        <w:widowControl w:val="0"/>
        <w:suppressLineNumbers w:val="0"/>
        <w:spacing w:before="0" w:after="0" w:line="500" w:lineRule="exact"/>
        <w:ind w:left="0" w:right="0" w:firstLine="480" w:firstLineChars="200"/>
        <w:jc w:val="both"/>
        <w:rPr>
          <w:rFonts w:hint="default" w:eastAsia="宋体"/>
          <w:color w:val="auto"/>
          <w:spacing w:val="0"/>
          <w:sz w:val="24"/>
          <w:szCs w:val="24"/>
          <w:highlight w:val="none"/>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bookmarkStart w:id="66" w:name="_Toc3593"/>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 生产设备</w:t>
      </w:r>
      <w:bookmarkEnd w:id="65"/>
      <w:bookmarkEnd w:id="6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eastAsia" w:eastAsia="宋体" w:cs="Times New Roman"/>
          <w:b/>
          <w:lang w:val="en-US" w:eastAsia="zh-CN"/>
        </w:rPr>
        <w:t>2</w:t>
      </w:r>
      <w:r>
        <w:rPr>
          <w:rFonts w:hint="default" w:ascii="Times New Roman" w:hAnsi="Times New Roman" w:eastAsia="宋体" w:cs="Times New Roman"/>
          <w:b/>
        </w:rPr>
        <w:t xml:space="preserve"> 主要生产及公用设备统计表</w:t>
      </w:r>
    </w:p>
    <w:tbl>
      <w:tblPr>
        <w:tblStyle w:val="37"/>
        <w:tblW w:w="515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14"/>
        <w:gridCol w:w="2666"/>
        <w:gridCol w:w="2698"/>
        <w:gridCol w:w="1354"/>
        <w:gridCol w:w="1969"/>
        <w:gridCol w:w="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line="24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序号</w:t>
            </w:r>
          </w:p>
        </w:tc>
        <w:tc>
          <w:tcPr>
            <w:tcW w:w="1404" w:type="pct"/>
            <w:tcBorders>
              <w:tl2br w:val="nil"/>
              <w:tr2bl w:val="nil"/>
            </w:tcBorders>
            <w:vAlign w:val="center"/>
          </w:tcPr>
          <w:p>
            <w:pPr>
              <w:pStyle w:val="140"/>
              <w:spacing w:beforeLines="0" w:afterLine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设备</w:t>
            </w:r>
            <w:r>
              <w:rPr>
                <w:rFonts w:hint="default" w:ascii="Times New Roman" w:hAnsi="Times New Roman" w:cs="Times New Roman"/>
                <w:sz w:val="21"/>
                <w:szCs w:val="21"/>
                <w:lang w:val="en-US" w:eastAsia="zh-CN"/>
              </w:rPr>
              <w:t>名称</w:t>
            </w:r>
          </w:p>
        </w:tc>
        <w:tc>
          <w:tcPr>
            <w:tcW w:w="1421" w:type="pct"/>
            <w:tcBorders>
              <w:tl2br w:val="nil"/>
              <w:tr2bl w:val="nil"/>
            </w:tcBorders>
            <w:vAlign w:val="center"/>
          </w:tcPr>
          <w:p>
            <w:pPr>
              <w:pStyle w:val="140"/>
              <w:spacing w:beforeLines="0" w:afterLine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型号规格</w:t>
            </w:r>
          </w:p>
        </w:tc>
        <w:tc>
          <w:tcPr>
            <w:tcW w:w="713" w:type="pct"/>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数量</w:t>
            </w:r>
            <w:r>
              <w:rPr>
                <w:rFonts w:hint="default" w:ascii="Times New Roman" w:hAnsi="Times New Roman" w:cs="Times New Roman"/>
                <w:sz w:val="21"/>
                <w:szCs w:val="21"/>
                <w:lang w:val="en-US" w:eastAsia="zh-CN"/>
              </w:rPr>
              <w:t>/台</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是否为淘汰落后工艺生产设备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1</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单面木工压刨床</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MB106BM</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84" w:type="pct"/>
            <w:gridSpan w:val="2"/>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2</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木工压刨床</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MB103AD</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84" w:type="pct"/>
            <w:gridSpan w:val="2"/>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3</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木工刨床</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MB503</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84" w:type="pct"/>
            <w:gridSpan w:val="2"/>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4</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自动纵剖单面锯</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MJ-153/150</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84" w:type="pct"/>
            <w:gridSpan w:val="2"/>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5</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精密推台锯</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MJ6132D</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4台</w:t>
            </w:r>
          </w:p>
        </w:tc>
        <w:tc>
          <w:tcPr>
            <w:tcW w:w="1084" w:type="pct"/>
            <w:gridSpan w:val="2"/>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leftChars="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w w:val="99"/>
                <w:sz w:val="21"/>
                <w:szCs w:val="21"/>
                <w:lang w:val="en-US" w:eastAsia="zh-CN"/>
              </w:rPr>
              <w:t>6</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砂光机</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1000R-RD</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84" w:type="pct"/>
            <w:gridSpan w:val="2"/>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leftChars="0"/>
              <w:rPr>
                <w:rFonts w:hint="default" w:ascii="Times New Roman" w:hAnsi="Times New Roman" w:eastAsia="宋体" w:cs="Times New Roman"/>
                <w:w w:val="99"/>
                <w:kern w:val="2"/>
                <w:sz w:val="21"/>
                <w:szCs w:val="21"/>
                <w:lang w:val="en-US" w:eastAsia="zh-CN" w:bidi="ar-SA"/>
              </w:rPr>
            </w:pPr>
            <w:r>
              <w:rPr>
                <w:rFonts w:hint="default" w:ascii="Times New Roman" w:hAnsi="Times New Roman" w:cs="Times New Roman"/>
                <w:w w:val="99"/>
                <w:sz w:val="21"/>
                <w:szCs w:val="21"/>
                <w:lang w:val="en-US" w:eastAsia="zh-CN"/>
              </w:rPr>
              <w:t>7</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木工镂铣床</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MX505B</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leftChars="0"/>
              <w:rPr>
                <w:rFonts w:hint="default" w:ascii="Times New Roman" w:hAnsi="Times New Roman" w:eastAsia="宋体" w:cs="Times New Roman"/>
                <w:w w:val="99"/>
                <w:kern w:val="2"/>
                <w:sz w:val="21"/>
                <w:szCs w:val="21"/>
                <w:lang w:val="en-US" w:eastAsia="zh-CN" w:bidi="ar-SA"/>
              </w:rPr>
            </w:pPr>
            <w:r>
              <w:rPr>
                <w:rFonts w:hint="default" w:ascii="Times New Roman" w:hAnsi="Times New Roman" w:cs="Times New Roman"/>
                <w:w w:val="99"/>
                <w:sz w:val="21"/>
                <w:szCs w:val="21"/>
                <w:lang w:val="en-US" w:eastAsia="zh-CN"/>
              </w:rPr>
              <w:t>8</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单轴铣床</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MX5117B</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3台</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righ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9</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液压机</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MH3248</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righ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10</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晾干/烘干房</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20m *7.5m *2.5m</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1间</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11</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打磨房</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15m*8m*2.5m</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1间</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6" w:type="pct"/>
            <w:tcBorders>
              <w:tl2br w:val="nil"/>
              <w:tr2bl w:val="nil"/>
            </w:tcBorders>
            <w:vAlign w:val="center"/>
          </w:tcPr>
          <w:p>
            <w:pPr>
              <w:pStyle w:val="140"/>
              <w:spacing w:before="0" w:beforeLines="0" w:afterLines="0"/>
              <w:ind w:lef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12</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喷漆房</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7.5m *6.5m *2.5m</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2间</w:t>
            </w:r>
          </w:p>
        </w:tc>
        <w:tc>
          <w:tcPr>
            <w:tcW w:w="1084" w:type="pct"/>
            <w:gridSpan w:val="2"/>
            <w:tcBorders>
              <w:tl2br w:val="nil"/>
              <w:tr2bl w:val="nil"/>
            </w:tcBorders>
            <w:vAlign w:val="center"/>
          </w:tcPr>
          <w:p>
            <w:pPr>
              <w:pStyle w:val="140"/>
              <w:spacing w:before="0" w:beforeLines="0" w:afterLines="0"/>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eastAsia="宋体" w:cs="Times New Roman"/>
                <w:sz w:val="21"/>
                <w:szCs w:val="21"/>
                <w:lang w:eastAsia="zh-CN"/>
              </w:rPr>
            </w:pPr>
            <w:r>
              <w:rPr>
                <w:rFonts w:hint="default" w:ascii="Times New Roman" w:hAnsi="Times New Roman" w:cs="Times New Roman"/>
                <w:w w:val="99"/>
                <w:sz w:val="21"/>
                <w:szCs w:val="21"/>
                <w:lang w:val="en-US" w:eastAsia="zh-CN"/>
              </w:rPr>
              <w:t>13</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单面锯</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MJ153</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14</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平刨</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MB103AD</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15</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压刨</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HC104</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16</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立铣</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X5032</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17</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五拉锯</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MJ930</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18</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开料锯</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MJ90</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19</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方眼钻</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HX2018</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20</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三排钻</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恩特MZB73224B</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21</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开榫机</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MD2018</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22</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拼板机</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MHP2500</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23</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空压机</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WZS-30AVF</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24</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中央除尘器</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20000m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/h</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sz w:val="21"/>
                <w:lang w:val="en-US" w:eastAsia="zh-CN"/>
              </w:rPr>
              <w:t>25</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底漆废气处理设施</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25000m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/h</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7" w:type="pct"/>
          <w:trHeight w:val="397" w:hRule="atLeast"/>
        </w:trPr>
        <w:tc>
          <w:tcPr>
            <w:tcW w:w="376" w:type="pct"/>
            <w:tcBorders>
              <w:tl2br w:val="nil"/>
              <w:tr2bl w:val="nil"/>
            </w:tcBorders>
            <w:vAlign w:val="center"/>
          </w:tcPr>
          <w:p>
            <w:pPr>
              <w:pStyle w:val="140"/>
              <w:spacing w:before="0" w:beforeLines="0" w:afterLines="0"/>
              <w:ind w:left="0"/>
              <w:rPr>
                <w:rFonts w:hint="default" w:ascii="Times New Roman" w:hAnsi="Times New Roman" w:cs="Times New Roman"/>
                <w:w w:val="99"/>
                <w:sz w:val="21"/>
                <w:szCs w:val="21"/>
                <w:lang w:val="en-US" w:eastAsia="zh-CN"/>
              </w:rPr>
            </w:pPr>
            <w:r>
              <w:rPr>
                <w:rFonts w:hint="default" w:ascii="Times New Roman" w:hAnsi="Times New Roman" w:cs="Times New Roman"/>
                <w:sz w:val="21"/>
                <w:lang w:val="en-US" w:eastAsia="zh-CN"/>
              </w:rPr>
              <w:t>26</w:t>
            </w:r>
          </w:p>
        </w:tc>
        <w:tc>
          <w:tcPr>
            <w:tcW w:w="1404"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面漆废气处理设施</w:t>
            </w:r>
          </w:p>
        </w:tc>
        <w:tc>
          <w:tcPr>
            <w:tcW w:w="1421"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25000m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/h</w:t>
            </w:r>
          </w:p>
        </w:tc>
        <w:tc>
          <w:tcPr>
            <w:tcW w:w="713" w:type="pct"/>
            <w:tcBorders>
              <w:tl2br w:val="nil"/>
              <w:tr2bl w:val="nil"/>
            </w:tcBorders>
            <w:vAlign w:val="center"/>
          </w:tcPr>
          <w:p>
            <w:pPr>
              <w:adjustRightInd w:val="0"/>
              <w:spacing w:line="240" w:lineRule="auto"/>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1台</w:t>
            </w:r>
          </w:p>
        </w:tc>
        <w:tc>
          <w:tcPr>
            <w:tcW w:w="1037" w:type="pct"/>
            <w:tcBorders>
              <w:tl2br w:val="nil"/>
              <w:tr2bl w:val="nil"/>
            </w:tcBorders>
            <w:vAlign w:val="center"/>
          </w:tcPr>
          <w:p>
            <w:pPr>
              <w:pStyle w:val="140"/>
              <w:spacing w:before="0" w:beforeLines="0" w:afterLines="0"/>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49"/>
        <w:bidi w:val="0"/>
        <w:outlineLvl w:val="2"/>
        <w:rPr>
          <w:rFonts w:hint="default"/>
        </w:rPr>
      </w:pPr>
      <w:bookmarkStart w:id="67" w:name="_Toc20839"/>
      <w:bookmarkStart w:id="68" w:name="_Toc11399"/>
      <w:r>
        <w:rPr>
          <w:rFonts w:hint="eastAsia"/>
        </w:rPr>
        <w:t>3.</w:t>
      </w:r>
      <w:r>
        <w:rPr>
          <w:rFonts w:hint="eastAsia"/>
          <w:lang w:val="en-US" w:eastAsia="zh-CN"/>
        </w:rPr>
        <w:t>5.3</w:t>
      </w:r>
      <w:r>
        <w:rPr>
          <w:rFonts w:hint="eastAsia"/>
        </w:rPr>
        <w:t xml:space="preserve"> </w:t>
      </w:r>
      <w:r>
        <w:rPr>
          <w:rFonts w:hint="eastAsia" w:ascii="宋体" w:hAnsi="宋体" w:eastAsia="宋体" w:cs="宋体"/>
        </w:rPr>
        <w:t>生产工艺过程含有风险工艺和设备情况</w:t>
      </w:r>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0</w:t>
      </w:r>
      <w:r>
        <w:rPr>
          <w:rFonts w:hint="default" w:ascii="Times New Roman" w:hAnsi="Times New Roman" w:cs="Times New Roman" w:eastAsiaTheme="minorEastAsia"/>
          <w:color w:val="000000" w:themeColor="text1"/>
          <w14:textFill>
            <w14:solidFill>
              <w14:schemeClr w14:val="tx1"/>
            </w14:solidFill>
          </w14:textFill>
        </w:rPr>
        <w:t>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3-13</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无</w:t>
            </w:r>
          </w:p>
        </w:tc>
        <w:tc>
          <w:tcPr>
            <w:tcW w:w="525" w:type="pct"/>
            <w:vAlign w:val="center"/>
          </w:tcPr>
          <w:p>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69"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68"/>
      <w:bookmarkEnd w:id="69"/>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本项目所需生活用水水源由市政自来水管网统一供给。</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70" w:name="_Toc28463"/>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建设项目实行雨污分流、清污分流。雨水经雨水管网收集后排入市政雨水管网；生活污水采用化粪池处理，达标接管至</w:t>
      </w:r>
      <w:r>
        <w:rPr>
          <w:rFonts w:hint="eastAsia" w:eastAsia="宋体" w:cs="Times New Roman"/>
          <w:color w:val="000000" w:themeColor="text1"/>
          <w:kern w:val="2"/>
          <w:sz w:val="24"/>
          <w:szCs w:val="24"/>
          <w:lang w:val="en-US" w:eastAsia="zh-CN" w:bidi="ar"/>
          <w14:textFill>
            <w14:solidFill>
              <w14:schemeClr w14:val="tx1"/>
            </w14:solidFill>
          </w14:textFill>
        </w:rPr>
        <w:t>海安市水务集团城市污水处理有限公司</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，达标尾水排入洋蛮河。</w:t>
      </w:r>
    </w:p>
    <w:p>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70"/>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供电依托市政电网</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pPr>
        <w:pStyle w:val="249"/>
        <w:bidi w:val="0"/>
        <w:rPr>
          <w:rFonts w:hint="eastAsia"/>
        </w:rPr>
      </w:pPr>
      <w:bookmarkStart w:id="71"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7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项目划分有油漆仓库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72" w:name="_Toc27428"/>
      <w:bookmarkStart w:id="73" w:name="_Toc10543"/>
      <w:bookmarkStart w:id="7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 xml:space="preserve"> “三废”排放及处理情况</w:t>
      </w:r>
      <w:bookmarkEnd w:id="72"/>
      <w:bookmarkEnd w:id="7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废气主要为开料等木加工过程产生的木料粉尘，木制家具表面砂光、打磨废气，拼板、组装工序产生的有机废气，底漆打磨废气，木制家具透明底漆、白底漆、色漆喷涂产生的调漆及喷涂废气，透明面漆、白面漆喷涂过程产生的调漆及喷涂废气，晾干过程产生的晾干废气。</w:t>
      </w:r>
    </w:p>
    <w:p>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木料粉尘经管道收集后采用1套中央除尘器处理后由1#20m排气筒排放；有机废气在生产车间无组织排放；底漆打磨废气经干式脉冲打磨除尘柜处理后由4#20m排气筒排放；木质家具表面打磨、砂光废气经干式脉冲打磨除尘柜收集处理后经过中央除尘器处理由1#20m排气筒排放；喷涂废气经收集后经“多层过滤+光氧催化+活性炭吸附”处理后由2#20m排气筒高空排放；面漆房废气经多层过滤处理后，和晾干废气一起经“光氧催化+活性炭吸附”处理后由3#20m 排气筒高空排放。</w:t>
      </w:r>
    </w:p>
    <w:p>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根据环评</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 3-1</w:t>
      </w:r>
      <w:r>
        <w:rPr>
          <w:rFonts w:hint="eastAsia" w:eastAsia="宋体" w:cs="Times New Roman"/>
          <w:color w:val="000000" w:themeColor="text1"/>
          <w:lang w:val="en-US" w:eastAsia="zh-CN"/>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4</w:t>
      </w:r>
      <w:r>
        <w:rPr>
          <w:rFonts w:hint="default"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20"/>
        <w:gridCol w:w="968"/>
        <w:gridCol w:w="933"/>
        <w:gridCol w:w="933"/>
        <w:gridCol w:w="997"/>
        <w:gridCol w:w="819"/>
        <w:gridCol w:w="1150"/>
        <w:gridCol w:w="1100"/>
        <w:gridCol w:w="8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54" w:hRule="atLeast"/>
          <w:jc w:val="center"/>
        </w:trPr>
        <w:tc>
          <w:tcPr>
            <w:tcW w:w="772" w:type="pct"/>
            <w:vMerge w:val="restart"/>
            <w:tcBorders>
              <w:tl2br w:val="nil"/>
              <w:tr2bl w:val="nil"/>
            </w:tcBorders>
            <w:vAlign w:val="center"/>
          </w:tcPr>
          <w:p>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26" w:type="pct"/>
            <w:vMerge w:val="restart"/>
            <w:tcBorders>
              <w:tl2br w:val="nil"/>
              <w:tr2bl w:val="nil"/>
            </w:tcBorders>
            <w:vAlign w:val="center"/>
          </w:tcPr>
          <w:p>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556" w:type="pct"/>
            <w:gridSpan w:val="3"/>
            <w:tcBorders>
              <w:tl2br w:val="nil"/>
              <w:tr2bl w:val="nil"/>
            </w:tcBorders>
            <w:vAlign w:val="center"/>
          </w:tcPr>
          <w:p>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445" w:type="pct"/>
            <w:vMerge w:val="restart"/>
            <w:tcBorders>
              <w:tl2br w:val="nil"/>
              <w:tr2bl w:val="nil"/>
            </w:tcBorders>
            <w:vAlign w:val="center"/>
          </w:tcPr>
          <w:p>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625" w:type="pct"/>
            <w:vMerge w:val="restart"/>
            <w:tcBorders>
              <w:tl2br w:val="nil"/>
              <w:tr2bl w:val="nil"/>
            </w:tcBorders>
            <w:vAlign w:val="center"/>
          </w:tcPr>
          <w:p>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98" w:type="pct"/>
            <w:vMerge w:val="restart"/>
            <w:tcBorders>
              <w:tl2br w:val="nil"/>
              <w:tr2bl w:val="nil"/>
            </w:tcBorders>
            <w:vAlign w:val="center"/>
          </w:tcPr>
          <w:p>
            <w:pPr>
              <w:pStyle w:val="140"/>
              <w:spacing w:line="240" w:lineRule="auto"/>
              <w:ind w:left="0" w:right="0"/>
              <w:jc w:val="center"/>
              <w:rPr>
                <w:rFonts w:ascii="Times New Roman" w:hAnsi="Times New Roman" w:eastAsia="Times New Roman" w:cs="Times New Roman"/>
                <w:b/>
                <w:sz w:val="21"/>
              </w:rPr>
            </w:pPr>
            <w:r>
              <w:rPr>
                <w:rFonts w:ascii="Times New Roman" w:hAnsi="Times New Roman" w:cs="Times New Roman"/>
                <w:b/>
                <w:spacing w:val="-6"/>
                <w:sz w:val="21"/>
              </w:rPr>
              <w:t>去除</w:t>
            </w:r>
            <w:r>
              <w:rPr>
                <w:rFonts w:ascii="Times New Roman" w:hAnsi="Times New Roman" w:cs="Times New Roman"/>
                <w:b/>
                <w:sz w:val="21"/>
              </w:rPr>
              <w:t>率</w:t>
            </w:r>
            <w:r>
              <w:rPr>
                <w:rFonts w:ascii="Times New Roman" w:hAnsi="Times New Roman" w:eastAsia="Times New Roman" w:cs="Times New Roman"/>
                <w:b/>
                <w:spacing w:val="-11"/>
                <w:sz w:val="21"/>
              </w:rPr>
              <w:t>%</w:t>
            </w:r>
          </w:p>
        </w:tc>
        <w:tc>
          <w:tcPr>
            <w:tcW w:w="476" w:type="pct"/>
            <w:vMerge w:val="restart"/>
            <w:tcBorders>
              <w:tl2br w:val="nil"/>
              <w:tr2bl w:val="nil"/>
            </w:tcBorders>
            <w:vAlign w:val="center"/>
          </w:tcPr>
          <w:p>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755" w:hRule="atLeast"/>
          <w:jc w:val="center"/>
        </w:trPr>
        <w:tc>
          <w:tcPr>
            <w:tcW w:w="772" w:type="pct"/>
            <w:vMerge w:val="continue"/>
            <w:tcBorders>
              <w:tl2br w:val="nil"/>
              <w:tr2bl w:val="nil"/>
            </w:tcBorders>
            <w:vAlign w:val="center"/>
          </w:tcPr>
          <w:p>
            <w:pPr>
              <w:jc w:val="center"/>
              <w:rPr>
                <w:sz w:val="2"/>
                <w:szCs w:val="2"/>
              </w:rPr>
            </w:pPr>
          </w:p>
        </w:tc>
        <w:tc>
          <w:tcPr>
            <w:tcW w:w="526" w:type="pct"/>
            <w:vMerge w:val="continue"/>
            <w:tcBorders>
              <w:tl2br w:val="nil"/>
              <w:tr2bl w:val="nil"/>
            </w:tcBorders>
            <w:vAlign w:val="center"/>
          </w:tcPr>
          <w:p>
            <w:pPr>
              <w:jc w:val="center"/>
              <w:rPr>
                <w:sz w:val="2"/>
                <w:szCs w:val="2"/>
              </w:rPr>
            </w:pPr>
          </w:p>
        </w:tc>
        <w:tc>
          <w:tcPr>
            <w:tcW w:w="507" w:type="pct"/>
            <w:tcBorders>
              <w:tl2br w:val="nil"/>
              <w:tr2bl w:val="nil"/>
            </w:tcBorders>
            <w:vAlign w:val="center"/>
          </w:tcPr>
          <w:p>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ascii="Times New Roman" w:hAnsi="Times New Roman" w:cs="Times New Roman"/>
                <w:b/>
                <w:w w:val="95"/>
                <w:sz w:val="21"/>
              </w:rPr>
              <w:t>(mg/m</w:t>
            </w:r>
            <w:r>
              <w:rPr>
                <w:rFonts w:ascii="Times New Roman" w:hAnsi="Times New Roman" w:cs="Times New Roman"/>
                <w:b/>
                <w:sz w:val="13"/>
              </w:rPr>
              <w:t>3</w:t>
            </w:r>
            <w:r>
              <w:rPr>
                <w:rFonts w:ascii="Times New Roman" w:hAnsi="Times New Roman" w:cs="Times New Roman"/>
                <w:b/>
                <w:sz w:val="21"/>
              </w:rPr>
              <w:t>)</w:t>
            </w:r>
          </w:p>
        </w:tc>
        <w:tc>
          <w:tcPr>
            <w:tcW w:w="507" w:type="pct"/>
            <w:tcBorders>
              <w:tl2br w:val="nil"/>
              <w:tr2bl w:val="nil"/>
            </w:tcBorders>
            <w:vAlign w:val="center"/>
          </w:tcPr>
          <w:p>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541" w:type="pct"/>
            <w:tcBorders>
              <w:tl2br w:val="nil"/>
              <w:tr2bl w:val="nil"/>
            </w:tcBorders>
            <w:vAlign w:val="center"/>
          </w:tcPr>
          <w:p>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445" w:type="pct"/>
            <w:vMerge w:val="continue"/>
            <w:tcBorders>
              <w:tl2br w:val="nil"/>
              <w:tr2bl w:val="nil"/>
            </w:tcBorders>
            <w:vAlign w:val="center"/>
          </w:tcPr>
          <w:p>
            <w:pPr>
              <w:jc w:val="center"/>
              <w:rPr>
                <w:sz w:val="2"/>
                <w:szCs w:val="2"/>
              </w:rPr>
            </w:pPr>
          </w:p>
        </w:tc>
        <w:tc>
          <w:tcPr>
            <w:tcW w:w="625" w:type="pct"/>
            <w:vMerge w:val="continue"/>
            <w:tcBorders>
              <w:tl2br w:val="nil"/>
              <w:tr2bl w:val="nil"/>
            </w:tcBorders>
            <w:vAlign w:val="center"/>
          </w:tcPr>
          <w:p>
            <w:pPr>
              <w:jc w:val="center"/>
              <w:rPr>
                <w:sz w:val="2"/>
                <w:szCs w:val="2"/>
              </w:rPr>
            </w:pPr>
          </w:p>
        </w:tc>
        <w:tc>
          <w:tcPr>
            <w:tcW w:w="598" w:type="pct"/>
            <w:vMerge w:val="continue"/>
            <w:tcBorders>
              <w:tl2br w:val="nil"/>
              <w:tr2bl w:val="nil"/>
            </w:tcBorders>
            <w:vAlign w:val="center"/>
          </w:tcPr>
          <w:p>
            <w:pPr>
              <w:jc w:val="center"/>
              <w:rPr>
                <w:sz w:val="2"/>
                <w:szCs w:val="2"/>
              </w:rPr>
            </w:pPr>
          </w:p>
        </w:tc>
        <w:tc>
          <w:tcPr>
            <w:tcW w:w="476" w:type="pct"/>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45" w:hRule="atLeast"/>
          <w:jc w:val="center"/>
        </w:trPr>
        <w:tc>
          <w:tcPr>
            <w:tcW w:w="772"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开料、木加工</w:t>
            </w:r>
          </w:p>
        </w:tc>
        <w:tc>
          <w:tcPr>
            <w:tcW w:w="526" w:type="pct"/>
            <w:tcBorders>
              <w:tl2br w:val="nil"/>
              <w:tr2bl w:val="nil"/>
            </w:tcBorders>
            <w:vAlign w:val="center"/>
          </w:tcPr>
          <w:p>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木料粉尘</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351.56</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3.5156</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6.75</w:t>
            </w:r>
          </w:p>
        </w:tc>
        <w:tc>
          <w:tcPr>
            <w:tcW w:w="445"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10000</w:t>
            </w:r>
          </w:p>
        </w:tc>
        <w:tc>
          <w:tcPr>
            <w:tcW w:w="625" w:type="pct"/>
            <w:tcBorders>
              <w:tl2br w:val="nil"/>
              <w:tr2bl w:val="nil"/>
            </w:tcBorders>
            <w:vAlign w:val="center"/>
          </w:tcPr>
          <w:p>
            <w:pPr>
              <w:pStyle w:val="140"/>
              <w:spacing w:before="0" w:line="240" w:lineRule="auto"/>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中央除尘</w:t>
            </w:r>
          </w:p>
        </w:tc>
        <w:tc>
          <w:tcPr>
            <w:tcW w:w="598"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95%</w:t>
            </w:r>
          </w:p>
        </w:tc>
        <w:tc>
          <w:tcPr>
            <w:tcW w:w="476" w:type="pct"/>
            <w:vMerge w:val="restart"/>
            <w:tcBorders>
              <w:tl2br w:val="nil"/>
              <w:tr2bl w:val="nil"/>
            </w:tcBorders>
            <w:vAlign w:val="center"/>
          </w:tcPr>
          <w:p>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45" w:hRule="atLeast"/>
          <w:jc w:val="center"/>
        </w:trPr>
        <w:tc>
          <w:tcPr>
            <w:tcW w:w="772"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砂光、打磨</w:t>
            </w:r>
          </w:p>
        </w:tc>
        <w:tc>
          <w:tcPr>
            <w:tcW w:w="526" w:type="pct"/>
            <w:tcBorders>
              <w:tl2br w:val="nil"/>
              <w:tr2bl w:val="nil"/>
            </w:tcBorders>
            <w:vAlign w:val="center"/>
          </w:tcPr>
          <w:p>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木料粉尘</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88.94</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0.8894</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1.1385</w:t>
            </w:r>
          </w:p>
        </w:tc>
        <w:tc>
          <w:tcPr>
            <w:tcW w:w="445"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10000</w:t>
            </w:r>
          </w:p>
        </w:tc>
        <w:tc>
          <w:tcPr>
            <w:tcW w:w="625"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干式脉冲打磨除尘柜+中央除尘</w:t>
            </w:r>
          </w:p>
        </w:tc>
        <w:tc>
          <w:tcPr>
            <w:tcW w:w="598"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95%</w:t>
            </w:r>
          </w:p>
        </w:tc>
        <w:tc>
          <w:tcPr>
            <w:tcW w:w="476" w:type="pct"/>
            <w:vMerge w:val="continue"/>
            <w:tcBorders>
              <w:tl2br w:val="nil"/>
              <w:tr2bl w:val="nil"/>
            </w:tcBorders>
            <w:vAlign w:val="center"/>
          </w:tcPr>
          <w:p>
            <w:pPr>
              <w:pStyle w:val="140"/>
              <w:spacing w:before="0" w:line="240" w:lineRule="auto"/>
              <w:ind w:left="0"/>
              <w:jc w:val="center"/>
              <w:rPr>
                <w:rFonts w:ascii="Times New Roman" w:hAnsi="Times New Roman" w:cs="Times New Roman"/>
                <w:w w:val="95"/>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2"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底漆喷涂</w:t>
            </w:r>
          </w:p>
        </w:tc>
        <w:tc>
          <w:tcPr>
            <w:tcW w:w="526" w:type="pct"/>
            <w:tcBorders>
              <w:tl2br w:val="nil"/>
              <w:tr2bl w:val="nil"/>
            </w:tcBorders>
            <w:vAlign w:val="center"/>
          </w:tcPr>
          <w:p>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漆雾</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52.92</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1.3231</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0.86</w:t>
            </w:r>
          </w:p>
        </w:tc>
        <w:tc>
          <w:tcPr>
            <w:tcW w:w="445" w:type="pct"/>
            <w:vMerge w:val="restar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25000</w:t>
            </w:r>
          </w:p>
        </w:tc>
        <w:tc>
          <w:tcPr>
            <w:tcW w:w="625" w:type="pct"/>
            <w:vMerge w:val="restar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多层过滤+光氧催化+活性炭吸附</w:t>
            </w:r>
          </w:p>
        </w:tc>
        <w:tc>
          <w:tcPr>
            <w:tcW w:w="598"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90%</w:t>
            </w:r>
          </w:p>
        </w:tc>
        <w:tc>
          <w:tcPr>
            <w:tcW w:w="476" w:type="pct"/>
            <w:vMerge w:val="restart"/>
            <w:tcBorders>
              <w:tl2br w:val="nil"/>
              <w:tr2bl w:val="nil"/>
            </w:tcBorders>
            <w:vAlign w:val="center"/>
          </w:tcPr>
          <w:p>
            <w:pPr>
              <w:pStyle w:val="140"/>
              <w:spacing w:before="0" w:line="240" w:lineRule="auto"/>
              <w:ind w:left="0"/>
              <w:jc w:val="center"/>
              <w:rPr>
                <w:rFonts w:ascii="Times New Roman" w:hAnsi="Times New Roman" w:cs="Times New Roman"/>
                <w:w w:val="95"/>
                <w:sz w:val="21"/>
              </w:rPr>
            </w:pPr>
            <w:r>
              <w:rPr>
                <w:rFonts w:hint="eastAsia" w:ascii="Times New Roman" w:hAnsi="Times New Roman" w:cs="Times New Roman"/>
                <w:sz w:val="21"/>
                <w:lang w:val="en-US" w:eastAsia="zh-CN"/>
              </w:rPr>
              <w:t>1#20m排气筒排放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267" w:hRule="atLeast"/>
          <w:jc w:val="center"/>
        </w:trPr>
        <w:tc>
          <w:tcPr>
            <w:tcW w:w="772" w:type="pct"/>
            <w:vMerge w:val="continue"/>
            <w:tcBorders>
              <w:tl2br w:val="nil"/>
              <w:tr2bl w:val="nil"/>
            </w:tcBorders>
            <w:vAlign w:val="center"/>
          </w:tcPr>
          <w:p>
            <w:pPr>
              <w:pStyle w:val="140"/>
              <w:spacing w:before="0" w:line="240" w:lineRule="auto"/>
              <w:ind w:left="0"/>
              <w:jc w:val="center"/>
            </w:pPr>
          </w:p>
        </w:tc>
        <w:tc>
          <w:tcPr>
            <w:tcW w:w="526"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18.34</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0.4586</w:t>
            </w:r>
          </w:p>
        </w:tc>
        <w:tc>
          <w:tcPr>
            <w:tcW w:w="541"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0.2981</w:t>
            </w:r>
          </w:p>
        </w:tc>
        <w:tc>
          <w:tcPr>
            <w:tcW w:w="44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62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598"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2"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喷白底漆</w:t>
            </w:r>
          </w:p>
        </w:tc>
        <w:tc>
          <w:tcPr>
            <w:tcW w:w="526"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58.22</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1.4554</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0.4548</w:t>
            </w:r>
          </w:p>
        </w:tc>
        <w:tc>
          <w:tcPr>
            <w:tcW w:w="445" w:type="pct"/>
            <w:vMerge w:val="continue"/>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p>
        </w:tc>
        <w:tc>
          <w:tcPr>
            <w:tcW w:w="625" w:type="pct"/>
            <w:vMerge w:val="continue"/>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p>
        </w:tc>
        <w:tc>
          <w:tcPr>
            <w:tcW w:w="598" w:type="pct"/>
            <w:vMerge w:val="continue"/>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ascii="Times New Roman" w:hAnsi="Times New Roman" w:cs="Times New Roman"/>
                <w:w w:val="95"/>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267" w:hRule="atLeast"/>
          <w:jc w:val="center"/>
        </w:trPr>
        <w:tc>
          <w:tcPr>
            <w:tcW w:w="772" w:type="pct"/>
            <w:vMerge w:val="continue"/>
            <w:tcBorders>
              <w:tl2br w:val="nil"/>
              <w:tr2bl w:val="nil"/>
            </w:tcBorders>
            <w:vAlign w:val="center"/>
          </w:tcPr>
          <w:p>
            <w:pPr>
              <w:pStyle w:val="140"/>
              <w:spacing w:before="0" w:line="240" w:lineRule="auto"/>
              <w:ind w:left="0"/>
              <w:jc w:val="center"/>
            </w:pPr>
          </w:p>
        </w:tc>
        <w:tc>
          <w:tcPr>
            <w:tcW w:w="526"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7.77</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0.1942</w:t>
            </w:r>
          </w:p>
        </w:tc>
        <w:tc>
          <w:tcPr>
            <w:tcW w:w="541"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0.0607</w:t>
            </w:r>
          </w:p>
        </w:tc>
        <w:tc>
          <w:tcPr>
            <w:tcW w:w="44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62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598"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2"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色漆喷涂</w:t>
            </w:r>
          </w:p>
        </w:tc>
        <w:tc>
          <w:tcPr>
            <w:tcW w:w="526"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48.4</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1.21</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0.0847</w:t>
            </w:r>
          </w:p>
        </w:tc>
        <w:tc>
          <w:tcPr>
            <w:tcW w:w="445" w:type="pct"/>
            <w:vMerge w:val="continue"/>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p>
        </w:tc>
        <w:tc>
          <w:tcPr>
            <w:tcW w:w="625" w:type="pct"/>
            <w:vMerge w:val="continue"/>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p>
        </w:tc>
        <w:tc>
          <w:tcPr>
            <w:tcW w:w="598" w:type="pct"/>
            <w:vMerge w:val="continue"/>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ascii="Times New Roman" w:hAnsi="Times New Roman" w:cs="Times New Roman"/>
                <w:w w:val="95"/>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267" w:hRule="atLeast"/>
          <w:jc w:val="center"/>
        </w:trPr>
        <w:tc>
          <w:tcPr>
            <w:tcW w:w="772" w:type="pct"/>
            <w:vMerge w:val="continue"/>
            <w:tcBorders>
              <w:tl2br w:val="nil"/>
              <w:tr2bl w:val="nil"/>
            </w:tcBorders>
            <w:vAlign w:val="center"/>
          </w:tcPr>
          <w:p>
            <w:pPr>
              <w:pStyle w:val="140"/>
              <w:spacing w:before="0" w:line="240" w:lineRule="auto"/>
              <w:ind w:left="0"/>
              <w:jc w:val="center"/>
            </w:pPr>
          </w:p>
        </w:tc>
        <w:tc>
          <w:tcPr>
            <w:tcW w:w="526"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12.12</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0.3029</w:t>
            </w:r>
          </w:p>
        </w:tc>
        <w:tc>
          <w:tcPr>
            <w:tcW w:w="541"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0.0212</w:t>
            </w:r>
          </w:p>
        </w:tc>
        <w:tc>
          <w:tcPr>
            <w:tcW w:w="44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62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598"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2"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面漆喷涂</w:t>
            </w:r>
          </w:p>
        </w:tc>
        <w:tc>
          <w:tcPr>
            <w:tcW w:w="526"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47.63</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1.1907</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0.3572</w:t>
            </w:r>
          </w:p>
        </w:tc>
        <w:tc>
          <w:tcPr>
            <w:tcW w:w="445" w:type="pct"/>
            <w:vMerge w:val="restar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25000</w:t>
            </w:r>
          </w:p>
        </w:tc>
        <w:tc>
          <w:tcPr>
            <w:tcW w:w="625" w:type="pct"/>
            <w:vMerge w:val="restart"/>
            <w:tcBorders>
              <w:tl2br w:val="nil"/>
              <w:tr2bl w:val="nil"/>
            </w:tcBorders>
            <w:vAlign w:val="center"/>
          </w:tcPr>
          <w:p>
            <w:pPr>
              <w:pStyle w:val="140"/>
              <w:spacing w:before="0"/>
              <w:ind w:left="0"/>
              <w:jc w:val="center"/>
              <w:rPr>
                <w:rFonts w:ascii="Times New Roman" w:hAnsi="Times New Roman" w:cs="Times New Roman"/>
                <w:sz w:val="21"/>
              </w:rPr>
            </w:pPr>
            <w:r>
              <w:rPr>
                <w:rFonts w:hint="eastAsia" w:ascii="Times New Roman" w:hAnsi="Times New Roman" w:cs="Times New Roman"/>
                <w:sz w:val="21"/>
                <w:lang w:val="en-US" w:eastAsia="zh-CN"/>
              </w:rPr>
              <w:t>多层过滤+光氧催化+活性炭吸附</w:t>
            </w:r>
          </w:p>
        </w:tc>
        <w:tc>
          <w:tcPr>
            <w:tcW w:w="598"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90%</w:t>
            </w:r>
          </w:p>
        </w:tc>
        <w:tc>
          <w:tcPr>
            <w:tcW w:w="476" w:type="pct"/>
            <w:vMerge w:val="restart"/>
            <w:tcBorders>
              <w:tl2br w:val="nil"/>
              <w:tr2bl w:val="nil"/>
            </w:tcBorders>
            <w:vAlign w:val="center"/>
          </w:tcPr>
          <w:p>
            <w:pPr>
              <w:pStyle w:val="140"/>
              <w:spacing w:before="0" w:line="240" w:lineRule="auto"/>
              <w:ind w:left="0" w:leftChars="0"/>
              <w:jc w:val="center"/>
              <w:rPr>
                <w:rFonts w:ascii="Times New Roman" w:hAnsi="Times New Roman" w:eastAsia="宋体" w:cs="Times New Roman"/>
                <w:w w:val="95"/>
                <w:kern w:val="2"/>
                <w:sz w:val="21"/>
                <w:szCs w:val="24"/>
                <w:lang w:val="en-US" w:eastAsia="zh-CN" w:bidi="ar-SA"/>
              </w:rPr>
            </w:pPr>
            <w:r>
              <w:rPr>
                <w:rFonts w:hint="eastAsia" w:ascii="Times New Roman" w:hAnsi="Times New Roman" w:cs="Times New Roman"/>
                <w:sz w:val="21"/>
                <w:lang w:val="en-US" w:eastAsia="zh-CN"/>
              </w:rPr>
              <w:t>3#20m排气筒排放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267" w:hRule="atLeast"/>
          <w:jc w:val="center"/>
        </w:trPr>
        <w:tc>
          <w:tcPr>
            <w:tcW w:w="772" w:type="pct"/>
            <w:vMerge w:val="continue"/>
            <w:tcBorders>
              <w:tl2br w:val="nil"/>
              <w:tr2bl w:val="nil"/>
            </w:tcBorders>
            <w:vAlign w:val="center"/>
          </w:tcPr>
          <w:p>
            <w:pPr>
              <w:pStyle w:val="140"/>
              <w:spacing w:before="0" w:line="240" w:lineRule="auto"/>
              <w:ind w:left="0"/>
              <w:jc w:val="center"/>
            </w:pPr>
          </w:p>
        </w:tc>
        <w:tc>
          <w:tcPr>
            <w:tcW w:w="526"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14.11</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0.3527</w:t>
            </w:r>
          </w:p>
        </w:tc>
        <w:tc>
          <w:tcPr>
            <w:tcW w:w="541"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0.1085</w:t>
            </w:r>
          </w:p>
        </w:tc>
        <w:tc>
          <w:tcPr>
            <w:tcW w:w="44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62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598"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2" w:type="pct"/>
            <w:vMerge w:val="restar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喷白面漆</w:t>
            </w:r>
          </w:p>
        </w:tc>
        <w:tc>
          <w:tcPr>
            <w:tcW w:w="526"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漆雾</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47.63</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1.1908</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0.387</w:t>
            </w:r>
          </w:p>
        </w:tc>
        <w:tc>
          <w:tcPr>
            <w:tcW w:w="445" w:type="pct"/>
            <w:vMerge w:val="continue"/>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p>
        </w:tc>
        <w:tc>
          <w:tcPr>
            <w:tcW w:w="625" w:type="pct"/>
            <w:vMerge w:val="continue"/>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p>
        </w:tc>
        <w:tc>
          <w:tcPr>
            <w:tcW w:w="598" w:type="pct"/>
            <w:vMerge w:val="continue"/>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ascii="Times New Roman" w:hAnsi="Times New Roman" w:cs="Times New Roman"/>
                <w:w w:val="95"/>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267" w:hRule="atLeast"/>
          <w:jc w:val="center"/>
        </w:trPr>
        <w:tc>
          <w:tcPr>
            <w:tcW w:w="772" w:type="pct"/>
            <w:vMerge w:val="continue"/>
            <w:tcBorders>
              <w:tl2br w:val="nil"/>
              <w:tr2bl w:val="nil"/>
            </w:tcBorders>
            <w:vAlign w:val="center"/>
          </w:tcPr>
          <w:p>
            <w:pPr>
              <w:pStyle w:val="140"/>
              <w:spacing w:before="0" w:line="240" w:lineRule="auto"/>
              <w:ind w:left="0"/>
              <w:jc w:val="center"/>
            </w:pPr>
          </w:p>
        </w:tc>
        <w:tc>
          <w:tcPr>
            <w:tcW w:w="526"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8.89</w:t>
            </w:r>
          </w:p>
        </w:tc>
        <w:tc>
          <w:tcPr>
            <w:tcW w:w="507"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0.2222</w:t>
            </w:r>
          </w:p>
        </w:tc>
        <w:tc>
          <w:tcPr>
            <w:tcW w:w="541"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0.0722</w:t>
            </w:r>
          </w:p>
        </w:tc>
        <w:tc>
          <w:tcPr>
            <w:tcW w:w="44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625"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598"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hint="eastAsia" w:ascii="Times New Roman" w:hAnsi="Times New Roman" w:cs="Times New Roman"/>
                <w:sz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45" w:hRule="atLeast"/>
          <w:jc w:val="center"/>
        </w:trPr>
        <w:tc>
          <w:tcPr>
            <w:tcW w:w="772" w:type="pct"/>
            <w:tcBorders>
              <w:tl2br w:val="nil"/>
              <w:tr2bl w:val="nil"/>
            </w:tcBorders>
            <w:vAlign w:val="center"/>
          </w:tcPr>
          <w:p>
            <w:pPr>
              <w:pStyle w:val="140"/>
              <w:spacing w:before="0"/>
              <w:ind w:left="0" w:right="0"/>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晾干</w:t>
            </w:r>
          </w:p>
        </w:tc>
        <w:tc>
          <w:tcPr>
            <w:tcW w:w="526" w:type="pct"/>
            <w:tcBorders>
              <w:tl2br w:val="nil"/>
              <w:tr2bl w:val="nil"/>
            </w:tcBorders>
            <w:vAlign w:val="center"/>
          </w:tcPr>
          <w:p>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VOCs</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94.43</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0.29</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0.372</w:t>
            </w:r>
          </w:p>
        </w:tc>
        <w:tc>
          <w:tcPr>
            <w:tcW w:w="445"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3071</w:t>
            </w:r>
          </w:p>
        </w:tc>
        <w:tc>
          <w:tcPr>
            <w:tcW w:w="625" w:type="pct"/>
            <w:vMerge w:val="continue"/>
            <w:tcBorders>
              <w:tl2br w:val="nil"/>
              <w:tr2bl w:val="nil"/>
            </w:tcBorders>
            <w:vAlign w:val="center"/>
          </w:tcPr>
          <w:p>
            <w:pPr>
              <w:pStyle w:val="140"/>
              <w:spacing w:before="0"/>
              <w:ind w:left="0"/>
              <w:jc w:val="center"/>
              <w:rPr>
                <w:rFonts w:ascii="Times New Roman" w:hAnsi="Times New Roman" w:cs="Times New Roman"/>
                <w:sz w:val="21"/>
              </w:rPr>
            </w:pPr>
          </w:p>
        </w:tc>
        <w:tc>
          <w:tcPr>
            <w:tcW w:w="598" w:type="pct"/>
            <w:vMerge w:val="continue"/>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p>
        </w:tc>
        <w:tc>
          <w:tcPr>
            <w:tcW w:w="476" w:type="pct"/>
            <w:vMerge w:val="continue"/>
            <w:tcBorders>
              <w:tl2br w:val="nil"/>
              <w:tr2bl w:val="nil"/>
            </w:tcBorders>
            <w:vAlign w:val="center"/>
          </w:tcPr>
          <w:p>
            <w:pPr>
              <w:pStyle w:val="140"/>
              <w:spacing w:before="0" w:line="240" w:lineRule="auto"/>
              <w:ind w:left="0"/>
              <w:jc w:val="center"/>
              <w:rPr>
                <w:rFonts w:ascii="Times New Roman" w:hAnsi="Times New Roman" w:cs="Times New Roman"/>
                <w:w w:val="95"/>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43" w:hRule="atLeast"/>
          <w:jc w:val="center"/>
        </w:trPr>
        <w:tc>
          <w:tcPr>
            <w:tcW w:w="772"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底漆打磨</w:t>
            </w:r>
          </w:p>
        </w:tc>
        <w:tc>
          <w:tcPr>
            <w:tcW w:w="526"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漆尘</w:t>
            </w:r>
          </w:p>
        </w:tc>
        <w:tc>
          <w:tcPr>
            <w:tcW w:w="507"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10.48</w:t>
            </w:r>
          </w:p>
        </w:tc>
        <w:tc>
          <w:tcPr>
            <w:tcW w:w="507"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0.1048</w:t>
            </w:r>
          </w:p>
        </w:tc>
        <w:tc>
          <w:tcPr>
            <w:tcW w:w="541"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0.0671</w:t>
            </w:r>
          </w:p>
        </w:tc>
        <w:tc>
          <w:tcPr>
            <w:tcW w:w="445"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10000</w:t>
            </w:r>
          </w:p>
        </w:tc>
        <w:tc>
          <w:tcPr>
            <w:tcW w:w="625" w:type="pct"/>
            <w:tcBorders>
              <w:tl2br w:val="nil"/>
              <w:tr2bl w:val="nil"/>
            </w:tcBorders>
            <w:vAlign w:val="center"/>
          </w:tcPr>
          <w:p>
            <w:pPr>
              <w:pStyle w:val="140"/>
              <w:spacing w:before="0" w:line="240" w:lineRule="auto"/>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干式脉冲打磨除尘柜</w:t>
            </w:r>
          </w:p>
        </w:tc>
        <w:tc>
          <w:tcPr>
            <w:tcW w:w="598" w:type="pct"/>
            <w:tcBorders>
              <w:tl2br w:val="nil"/>
              <w:tr2bl w:val="nil"/>
            </w:tcBorders>
            <w:vAlign w:val="center"/>
          </w:tcPr>
          <w:p>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90%</w:t>
            </w:r>
          </w:p>
        </w:tc>
        <w:tc>
          <w:tcPr>
            <w:tcW w:w="476" w:type="pct"/>
            <w:tcBorders>
              <w:tl2br w:val="nil"/>
              <w:tr2bl w:val="nil"/>
            </w:tcBorders>
            <w:vAlign w:val="center"/>
          </w:tcPr>
          <w:p>
            <w:pPr>
              <w:pStyle w:val="140"/>
              <w:spacing w:before="0" w:line="240" w:lineRule="auto"/>
              <w:ind w:left="0" w:leftChars="0"/>
              <w:jc w:val="center"/>
              <w:rPr>
                <w:rFonts w:ascii="Times New Roman" w:hAnsi="Times New Roman" w:eastAsia="宋体" w:cs="Times New Roman"/>
                <w:w w:val="95"/>
                <w:kern w:val="2"/>
                <w:sz w:val="21"/>
                <w:szCs w:val="24"/>
                <w:lang w:val="en-US" w:eastAsia="zh-CN" w:bidi="ar-SA"/>
              </w:rPr>
            </w:pPr>
            <w:r>
              <w:rPr>
                <w:rFonts w:hint="eastAsia" w:ascii="Times New Roman" w:hAnsi="Times New Roman" w:cs="Times New Roman"/>
                <w:sz w:val="21"/>
                <w:lang w:val="en-US" w:eastAsia="zh-CN"/>
              </w:rPr>
              <w:t>4#20m排气筒排放</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产生的废水主要为生活污水及喷枪清洗废水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海安市水务集团城市污水处理有限公司；喷枪清洗废水回用到水性漆调配。</w:t>
      </w:r>
      <w:r>
        <w:rPr>
          <w:rFonts w:hint="eastAsia" w:eastAsia="宋体" w:cs="Times New Roman"/>
          <w:color w:val="000000" w:themeColor="text1"/>
          <w:sz w:val="24"/>
          <w:szCs w:val="24"/>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及排放的情况见表3-1</w:t>
      </w:r>
      <w:r>
        <w:rPr>
          <w:rFonts w:hint="eastAsia"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5</w:t>
      </w:r>
      <w:r>
        <w:rPr>
          <w:rFonts w:hint="default"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lang w:val="en-US" w:eastAsia="zh-CN"/>
        </w:rPr>
        <w:t>废水产生及</w:t>
      </w:r>
      <w:r>
        <w:rPr>
          <w:rFonts w:hint="default" w:ascii="Times New Roman" w:hAnsi="Times New Roman" w:eastAsia="宋体" w:cs="Times New Roman"/>
          <w:b/>
          <w:bCs/>
          <w:sz w:val="24"/>
          <w:szCs w:val="24"/>
        </w:rPr>
        <w:t>排放一览表</w:t>
      </w:r>
    </w:p>
    <w:tbl>
      <w:tblPr>
        <w:tblStyle w:val="37"/>
        <w:tblW w:w="501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1"/>
        <w:gridCol w:w="927"/>
        <w:gridCol w:w="966"/>
        <w:gridCol w:w="811"/>
        <w:gridCol w:w="1234"/>
        <w:gridCol w:w="940"/>
        <w:gridCol w:w="818"/>
        <w:gridCol w:w="1217"/>
        <w:gridCol w:w="1712"/>
        <w:tblGridChange w:id="2">
          <w:tblGrid>
            <w:gridCol w:w="601"/>
            <w:gridCol w:w="21"/>
            <w:gridCol w:w="906"/>
            <w:gridCol w:w="50"/>
            <w:gridCol w:w="916"/>
            <w:gridCol w:w="76"/>
            <w:gridCol w:w="735"/>
            <w:gridCol w:w="93"/>
            <w:gridCol w:w="6"/>
            <w:gridCol w:w="1135"/>
            <w:gridCol w:w="129"/>
            <w:gridCol w:w="811"/>
            <w:gridCol w:w="155"/>
            <w:gridCol w:w="663"/>
            <w:gridCol w:w="178"/>
            <w:gridCol w:w="1039"/>
            <w:gridCol w:w="210"/>
            <w:gridCol w:w="1502"/>
          </w:tblGrid>
        </w:tblGridChange>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6" w:type="pct"/>
            <w:vMerge w:val="restart"/>
            <w:tcBorders>
              <w:tl2br w:val="nil"/>
              <w:tr2bl w:val="nil"/>
            </w:tcBorders>
            <w:vAlign w:val="center"/>
          </w:tcPr>
          <w:p>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pPr>
              <w:pStyle w:val="140"/>
              <w:spacing w:before="0" w:line="240" w:lineRule="auto"/>
              <w:ind w:left="0" w:right="0"/>
              <w:jc w:val="center"/>
              <w:rPr>
                <w:b/>
                <w:sz w:val="21"/>
              </w:rPr>
            </w:pPr>
            <w:r>
              <w:rPr>
                <w:b/>
                <w:sz w:val="21"/>
              </w:rPr>
              <w:t>污染物名称</w:t>
            </w:r>
          </w:p>
        </w:tc>
        <w:tc>
          <w:tcPr>
            <w:tcW w:w="1107" w:type="pct"/>
            <w:gridSpan w:val="2"/>
            <w:tcBorders>
              <w:tl2br w:val="nil"/>
              <w:tr2bl w:val="nil"/>
            </w:tcBorders>
            <w:vAlign w:val="center"/>
          </w:tcPr>
          <w:p>
            <w:pPr>
              <w:pStyle w:val="140"/>
              <w:spacing w:before="0"/>
              <w:ind w:left="0"/>
              <w:rPr>
                <w:b/>
                <w:sz w:val="21"/>
              </w:rPr>
            </w:pPr>
            <w:r>
              <w:rPr>
                <w:b/>
                <w:sz w:val="21"/>
              </w:rPr>
              <w:t>产生情况</w:t>
            </w:r>
          </w:p>
        </w:tc>
        <w:tc>
          <w:tcPr>
            <w:tcW w:w="509" w:type="pct"/>
            <w:tcBorders>
              <w:tl2br w:val="nil"/>
              <w:tr2bl w:val="nil"/>
            </w:tcBorders>
            <w:vAlign w:val="center"/>
          </w:tcPr>
          <w:p>
            <w:pPr>
              <w:pStyle w:val="140"/>
              <w:spacing w:before="0"/>
              <w:ind w:left="0" w:right="0"/>
              <w:jc w:val="center"/>
              <w:rPr>
                <w:b/>
                <w:sz w:val="21"/>
              </w:rPr>
            </w:pPr>
            <w:r>
              <w:rPr>
                <w:b/>
                <w:sz w:val="21"/>
              </w:rPr>
              <w:t>治理</w:t>
            </w:r>
          </w:p>
        </w:tc>
        <w:tc>
          <w:tcPr>
            <w:tcW w:w="1102" w:type="pct"/>
            <w:gridSpan w:val="2"/>
            <w:tcBorders>
              <w:tl2br w:val="nil"/>
              <w:tr2bl w:val="nil"/>
            </w:tcBorders>
            <w:vAlign w:val="center"/>
          </w:tcPr>
          <w:p>
            <w:pPr>
              <w:pStyle w:val="140"/>
              <w:spacing w:before="0"/>
              <w:ind w:left="0"/>
              <w:rPr>
                <w:b/>
                <w:sz w:val="21"/>
              </w:rPr>
            </w:pPr>
            <w:r>
              <w:rPr>
                <w:b/>
                <w:sz w:val="21"/>
              </w:rPr>
              <w:t>污染物接管量</w:t>
            </w:r>
          </w:p>
        </w:tc>
        <w:tc>
          <w:tcPr>
            <w:tcW w:w="927" w:type="pct"/>
            <w:vMerge w:val="restart"/>
            <w:tcBorders>
              <w:tl2br w:val="nil"/>
              <w:tr2bl w:val="nil"/>
            </w:tcBorders>
            <w:vAlign w:val="center"/>
          </w:tcPr>
          <w:p>
            <w:pPr>
              <w:pStyle w:val="140"/>
              <w:spacing w:before="0" w:line="240" w:lineRule="auto"/>
              <w:ind w:left="0" w:right="0" w:firstLine="0"/>
              <w:rPr>
                <w:b/>
                <w:sz w:val="21"/>
              </w:rPr>
            </w:pPr>
            <w:r>
              <w:rPr>
                <w:b/>
                <w:sz w:val="21"/>
              </w:rPr>
              <w:t>排放方式与去向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1248" w:hRule="atLeast"/>
          <w:jc w:val="center"/>
        </w:trPr>
        <w:tc>
          <w:tcPr>
            <w:tcW w:w="326" w:type="pct"/>
            <w:vMerge w:val="continue"/>
            <w:tcBorders>
              <w:tl2br w:val="nil"/>
              <w:tr2bl w:val="nil"/>
            </w:tcBorders>
            <w:vAlign w:val="center"/>
          </w:tcPr>
          <w:p>
            <w:pPr>
              <w:jc w:val="center"/>
              <w:rPr>
                <w:sz w:val="2"/>
                <w:szCs w:val="2"/>
              </w:rPr>
            </w:pPr>
          </w:p>
        </w:tc>
        <w:tc>
          <w:tcPr>
            <w:tcW w:w="502" w:type="pct"/>
            <w:vMerge w:val="continue"/>
            <w:tcBorders>
              <w:tl2br w:val="nil"/>
              <w:tr2bl w:val="nil"/>
            </w:tcBorders>
            <w:vAlign w:val="center"/>
          </w:tcPr>
          <w:p>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pPr>
              <w:pStyle w:val="140"/>
              <w:spacing w:before="0" w:line="240" w:lineRule="auto"/>
              <w:ind w:left="0" w:right="0"/>
              <w:jc w:val="center"/>
              <w:rPr>
                <w:b/>
                <w:sz w:val="21"/>
              </w:rPr>
            </w:pPr>
          </w:p>
        </w:tc>
        <w:tc>
          <w:tcPr>
            <w:tcW w:w="439" w:type="pct"/>
            <w:tcBorders>
              <w:tl2br w:val="nil"/>
              <w:tr2bl w:val="nil"/>
            </w:tcBorders>
            <w:vAlign w:val="center"/>
          </w:tcPr>
          <w:p>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7" w:type="pct"/>
            <w:tcBorders>
              <w:tl2br w:val="nil"/>
              <w:tr2bl w:val="nil"/>
            </w:tcBorders>
            <w:vAlign w:val="center"/>
          </w:tcPr>
          <w:p>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pPr>
              <w:pStyle w:val="140"/>
              <w:ind w:left="0" w:right="0"/>
              <w:jc w:val="center"/>
              <w:rPr>
                <w:b/>
                <w:sz w:val="21"/>
              </w:rPr>
            </w:pPr>
            <w:r>
              <w:rPr>
                <w:b/>
                <w:sz w:val="21"/>
              </w:rPr>
              <w:t>措施</w:t>
            </w:r>
          </w:p>
        </w:tc>
        <w:tc>
          <w:tcPr>
            <w:tcW w:w="443" w:type="pct"/>
            <w:tcBorders>
              <w:tl2br w:val="nil"/>
              <w:tr2bl w:val="nil"/>
            </w:tcBorders>
            <w:vAlign w:val="center"/>
          </w:tcPr>
          <w:p>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59" w:type="pct"/>
            <w:tcBorders>
              <w:tl2br w:val="nil"/>
              <w:tr2bl w:val="nil"/>
            </w:tcBorders>
            <w:vAlign w:val="center"/>
          </w:tcPr>
          <w:p>
            <w:pPr>
              <w:pStyle w:val="140"/>
              <w:spacing w:before="0"/>
              <w:ind w:left="0" w:right="0"/>
              <w:jc w:val="center"/>
              <w:rPr>
                <w:rFonts w:ascii="Times New Roman"/>
                <w:b/>
                <w:sz w:val="21"/>
              </w:rPr>
            </w:pPr>
            <w:r>
              <w:rPr>
                <w:b/>
                <w:sz w:val="21"/>
              </w:rPr>
              <w:t>排放量</w:t>
            </w:r>
            <w:r>
              <w:rPr>
                <w:rFonts w:ascii="Times New Roman"/>
                <w:b/>
                <w:sz w:val="21"/>
              </w:rPr>
              <w:t>t/a</w:t>
            </w:r>
          </w:p>
        </w:tc>
        <w:tc>
          <w:tcPr>
            <w:tcW w:w="927" w:type="pct"/>
            <w:vMerge w:val="continue"/>
            <w:tcBorders>
              <w:tl2br w:val="nil"/>
              <w:tr2bl w:val="nil"/>
            </w:tcBorders>
            <w:vAlign w:val="center"/>
          </w:tcPr>
          <w:p>
            <w:pPr>
              <w:pStyle w:val="140"/>
              <w:spacing w:before="0" w:line="240" w:lineRule="auto"/>
              <w:ind w:left="0" w:right="0" w:firstLine="0"/>
              <w:rPr>
                <w:b/>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6" w:type="pct"/>
            <w:vMerge w:val="restart"/>
            <w:tcBorders>
              <w:tl2br w:val="nil"/>
              <w:tr2bl w:val="nil"/>
            </w:tcBorders>
            <w:vAlign w:val="center"/>
          </w:tcPr>
          <w:p>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409.6</w:t>
            </w:r>
          </w:p>
        </w:tc>
        <w:tc>
          <w:tcPr>
            <w:tcW w:w="523" w:type="pct"/>
            <w:tcBorders>
              <w:tl2br w:val="nil"/>
              <w:tr2bl w:val="nil"/>
            </w:tcBorders>
            <w:vAlign w:val="center"/>
          </w:tcPr>
          <w:p>
            <w:pPr>
              <w:pStyle w:val="140"/>
              <w:spacing w:before="0"/>
              <w:ind w:left="0" w:right="0"/>
              <w:jc w:val="center"/>
              <w:rPr>
                <w:rFonts w:ascii="Times New Roman"/>
                <w:sz w:val="21"/>
              </w:rPr>
            </w:pPr>
            <w:r>
              <w:rPr>
                <w:rFonts w:ascii="Times New Roman"/>
                <w:sz w:val="21"/>
              </w:rPr>
              <w:t>COD</w:t>
            </w:r>
          </w:p>
        </w:tc>
        <w:tc>
          <w:tcPr>
            <w:tcW w:w="439" w:type="pct"/>
            <w:tcBorders>
              <w:tl2br w:val="nil"/>
              <w:tr2bl w:val="nil"/>
            </w:tcBorders>
            <w:vAlign w:val="center"/>
          </w:tcPr>
          <w:p>
            <w:pPr>
              <w:pStyle w:val="140"/>
              <w:spacing w:before="0"/>
              <w:ind w:left="0" w:right="0"/>
              <w:jc w:val="center"/>
              <w:rPr>
                <w:rFonts w:ascii="Times New Roman"/>
                <w:sz w:val="21"/>
              </w:rPr>
            </w:pPr>
            <w:r>
              <w:rPr>
                <w:rFonts w:ascii="Times New Roman"/>
                <w:sz w:val="21"/>
              </w:rPr>
              <w:t>350</w:t>
            </w:r>
          </w:p>
        </w:tc>
        <w:tc>
          <w:tcPr>
            <w:tcW w:w="667" w:type="pct"/>
            <w:tcBorders>
              <w:tl2br w:val="nil"/>
              <w:tr2bl w:val="nil"/>
            </w:tcBorders>
            <w:vAlign w:val="center"/>
          </w:tcPr>
          <w:p>
            <w:pPr>
              <w:pStyle w:val="140"/>
              <w:spacing w:before="0"/>
              <w:ind w:right="0"/>
              <w:jc w:val="center"/>
              <w:rPr>
                <w:rFonts w:hint="default" w:ascii="Times New Roman" w:eastAsia="宋体"/>
                <w:sz w:val="21"/>
                <w:lang w:val="en-US" w:eastAsia="zh-CN"/>
              </w:rPr>
            </w:pPr>
            <w:r>
              <w:rPr>
                <w:rFonts w:ascii="Times New Roman"/>
                <w:sz w:val="21"/>
              </w:rPr>
              <w:t>0.</w:t>
            </w:r>
            <w:r>
              <w:rPr>
                <w:rFonts w:hint="eastAsia" w:ascii="Times New Roman"/>
                <w:sz w:val="21"/>
                <w:lang w:val="en-US" w:eastAsia="zh-CN"/>
              </w:rPr>
              <w:t>1434</w:t>
            </w:r>
          </w:p>
        </w:tc>
        <w:tc>
          <w:tcPr>
            <w:tcW w:w="509" w:type="pct"/>
            <w:vMerge w:val="restart"/>
            <w:tcBorders>
              <w:tl2br w:val="nil"/>
              <w:tr2bl w:val="nil"/>
            </w:tcBorders>
            <w:vAlign w:val="center"/>
          </w:tcPr>
          <w:p>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443" w:type="pct"/>
            <w:tcBorders>
              <w:tl2br w:val="nil"/>
              <w:tr2bl w:val="nil"/>
            </w:tcBorders>
            <w:vAlign w:val="center"/>
          </w:tcPr>
          <w:p>
            <w:pPr>
              <w:pStyle w:val="140"/>
              <w:spacing w:before="0"/>
              <w:ind w:left="0"/>
              <w:rPr>
                <w:rFonts w:ascii="Times New Roman"/>
                <w:sz w:val="21"/>
              </w:rPr>
            </w:pPr>
            <w:r>
              <w:rPr>
                <w:rFonts w:ascii="Times New Roman"/>
                <w:sz w:val="21"/>
              </w:rPr>
              <w:t>350</w:t>
            </w:r>
          </w:p>
        </w:tc>
        <w:tc>
          <w:tcPr>
            <w:tcW w:w="659" w:type="pct"/>
            <w:tcBorders>
              <w:tl2br w:val="nil"/>
              <w:tr2bl w:val="nil"/>
            </w:tcBorders>
            <w:vAlign w:val="center"/>
          </w:tcPr>
          <w:p>
            <w:pPr>
              <w:pStyle w:val="140"/>
              <w:spacing w:before="0"/>
              <w:ind w:left="0" w:right="0"/>
              <w:jc w:val="center"/>
              <w:rPr>
                <w:rFonts w:hint="default" w:ascii="Times New Roman" w:eastAsia="宋体"/>
                <w:sz w:val="21"/>
                <w:lang w:val="en-US" w:eastAsia="zh-CN"/>
              </w:rPr>
            </w:pPr>
            <w:r>
              <w:rPr>
                <w:rFonts w:ascii="Times New Roman"/>
                <w:sz w:val="21"/>
              </w:rPr>
              <w:t>0.</w:t>
            </w:r>
            <w:r>
              <w:rPr>
                <w:rFonts w:hint="eastAsia" w:ascii="Times New Roman"/>
                <w:sz w:val="21"/>
                <w:lang w:val="en-US" w:eastAsia="zh-CN"/>
              </w:rPr>
              <w:t>1434</w:t>
            </w:r>
          </w:p>
        </w:tc>
        <w:tc>
          <w:tcPr>
            <w:tcW w:w="927" w:type="pct"/>
            <w:vMerge w:val="restart"/>
            <w:tcBorders>
              <w:tl2br w:val="nil"/>
              <w:tr2bl w:val="nil"/>
            </w:tcBorders>
            <w:vAlign w:val="center"/>
          </w:tcPr>
          <w:p>
            <w:pPr>
              <w:jc w:val="center"/>
              <w:rPr>
                <w:sz w:val="2"/>
                <w:szCs w:val="2"/>
              </w:rPr>
            </w:pPr>
            <w:r>
              <w:rPr>
                <w:rFonts w:hint="eastAsia" w:ascii="宋体" w:hAnsi="宋体" w:eastAsia="宋体" w:cs="宋体"/>
                <w:sz w:val="21"/>
              </w:rPr>
              <w:t>接管至</w:t>
            </w:r>
            <w:r>
              <w:rPr>
                <w:rFonts w:hint="eastAsia" w:ascii="宋体" w:hAnsi="宋体" w:eastAsia="宋体" w:cs="宋体"/>
                <w:sz w:val="21"/>
                <w:lang w:val="en-US" w:eastAsia="zh-CN"/>
              </w:rPr>
              <w:t>海安市水务集团城市污水处理有限公司</w:t>
            </w:r>
            <w:r>
              <w:rPr>
                <w:rFonts w:hint="eastAsia" w:ascii="宋体" w:hAnsi="宋体" w:eastAsia="宋体" w:cs="宋体"/>
                <w:sz w:val="21"/>
              </w:rPr>
              <w:t>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6" w:type="pct"/>
            <w:vMerge w:val="continue"/>
            <w:tcBorders>
              <w:tl2br w:val="nil"/>
              <w:tr2bl w:val="nil"/>
            </w:tcBorders>
            <w:vAlign w:val="center"/>
          </w:tcPr>
          <w:p>
            <w:pPr>
              <w:jc w:val="center"/>
              <w:rPr>
                <w:sz w:val="2"/>
                <w:szCs w:val="2"/>
              </w:rPr>
            </w:pPr>
          </w:p>
        </w:tc>
        <w:tc>
          <w:tcPr>
            <w:tcW w:w="502" w:type="pct"/>
            <w:vMerge w:val="continue"/>
            <w:tcBorders>
              <w:tl2br w:val="nil"/>
              <w:tr2bl w:val="nil"/>
            </w:tcBorders>
            <w:vAlign w:val="center"/>
          </w:tcPr>
          <w:p>
            <w:pPr>
              <w:jc w:val="center"/>
              <w:rPr>
                <w:sz w:val="2"/>
                <w:szCs w:val="2"/>
              </w:rPr>
            </w:pPr>
          </w:p>
        </w:tc>
        <w:tc>
          <w:tcPr>
            <w:tcW w:w="523" w:type="pct"/>
            <w:tcBorders>
              <w:tl2br w:val="nil"/>
              <w:tr2bl w:val="nil"/>
            </w:tcBorders>
            <w:vAlign w:val="center"/>
          </w:tcPr>
          <w:p>
            <w:pPr>
              <w:pStyle w:val="140"/>
              <w:spacing w:before="0"/>
              <w:ind w:left="0" w:right="0"/>
              <w:jc w:val="center"/>
              <w:rPr>
                <w:rFonts w:ascii="Times New Roman"/>
                <w:sz w:val="21"/>
              </w:rPr>
            </w:pPr>
            <w:r>
              <w:rPr>
                <w:rFonts w:ascii="Times New Roman"/>
                <w:sz w:val="21"/>
              </w:rPr>
              <w:t>SS</w:t>
            </w:r>
          </w:p>
        </w:tc>
        <w:tc>
          <w:tcPr>
            <w:tcW w:w="439" w:type="pct"/>
            <w:tcBorders>
              <w:tl2br w:val="nil"/>
              <w:tr2bl w:val="nil"/>
            </w:tcBorders>
            <w:vAlign w:val="center"/>
          </w:tcPr>
          <w:p>
            <w:pPr>
              <w:pStyle w:val="140"/>
              <w:spacing w:before="0"/>
              <w:ind w:left="0" w:right="0"/>
              <w:jc w:val="center"/>
              <w:rPr>
                <w:rFonts w:ascii="Times New Roman"/>
                <w:sz w:val="21"/>
              </w:rPr>
            </w:pPr>
            <w:r>
              <w:rPr>
                <w:rFonts w:ascii="Times New Roman"/>
                <w:sz w:val="21"/>
              </w:rPr>
              <w:t>200</w:t>
            </w:r>
          </w:p>
        </w:tc>
        <w:tc>
          <w:tcPr>
            <w:tcW w:w="667" w:type="pct"/>
            <w:tcBorders>
              <w:tl2br w:val="nil"/>
              <w:tr2bl w:val="nil"/>
            </w:tcBorders>
            <w:vAlign w:val="center"/>
          </w:tcPr>
          <w:p>
            <w:pPr>
              <w:pStyle w:val="140"/>
              <w:spacing w:before="0"/>
              <w:ind w:right="0"/>
              <w:jc w:val="center"/>
              <w:rPr>
                <w:rFonts w:hint="default" w:ascii="Times New Roman" w:eastAsia="宋体"/>
                <w:sz w:val="21"/>
                <w:lang w:val="en-US" w:eastAsia="zh-CN"/>
              </w:rPr>
            </w:pPr>
            <w:r>
              <w:rPr>
                <w:rFonts w:ascii="Times New Roman"/>
                <w:sz w:val="21"/>
              </w:rPr>
              <w:t>0.0</w:t>
            </w:r>
            <w:r>
              <w:rPr>
                <w:rFonts w:hint="eastAsia" w:ascii="Times New Roman"/>
                <w:sz w:val="21"/>
                <w:lang w:val="en-US" w:eastAsia="zh-CN"/>
              </w:rPr>
              <w:t>819</w:t>
            </w:r>
          </w:p>
        </w:tc>
        <w:tc>
          <w:tcPr>
            <w:tcW w:w="509" w:type="pct"/>
            <w:vMerge w:val="continue"/>
            <w:tcBorders>
              <w:tl2br w:val="nil"/>
              <w:tr2bl w:val="nil"/>
            </w:tcBorders>
            <w:vAlign w:val="center"/>
          </w:tcPr>
          <w:p>
            <w:pPr>
              <w:jc w:val="center"/>
              <w:rPr>
                <w:sz w:val="2"/>
                <w:szCs w:val="2"/>
              </w:rPr>
            </w:pPr>
          </w:p>
        </w:tc>
        <w:tc>
          <w:tcPr>
            <w:tcW w:w="443" w:type="pct"/>
            <w:tcBorders>
              <w:tl2br w:val="nil"/>
              <w:tr2bl w:val="nil"/>
            </w:tcBorders>
            <w:vAlign w:val="center"/>
          </w:tcPr>
          <w:p>
            <w:pPr>
              <w:pStyle w:val="140"/>
              <w:spacing w:before="0"/>
              <w:ind w:left="0"/>
              <w:rPr>
                <w:rFonts w:ascii="Times New Roman"/>
                <w:sz w:val="21"/>
              </w:rPr>
            </w:pPr>
            <w:r>
              <w:rPr>
                <w:rFonts w:ascii="Times New Roman"/>
                <w:sz w:val="21"/>
              </w:rPr>
              <w:t>200</w:t>
            </w:r>
          </w:p>
        </w:tc>
        <w:tc>
          <w:tcPr>
            <w:tcW w:w="659" w:type="pct"/>
            <w:tcBorders>
              <w:tl2br w:val="nil"/>
              <w:tr2bl w:val="nil"/>
            </w:tcBorders>
            <w:vAlign w:val="center"/>
          </w:tcPr>
          <w:p>
            <w:pPr>
              <w:pStyle w:val="140"/>
              <w:spacing w:before="0"/>
              <w:ind w:left="0" w:right="0"/>
              <w:jc w:val="center"/>
              <w:rPr>
                <w:rFonts w:hint="default" w:ascii="Times New Roman" w:eastAsia="宋体"/>
                <w:sz w:val="21"/>
                <w:lang w:val="en-US" w:eastAsia="zh-CN"/>
              </w:rPr>
            </w:pPr>
            <w:r>
              <w:rPr>
                <w:rFonts w:ascii="Times New Roman"/>
                <w:sz w:val="21"/>
              </w:rPr>
              <w:t>0.0</w:t>
            </w:r>
            <w:r>
              <w:rPr>
                <w:rFonts w:hint="eastAsia" w:ascii="Times New Roman"/>
                <w:sz w:val="21"/>
                <w:lang w:val="en-US" w:eastAsia="zh-CN"/>
              </w:rPr>
              <w:t>819</w:t>
            </w:r>
          </w:p>
        </w:tc>
        <w:tc>
          <w:tcPr>
            <w:tcW w:w="927" w:type="pct"/>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6" w:type="pct"/>
            <w:vMerge w:val="continue"/>
            <w:tcBorders>
              <w:tl2br w:val="nil"/>
              <w:tr2bl w:val="nil"/>
            </w:tcBorders>
            <w:vAlign w:val="center"/>
          </w:tcPr>
          <w:p>
            <w:pPr>
              <w:jc w:val="center"/>
              <w:rPr>
                <w:sz w:val="2"/>
                <w:szCs w:val="2"/>
              </w:rPr>
            </w:pPr>
          </w:p>
        </w:tc>
        <w:tc>
          <w:tcPr>
            <w:tcW w:w="502" w:type="pct"/>
            <w:vMerge w:val="continue"/>
            <w:tcBorders>
              <w:tl2br w:val="nil"/>
              <w:tr2bl w:val="nil"/>
            </w:tcBorders>
            <w:vAlign w:val="center"/>
          </w:tcPr>
          <w:p>
            <w:pPr>
              <w:jc w:val="center"/>
              <w:rPr>
                <w:sz w:val="2"/>
                <w:szCs w:val="2"/>
              </w:rPr>
            </w:pPr>
          </w:p>
        </w:tc>
        <w:tc>
          <w:tcPr>
            <w:tcW w:w="523" w:type="pct"/>
            <w:tcBorders>
              <w:tl2br w:val="nil"/>
              <w:tr2bl w:val="nil"/>
            </w:tcBorders>
            <w:vAlign w:val="center"/>
          </w:tcPr>
          <w:p>
            <w:pPr>
              <w:pStyle w:val="140"/>
              <w:spacing w:before="0"/>
              <w:ind w:left="0" w:right="0"/>
              <w:jc w:val="center"/>
              <w:rPr>
                <w:sz w:val="21"/>
              </w:rPr>
            </w:pPr>
            <w:r>
              <w:rPr>
                <w:sz w:val="21"/>
              </w:rPr>
              <w:t>氨氮</w:t>
            </w:r>
          </w:p>
        </w:tc>
        <w:tc>
          <w:tcPr>
            <w:tcW w:w="439" w:type="pct"/>
            <w:tcBorders>
              <w:tl2br w:val="nil"/>
              <w:tr2bl w:val="nil"/>
            </w:tcBorders>
            <w:vAlign w:val="center"/>
          </w:tcPr>
          <w:p>
            <w:pPr>
              <w:pStyle w:val="140"/>
              <w:spacing w:before="0"/>
              <w:ind w:left="0" w:right="0"/>
              <w:jc w:val="center"/>
              <w:rPr>
                <w:rFonts w:ascii="Times New Roman"/>
                <w:sz w:val="21"/>
              </w:rPr>
            </w:pPr>
            <w:r>
              <w:rPr>
                <w:rFonts w:ascii="Times New Roman"/>
                <w:sz w:val="21"/>
              </w:rPr>
              <w:t>25</w:t>
            </w:r>
          </w:p>
        </w:tc>
        <w:tc>
          <w:tcPr>
            <w:tcW w:w="667" w:type="pct"/>
            <w:tcBorders>
              <w:tl2br w:val="nil"/>
              <w:tr2bl w:val="nil"/>
            </w:tcBorders>
            <w:vAlign w:val="center"/>
          </w:tcPr>
          <w:p>
            <w:pPr>
              <w:pStyle w:val="140"/>
              <w:spacing w:before="0"/>
              <w:ind w:right="0"/>
              <w:jc w:val="center"/>
              <w:rPr>
                <w:rFonts w:hint="default" w:ascii="Times New Roman" w:eastAsia="宋体"/>
                <w:sz w:val="21"/>
                <w:lang w:val="en-US" w:eastAsia="zh-CN"/>
              </w:rPr>
            </w:pPr>
            <w:r>
              <w:rPr>
                <w:rFonts w:ascii="Times New Roman"/>
                <w:sz w:val="21"/>
              </w:rPr>
              <w:t>0.0</w:t>
            </w:r>
            <w:r>
              <w:rPr>
                <w:rFonts w:hint="eastAsia" w:ascii="Times New Roman"/>
                <w:sz w:val="21"/>
                <w:lang w:val="en-US" w:eastAsia="zh-CN"/>
              </w:rPr>
              <w:t>102</w:t>
            </w:r>
          </w:p>
        </w:tc>
        <w:tc>
          <w:tcPr>
            <w:tcW w:w="509" w:type="pct"/>
            <w:vMerge w:val="continue"/>
            <w:tcBorders>
              <w:tl2br w:val="nil"/>
              <w:tr2bl w:val="nil"/>
            </w:tcBorders>
            <w:vAlign w:val="center"/>
          </w:tcPr>
          <w:p>
            <w:pPr>
              <w:jc w:val="center"/>
              <w:rPr>
                <w:sz w:val="2"/>
                <w:szCs w:val="2"/>
              </w:rPr>
            </w:pPr>
          </w:p>
        </w:tc>
        <w:tc>
          <w:tcPr>
            <w:tcW w:w="443" w:type="pct"/>
            <w:tcBorders>
              <w:tl2br w:val="nil"/>
              <w:tr2bl w:val="nil"/>
            </w:tcBorders>
            <w:vAlign w:val="center"/>
          </w:tcPr>
          <w:p>
            <w:pPr>
              <w:pStyle w:val="140"/>
              <w:spacing w:before="0"/>
              <w:ind w:left="0"/>
              <w:rPr>
                <w:rFonts w:ascii="Times New Roman"/>
                <w:sz w:val="21"/>
              </w:rPr>
            </w:pPr>
            <w:r>
              <w:rPr>
                <w:rFonts w:ascii="Times New Roman"/>
                <w:sz w:val="21"/>
              </w:rPr>
              <w:t>25</w:t>
            </w:r>
          </w:p>
        </w:tc>
        <w:tc>
          <w:tcPr>
            <w:tcW w:w="659" w:type="pct"/>
            <w:tcBorders>
              <w:tl2br w:val="nil"/>
              <w:tr2bl w:val="nil"/>
            </w:tcBorders>
            <w:vAlign w:val="center"/>
          </w:tcPr>
          <w:p>
            <w:pPr>
              <w:pStyle w:val="140"/>
              <w:spacing w:before="0"/>
              <w:ind w:left="0" w:right="0"/>
              <w:jc w:val="center"/>
              <w:rPr>
                <w:rFonts w:hint="default" w:ascii="Times New Roman" w:eastAsia="宋体"/>
                <w:sz w:val="21"/>
                <w:lang w:val="en-US" w:eastAsia="zh-CN"/>
              </w:rPr>
            </w:pPr>
            <w:r>
              <w:rPr>
                <w:rFonts w:ascii="Times New Roman"/>
                <w:sz w:val="21"/>
              </w:rPr>
              <w:t>0.0</w:t>
            </w:r>
            <w:r>
              <w:rPr>
                <w:rFonts w:hint="eastAsia" w:ascii="Times New Roman"/>
                <w:sz w:val="21"/>
                <w:lang w:val="en-US" w:eastAsia="zh-CN"/>
              </w:rPr>
              <w:t>102</w:t>
            </w:r>
          </w:p>
        </w:tc>
        <w:tc>
          <w:tcPr>
            <w:tcW w:w="927" w:type="pct"/>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13" w:hRule="atLeast"/>
          <w:jc w:val="center"/>
        </w:trPr>
        <w:tc>
          <w:tcPr>
            <w:tcW w:w="326" w:type="pct"/>
            <w:vMerge w:val="continue"/>
            <w:tcBorders>
              <w:tl2br w:val="nil"/>
              <w:tr2bl w:val="nil"/>
            </w:tcBorders>
            <w:vAlign w:val="center"/>
          </w:tcPr>
          <w:p>
            <w:pPr>
              <w:jc w:val="center"/>
              <w:rPr>
                <w:sz w:val="2"/>
                <w:szCs w:val="2"/>
              </w:rPr>
            </w:pPr>
          </w:p>
        </w:tc>
        <w:tc>
          <w:tcPr>
            <w:tcW w:w="502" w:type="pct"/>
            <w:vMerge w:val="continue"/>
            <w:tcBorders>
              <w:tl2br w:val="nil"/>
              <w:tr2bl w:val="nil"/>
            </w:tcBorders>
            <w:vAlign w:val="center"/>
          </w:tcPr>
          <w:p>
            <w:pPr>
              <w:jc w:val="center"/>
              <w:rPr>
                <w:sz w:val="2"/>
                <w:szCs w:val="2"/>
              </w:rPr>
            </w:pPr>
          </w:p>
        </w:tc>
        <w:tc>
          <w:tcPr>
            <w:tcW w:w="523" w:type="pct"/>
            <w:tcBorders>
              <w:tl2br w:val="nil"/>
              <w:tr2bl w:val="nil"/>
            </w:tcBorders>
            <w:vAlign w:val="center"/>
          </w:tcPr>
          <w:p>
            <w:pPr>
              <w:pStyle w:val="140"/>
              <w:spacing w:before="0"/>
              <w:ind w:left="0" w:right="0"/>
              <w:jc w:val="center"/>
              <w:rPr>
                <w:sz w:val="21"/>
              </w:rPr>
            </w:pPr>
            <w:r>
              <w:rPr>
                <w:sz w:val="21"/>
              </w:rPr>
              <w:t>总磷</w:t>
            </w:r>
          </w:p>
        </w:tc>
        <w:tc>
          <w:tcPr>
            <w:tcW w:w="439" w:type="pct"/>
            <w:tcBorders>
              <w:tl2br w:val="nil"/>
              <w:tr2bl w:val="nil"/>
            </w:tcBorders>
            <w:vAlign w:val="center"/>
          </w:tcPr>
          <w:p>
            <w:pPr>
              <w:pStyle w:val="140"/>
              <w:spacing w:before="0"/>
              <w:ind w:left="0"/>
              <w:jc w:val="center"/>
              <w:rPr>
                <w:rFonts w:ascii="Times New Roman"/>
                <w:sz w:val="21"/>
              </w:rPr>
            </w:pPr>
            <w:r>
              <w:rPr>
                <w:rFonts w:ascii="Times New Roman"/>
                <w:w w:val="100"/>
                <w:sz w:val="21"/>
              </w:rPr>
              <w:t>3</w:t>
            </w:r>
          </w:p>
        </w:tc>
        <w:tc>
          <w:tcPr>
            <w:tcW w:w="667" w:type="pct"/>
            <w:tcBorders>
              <w:tl2br w:val="nil"/>
              <w:tr2bl w:val="nil"/>
            </w:tcBorders>
            <w:vAlign w:val="center"/>
          </w:tcPr>
          <w:p>
            <w:pPr>
              <w:pStyle w:val="140"/>
              <w:spacing w:before="0"/>
              <w:ind w:right="0"/>
              <w:jc w:val="center"/>
              <w:rPr>
                <w:rFonts w:hint="default" w:ascii="Times New Roman" w:eastAsia="宋体"/>
                <w:sz w:val="21"/>
                <w:lang w:val="en-US" w:eastAsia="zh-CN"/>
              </w:rPr>
            </w:pPr>
            <w:r>
              <w:rPr>
                <w:rFonts w:ascii="Times New Roman"/>
                <w:sz w:val="21"/>
              </w:rPr>
              <w:t>0.00</w:t>
            </w:r>
            <w:r>
              <w:rPr>
                <w:rFonts w:hint="eastAsia" w:ascii="Times New Roman"/>
                <w:sz w:val="21"/>
                <w:lang w:val="en-US" w:eastAsia="zh-CN"/>
              </w:rPr>
              <w:t>12</w:t>
            </w:r>
          </w:p>
        </w:tc>
        <w:tc>
          <w:tcPr>
            <w:tcW w:w="509" w:type="pct"/>
            <w:vMerge w:val="continue"/>
            <w:tcBorders>
              <w:tl2br w:val="nil"/>
              <w:tr2bl w:val="nil"/>
            </w:tcBorders>
            <w:vAlign w:val="center"/>
          </w:tcPr>
          <w:p>
            <w:pPr>
              <w:jc w:val="center"/>
              <w:rPr>
                <w:sz w:val="2"/>
                <w:szCs w:val="2"/>
              </w:rPr>
            </w:pPr>
          </w:p>
        </w:tc>
        <w:tc>
          <w:tcPr>
            <w:tcW w:w="443" w:type="pct"/>
            <w:tcBorders>
              <w:tl2br w:val="nil"/>
              <w:tr2bl w:val="nil"/>
            </w:tcBorders>
            <w:vAlign w:val="center"/>
          </w:tcPr>
          <w:p>
            <w:pPr>
              <w:pStyle w:val="140"/>
              <w:spacing w:before="0"/>
              <w:jc w:val="center"/>
              <w:rPr>
                <w:rFonts w:ascii="Times New Roman"/>
                <w:sz w:val="21"/>
              </w:rPr>
            </w:pPr>
            <w:r>
              <w:rPr>
                <w:rFonts w:ascii="Times New Roman"/>
                <w:w w:val="100"/>
                <w:sz w:val="21"/>
              </w:rPr>
              <w:t>3</w:t>
            </w:r>
          </w:p>
        </w:tc>
        <w:tc>
          <w:tcPr>
            <w:tcW w:w="659" w:type="pct"/>
            <w:tcBorders>
              <w:tl2br w:val="nil"/>
              <w:tr2bl w:val="nil"/>
            </w:tcBorders>
            <w:vAlign w:val="center"/>
          </w:tcPr>
          <w:p>
            <w:pPr>
              <w:pStyle w:val="140"/>
              <w:spacing w:before="0"/>
              <w:ind w:left="0" w:right="0"/>
              <w:jc w:val="center"/>
              <w:rPr>
                <w:rFonts w:hint="default" w:ascii="Times New Roman" w:eastAsia="宋体"/>
                <w:sz w:val="21"/>
                <w:lang w:val="en-US" w:eastAsia="zh-CN"/>
              </w:rPr>
            </w:pPr>
            <w:r>
              <w:rPr>
                <w:rFonts w:ascii="Times New Roman"/>
                <w:sz w:val="21"/>
              </w:rPr>
              <w:t>0.00</w:t>
            </w:r>
            <w:r>
              <w:rPr>
                <w:rFonts w:hint="eastAsia" w:ascii="Times New Roman"/>
                <w:sz w:val="21"/>
                <w:lang w:val="en-US" w:eastAsia="zh-CN"/>
              </w:rPr>
              <w:t>12</w:t>
            </w:r>
          </w:p>
        </w:tc>
        <w:tc>
          <w:tcPr>
            <w:tcW w:w="927" w:type="pct"/>
            <w:vMerge w:val="continue"/>
            <w:tcBorders>
              <w:tl2br w:val="nil"/>
              <w:tr2bl w:val="nil"/>
            </w:tcBorders>
            <w:vAlign w:val="center"/>
          </w:tcPr>
          <w:p>
            <w:pPr>
              <w:jc w:val="center"/>
              <w:rPr>
                <w:sz w:val="2"/>
                <w:szCs w:val="2"/>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建设项目产生的固废主要为生活垃圾、木料边角料、收集尘及沉降尘(木屑)、收集尘(漆尘)、废活性炭、废包装桶、废过滤纤维、漆渣、废灯管、废催化剂。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w:t>
      </w:r>
      <w:r>
        <w:rPr>
          <w:rFonts w:hint="default" w:ascii="Times New Roman" w:hAnsi="Times New Roman" w:eastAsia="宋体" w:cs="Times New Roman"/>
          <w:color w:val="000000" w:themeColor="text1"/>
          <w:lang w:val="en-US" w:eastAsia="zh-CN"/>
          <w14:textFill>
            <w14:solidFill>
              <w14:schemeClr w14:val="tx1"/>
            </w14:solidFill>
          </w14:textFill>
        </w:rPr>
        <w:t>木料边角料、收集尘及沉降尘(木屑)</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color w:val="000000" w:themeColor="text1"/>
          <w:lang w:val="en-US" w:eastAsia="zh-CN"/>
          <w14:textFill>
            <w14:solidFill>
              <w14:schemeClr w14:val="tx1"/>
            </w14:solidFill>
          </w14:textFill>
        </w:rPr>
        <w:t>收集尘(漆尘)、废活性炭、废包装桶、废过滤纤维、漆渣、废灯管、废催化剂</w:t>
      </w:r>
      <w:r>
        <w:rPr>
          <w:rFonts w:hint="eastAsia" w:eastAsia="宋体" w:cs="Times New Roman"/>
          <w:color w:val="000000" w:themeColor="text1"/>
          <w:lang w:val="en-US" w:eastAsia="zh-CN"/>
          <w14:textFill>
            <w14:solidFill>
              <w14:schemeClr w14:val="tx1"/>
            </w14:solidFill>
          </w14:textFill>
        </w:rPr>
        <w:t>收集后由</w:t>
      </w:r>
      <w:r>
        <w:rPr>
          <w:rFonts w:hint="eastAsia" w:eastAsia="宋体" w:cs="Times New Roman"/>
          <w:color w:val="000000" w:themeColor="text1"/>
          <w:highlight w:val="none"/>
          <w:lang w:val="en-US" w:eastAsia="zh-CN"/>
          <w14:textFill>
            <w14:solidFill>
              <w14:schemeClr w14:val="tx1"/>
            </w14:solidFill>
          </w14:textFill>
        </w:rPr>
        <w:t>海安蔚蓝环保服务有</w:t>
      </w:r>
      <w:r>
        <w:rPr>
          <w:rFonts w:hint="eastAsia" w:eastAsia="宋体" w:cs="Times New Roman"/>
          <w:color w:val="000000" w:themeColor="text1"/>
          <w:lang w:val="en-US" w:eastAsia="zh-CN"/>
          <w14:textFill>
            <w14:solidFill>
              <w14:schemeClr w14:val="tx1"/>
            </w14:solidFill>
          </w14:textFill>
        </w:rPr>
        <w:t>限公司处置。</w:t>
      </w:r>
      <w:r>
        <w:rPr>
          <w:rFonts w:hint="eastAsia" w:eastAsia="宋体" w:cs="Times New Roman"/>
          <w:color w:val="000000" w:themeColor="text1"/>
          <w:kern w:val="2"/>
          <w:sz w:val="24"/>
          <w:szCs w:val="24"/>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情况见表3-1</w:t>
      </w:r>
      <w:r>
        <w:rPr>
          <w:rFonts w:hint="eastAsia" w:eastAsia="宋体" w:cs="Times New Roman"/>
          <w:color w:val="000000" w:themeColor="text1"/>
          <w:sz w:val="24"/>
          <w:szCs w:val="24"/>
          <w:lang w:val="en-US" w:eastAsia="zh-CN"/>
          <w14:textFill>
            <w14:solidFill>
              <w14:schemeClr w14:val="tx1"/>
            </w14:solidFill>
          </w14:textFill>
        </w:rPr>
        <w:t>6、3-17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6</w:t>
      </w:r>
      <w:r>
        <w:rPr>
          <w:rFonts w:hint="default" w:ascii="Times New Roman" w:hAnsi="Times New Roman" w:eastAsia="宋体" w:cs="Times New Roman"/>
          <w:b/>
          <w:bCs/>
          <w:sz w:val="24"/>
          <w:szCs w:val="24"/>
        </w:rPr>
        <w:t xml:space="preserve"> 危险固（液）体</w:t>
      </w:r>
      <w:r>
        <w:rPr>
          <w:rFonts w:hint="eastAsia" w:eastAsia="宋体" w:cs="Times New Roman"/>
          <w:b/>
          <w:bCs/>
          <w:sz w:val="24"/>
          <w:szCs w:val="24"/>
          <w:lang w:val="en-US" w:eastAsia="zh-CN"/>
        </w:rPr>
        <w:t>废物产生</w:t>
      </w:r>
      <w:r>
        <w:rPr>
          <w:rFonts w:hint="default" w:ascii="Times New Roman" w:hAnsi="Times New Roman" w:eastAsia="宋体" w:cs="Times New Roman"/>
          <w:b/>
          <w:bCs/>
          <w:sz w:val="24"/>
          <w:szCs w:val="24"/>
        </w:rPr>
        <w:t>情况一览表</w:t>
      </w:r>
    </w:p>
    <w:tbl>
      <w:tblPr>
        <w:tblStyle w:val="37"/>
        <w:tblW w:w="518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47"/>
        <w:gridCol w:w="1185"/>
        <w:gridCol w:w="982"/>
        <w:gridCol w:w="885"/>
        <w:gridCol w:w="925"/>
        <w:gridCol w:w="1047"/>
        <w:gridCol w:w="1357"/>
        <w:gridCol w:w="1152"/>
        <w:gridCol w:w="12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91" w:type="pct"/>
            <w:tcBorders>
              <w:tl2br w:val="nil"/>
              <w:tr2bl w:val="nil"/>
            </w:tcBorders>
            <w:vAlign w:val="center"/>
          </w:tcPr>
          <w:p>
            <w:pPr>
              <w:pStyle w:val="140"/>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620" w:type="pct"/>
            <w:tcBorders>
              <w:tl2br w:val="nil"/>
              <w:tr2bl w:val="nil"/>
            </w:tcBorders>
            <w:vAlign w:val="center"/>
          </w:tcPr>
          <w:p>
            <w:pPr>
              <w:pStyle w:val="140"/>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514" w:type="pct"/>
            <w:tcBorders>
              <w:tl2br w:val="nil"/>
              <w:tr2bl w:val="nil"/>
            </w:tcBorders>
            <w:vAlign w:val="center"/>
          </w:tcPr>
          <w:p>
            <w:pPr>
              <w:pStyle w:val="140"/>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463" w:type="pct"/>
            <w:tcBorders>
              <w:tl2br w:val="nil"/>
              <w:tr2bl w:val="nil"/>
            </w:tcBorders>
            <w:vAlign w:val="center"/>
          </w:tcPr>
          <w:p>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484" w:type="pct"/>
            <w:tcBorders>
              <w:tl2br w:val="nil"/>
              <w:tr2bl w:val="nil"/>
            </w:tcBorders>
            <w:vAlign w:val="center"/>
          </w:tcPr>
          <w:p>
            <w:pPr>
              <w:pStyle w:val="140"/>
              <w:ind w:left="0"/>
              <w:rPr>
                <w:rFonts w:hint="default" w:ascii="Times New Roman" w:hAnsi="Times New Roman" w:cs="Times New Roman"/>
                <w:sz w:val="21"/>
              </w:rPr>
            </w:pPr>
            <w:r>
              <w:rPr>
                <w:rFonts w:hint="default" w:ascii="Times New Roman" w:hAnsi="Times New Roman" w:cs="Times New Roman"/>
                <w:sz w:val="21"/>
              </w:rPr>
              <w:t>属性</w:t>
            </w:r>
          </w:p>
        </w:tc>
        <w:tc>
          <w:tcPr>
            <w:tcW w:w="548" w:type="pct"/>
            <w:tcBorders>
              <w:tl2br w:val="nil"/>
              <w:tr2bl w:val="nil"/>
            </w:tcBorders>
            <w:vAlign w:val="center"/>
          </w:tcPr>
          <w:p>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710" w:type="pct"/>
            <w:tcBorders>
              <w:tl2br w:val="nil"/>
              <w:tr2bl w:val="nil"/>
            </w:tcBorders>
            <w:vAlign w:val="center"/>
          </w:tcPr>
          <w:p>
            <w:pPr>
              <w:pStyle w:val="140"/>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603" w:type="pct"/>
            <w:tcBorders>
              <w:tl2br w:val="nil"/>
              <w:tr2bl w:val="nil"/>
            </w:tcBorders>
            <w:vAlign w:val="center"/>
          </w:tcPr>
          <w:p>
            <w:pPr>
              <w:pStyle w:val="140"/>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663" w:type="pct"/>
            <w:tcBorders>
              <w:tl2br w:val="nil"/>
              <w:tr2bl w:val="nil"/>
            </w:tcBorders>
            <w:vAlign w:val="center"/>
          </w:tcPr>
          <w:p>
            <w:pPr>
              <w:pStyle w:val="140"/>
              <w:ind w:left="0"/>
              <w:rPr>
                <w:rFonts w:hint="default" w:ascii="Times New Roman" w:hAnsi="Times New Roman" w:cs="Times New Roman"/>
                <w:sz w:val="21"/>
              </w:rPr>
            </w:pPr>
            <w:r>
              <w:rPr>
                <w:rFonts w:hint="default" w:ascii="Times New Roman" w:hAnsi="Times New Roman" w:cs="Times New Roman"/>
                <w:sz w:val="21"/>
              </w:rPr>
              <w:t>处置方式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91" w:type="pct"/>
            <w:tcBorders>
              <w:tl2br w:val="nil"/>
              <w:tr2bl w:val="nil"/>
            </w:tcBorders>
            <w:vAlign w:val="center"/>
          </w:tcPr>
          <w:p>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620" w:type="pct"/>
            <w:tcBorders>
              <w:tl2br w:val="nil"/>
              <w:tr2bl w:val="nil"/>
            </w:tcBorders>
            <w:vAlign w:val="center"/>
          </w:tcPr>
          <w:p>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收集尘（漆尘）</w:t>
            </w:r>
          </w:p>
        </w:tc>
        <w:tc>
          <w:tcPr>
            <w:tcW w:w="514" w:type="pct"/>
            <w:tcBorders>
              <w:tl2br w:val="nil"/>
              <w:tr2bl w:val="nil"/>
            </w:tcBorders>
            <w:vAlign w:val="center"/>
          </w:tcPr>
          <w:p>
            <w:pPr>
              <w:pStyle w:val="140"/>
              <w:spacing w:line="240" w:lineRule="auto"/>
              <w:ind w:left="0" w:right="0" w:firstLine="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除尘</w:t>
            </w:r>
          </w:p>
        </w:tc>
        <w:tc>
          <w:tcPr>
            <w:tcW w:w="463" w:type="pct"/>
            <w:tcBorders>
              <w:tl2br w:val="nil"/>
              <w:tr2bl w:val="nil"/>
            </w:tcBorders>
            <w:vAlign w:val="center"/>
          </w:tcPr>
          <w:p>
            <w:pPr>
              <w:pStyle w:val="140"/>
              <w:ind w:right="0"/>
              <w:jc w:val="center"/>
              <w:rPr>
                <w:rFonts w:hint="eastAsia"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固态</w:t>
            </w:r>
          </w:p>
        </w:tc>
        <w:tc>
          <w:tcPr>
            <w:tcW w:w="484" w:type="pct"/>
            <w:vMerge w:val="restart"/>
            <w:tcBorders>
              <w:tl2br w:val="nil"/>
              <w:tr2bl w:val="nil"/>
            </w:tcBorders>
            <w:vAlign w:val="center"/>
          </w:tcPr>
          <w:p>
            <w:pPr>
              <w:pStyle w:val="140"/>
              <w:spacing w:before="0"/>
              <w:ind w:left="0"/>
              <w:rPr>
                <w:rFonts w:hint="default" w:ascii="Times New Roman" w:hAnsi="Times New Roman" w:cs="Times New Roman"/>
                <w:sz w:val="21"/>
              </w:rPr>
            </w:pPr>
            <w:r>
              <w:rPr>
                <w:rFonts w:hint="default" w:ascii="Times New Roman" w:hAnsi="Times New Roman" w:cs="Times New Roman"/>
                <w:sz w:val="21"/>
              </w:rPr>
              <w:t>危险固废</w:t>
            </w:r>
          </w:p>
        </w:tc>
        <w:tc>
          <w:tcPr>
            <w:tcW w:w="548" w:type="pct"/>
            <w:tcBorders>
              <w:tl2br w:val="nil"/>
              <w:tr2bl w:val="nil"/>
            </w:tcBorders>
            <w:vAlign w:val="center"/>
          </w:tcPr>
          <w:p>
            <w:pPr>
              <w:pStyle w:val="14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HW12</w:t>
            </w:r>
          </w:p>
        </w:tc>
        <w:tc>
          <w:tcPr>
            <w:tcW w:w="710" w:type="pct"/>
            <w:tcBorders>
              <w:tl2br w:val="nil"/>
              <w:tr2bl w:val="nil"/>
            </w:tcBorders>
            <w:vAlign w:val="center"/>
          </w:tcPr>
          <w:p>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900-252-12</w:t>
            </w:r>
          </w:p>
        </w:tc>
        <w:tc>
          <w:tcPr>
            <w:tcW w:w="603" w:type="pct"/>
            <w:tcBorders>
              <w:tl2br w:val="nil"/>
              <w:tr2bl w:val="nil"/>
            </w:tcBorders>
            <w:vAlign w:val="center"/>
          </w:tcPr>
          <w:p>
            <w:pPr>
              <w:pStyle w:val="14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0.0604</w:t>
            </w:r>
          </w:p>
        </w:tc>
        <w:tc>
          <w:tcPr>
            <w:tcW w:w="663" w:type="pct"/>
            <w:vMerge w:val="restart"/>
            <w:tcBorders>
              <w:tl2br w:val="nil"/>
              <w:tr2bl w:val="nil"/>
            </w:tcBorders>
            <w:vAlign w:val="center"/>
          </w:tcPr>
          <w:p>
            <w:pPr>
              <w:pStyle w:val="140"/>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val="en-US" w:eastAsia="zh-CN"/>
              </w:rPr>
              <w:t>海安蔚蓝环保服务</w:t>
            </w:r>
            <w:r>
              <w:rPr>
                <w:rFonts w:hint="default" w:ascii="Times New Roman" w:hAnsi="Times New Roman" w:cs="Times New Roman"/>
                <w:color w:val="auto"/>
                <w:sz w:val="21"/>
              </w:rPr>
              <w:t>有限公司</w:t>
            </w:r>
            <w:r>
              <w:rPr>
                <w:rFonts w:hint="eastAsia" w:ascii="Times New Roman" w:hAnsi="Times New Roman" w:cs="Times New Roman"/>
                <w:color w:val="auto"/>
                <w:sz w:val="21"/>
                <w:lang w:val="en-US" w:eastAsia="zh-CN"/>
              </w:rPr>
              <w:t>进行处置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91" w:type="pct"/>
            <w:tcBorders>
              <w:tl2br w:val="nil"/>
              <w:tr2bl w:val="nil"/>
            </w:tcBorders>
            <w:vAlign w:val="center"/>
          </w:tcPr>
          <w:p>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620" w:type="pct"/>
            <w:tcBorders>
              <w:tl2br w:val="nil"/>
              <w:tr2bl w:val="nil"/>
            </w:tcBorders>
            <w:vAlign w:val="center"/>
          </w:tcPr>
          <w:p>
            <w:pPr>
              <w:pStyle w:val="140"/>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废活性炭</w:t>
            </w:r>
          </w:p>
        </w:tc>
        <w:tc>
          <w:tcPr>
            <w:tcW w:w="514" w:type="pct"/>
            <w:tcBorders>
              <w:tl2br w:val="nil"/>
              <w:tr2bl w:val="nil"/>
            </w:tcBorders>
            <w:vAlign w:val="center"/>
          </w:tcPr>
          <w:p>
            <w:pPr>
              <w:pStyle w:val="140"/>
              <w:spacing w:line="240" w:lineRule="auto"/>
              <w:ind w:left="0" w:right="0" w:firstLine="0"/>
              <w:rPr>
                <w:rFonts w:hint="default" w:ascii="Times New Roman" w:hAnsi="Times New Roman" w:cs="Times New Roman"/>
                <w:sz w:val="21"/>
              </w:rPr>
            </w:pPr>
            <w:r>
              <w:rPr>
                <w:rFonts w:hint="eastAsia" w:ascii="Times New Roman" w:hAnsi="Times New Roman" w:cs="Times New Roman"/>
                <w:sz w:val="21"/>
                <w:lang w:val="en-US" w:eastAsia="zh-CN"/>
              </w:rPr>
              <w:t>废气处理</w:t>
            </w:r>
          </w:p>
        </w:tc>
        <w:tc>
          <w:tcPr>
            <w:tcW w:w="463" w:type="pct"/>
            <w:tcBorders>
              <w:tl2br w:val="nil"/>
              <w:tr2bl w:val="nil"/>
            </w:tcBorders>
            <w:vAlign w:val="center"/>
          </w:tcPr>
          <w:p>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484" w:type="pct"/>
            <w:vMerge w:val="continue"/>
            <w:tcBorders>
              <w:tl2br w:val="nil"/>
              <w:tr2bl w:val="nil"/>
            </w:tcBorders>
            <w:vAlign w:val="center"/>
          </w:tcPr>
          <w:p>
            <w:pPr>
              <w:pStyle w:val="140"/>
              <w:spacing w:before="0"/>
              <w:ind w:left="0"/>
              <w:rPr>
                <w:rFonts w:hint="default" w:ascii="Times New Roman" w:hAnsi="Times New Roman" w:cs="Times New Roman"/>
                <w:sz w:val="21"/>
              </w:rPr>
            </w:pPr>
          </w:p>
        </w:tc>
        <w:tc>
          <w:tcPr>
            <w:tcW w:w="548" w:type="pct"/>
            <w:tcBorders>
              <w:tl2br w:val="nil"/>
              <w:tr2bl w:val="nil"/>
            </w:tcBorders>
            <w:vAlign w:val="center"/>
          </w:tcPr>
          <w:p>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HW49</w:t>
            </w:r>
          </w:p>
        </w:tc>
        <w:tc>
          <w:tcPr>
            <w:tcW w:w="710" w:type="pct"/>
            <w:tcBorders>
              <w:tl2br w:val="nil"/>
              <w:tr2bl w:val="nil"/>
            </w:tcBorders>
            <w:vAlign w:val="center"/>
          </w:tcPr>
          <w:p>
            <w:pPr>
              <w:pStyle w:val="140"/>
              <w:ind w:left="0" w:right="0"/>
              <w:jc w:val="center"/>
              <w:rPr>
                <w:rFonts w:hint="default" w:ascii="Times New Roman" w:hAnsi="Times New Roman" w:cs="Times New Roman"/>
                <w:sz w:val="21"/>
              </w:rPr>
            </w:pPr>
            <w:r>
              <w:rPr>
                <w:rFonts w:hint="default" w:ascii="Times New Roman" w:hAnsi="Times New Roman" w:cs="Times New Roman"/>
                <w:sz w:val="21"/>
              </w:rPr>
              <w:t>900-0</w:t>
            </w:r>
            <w:r>
              <w:rPr>
                <w:rFonts w:hint="eastAsia" w:ascii="Times New Roman" w:hAnsi="Times New Roman" w:cs="Times New Roman"/>
                <w:sz w:val="21"/>
                <w:lang w:val="en-US" w:eastAsia="zh-CN"/>
              </w:rPr>
              <w:t>39</w:t>
            </w:r>
            <w:r>
              <w:rPr>
                <w:rFonts w:hint="default" w:ascii="Times New Roman" w:hAnsi="Times New Roman" w:cs="Times New Roman"/>
                <w:sz w:val="21"/>
              </w:rPr>
              <w:t>-49</w:t>
            </w:r>
          </w:p>
        </w:tc>
        <w:tc>
          <w:tcPr>
            <w:tcW w:w="603" w:type="pct"/>
            <w:tcBorders>
              <w:tl2br w:val="nil"/>
              <w:tr2bl w:val="nil"/>
            </w:tcBorders>
            <w:vAlign w:val="center"/>
          </w:tcPr>
          <w:p>
            <w:pPr>
              <w:pStyle w:val="14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2.583</w:t>
            </w:r>
          </w:p>
        </w:tc>
        <w:tc>
          <w:tcPr>
            <w:tcW w:w="663" w:type="pct"/>
            <w:vMerge w:val="continue"/>
            <w:tcBorders>
              <w:tl2br w:val="nil"/>
              <w:tr2bl w:val="nil"/>
            </w:tcBorders>
            <w:vAlign w:val="center"/>
          </w:tcPr>
          <w:p>
            <w:pPr>
              <w:pStyle w:val="140"/>
              <w:spacing w:before="0" w:line="240" w:lineRule="auto"/>
              <w:ind w:left="0" w:right="0"/>
              <w:jc w:val="center"/>
              <w:rPr>
                <w:rFonts w:hint="default"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91" w:type="pct"/>
            <w:tcBorders>
              <w:tl2br w:val="nil"/>
              <w:tr2bl w:val="nil"/>
            </w:tcBorders>
            <w:vAlign w:val="center"/>
          </w:tcPr>
          <w:p>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3</w:t>
            </w:r>
          </w:p>
        </w:tc>
        <w:tc>
          <w:tcPr>
            <w:tcW w:w="620"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废包装桶</w:t>
            </w:r>
          </w:p>
        </w:tc>
        <w:tc>
          <w:tcPr>
            <w:tcW w:w="514" w:type="pct"/>
            <w:tcBorders>
              <w:tl2br w:val="nil"/>
              <w:tr2bl w:val="nil"/>
            </w:tcBorders>
            <w:vAlign w:val="center"/>
          </w:tcPr>
          <w:p>
            <w:pPr>
              <w:pStyle w:val="140"/>
              <w:ind w:left="0"/>
              <w:rPr>
                <w:rFonts w:hint="default" w:ascii="Times New Roman" w:hAnsi="Times New Roman" w:cs="Times New Roman"/>
                <w:sz w:val="21"/>
              </w:rPr>
            </w:pPr>
            <w:r>
              <w:rPr>
                <w:rFonts w:hint="eastAsia" w:ascii="Times New Roman" w:hAnsi="Times New Roman" w:cs="Times New Roman"/>
                <w:sz w:val="21"/>
                <w:lang w:val="en-US" w:eastAsia="zh-CN"/>
              </w:rPr>
              <w:t>原料</w:t>
            </w:r>
          </w:p>
        </w:tc>
        <w:tc>
          <w:tcPr>
            <w:tcW w:w="463" w:type="pct"/>
            <w:tcBorders>
              <w:tl2br w:val="nil"/>
              <w:tr2bl w:val="nil"/>
            </w:tcBorders>
            <w:vAlign w:val="center"/>
          </w:tcPr>
          <w:p>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液态</w:t>
            </w:r>
          </w:p>
        </w:tc>
        <w:tc>
          <w:tcPr>
            <w:tcW w:w="484" w:type="pct"/>
            <w:vMerge w:val="continue"/>
            <w:tcBorders>
              <w:tl2br w:val="nil"/>
              <w:tr2bl w:val="nil"/>
            </w:tcBorders>
            <w:vAlign w:val="center"/>
          </w:tcPr>
          <w:p>
            <w:pPr>
              <w:jc w:val="center"/>
              <w:rPr>
                <w:rFonts w:hint="default" w:eastAsia="宋体"/>
                <w:sz w:val="2"/>
                <w:szCs w:val="2"/>
              </w:rPr>
            </w:pPr>
          </w:p>
        </w:tc>
        <w:tc>
          <w:tcPr>
            <w:tcW w:w="548" w:type="pct"/>
            <w:tcBorders>
              <w:tl2br w:val="nil"/>
              <w:tr2bl w:val="nil"/>
            </w:tcBorders>
            <w:vAlign w:val="center"/>
          </w:tcPr>
          <w:p>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HW49</w:t>
            </w:r>
          </w:p>
        </w:tc>
        <w:tc>
          <w:tcPr>
            <w:tcW w:w="710" w:type="pct"/>
            <w:tcBorders>
              <w:tl2br w:val="nil"/>
              <w:tr2bl w:val="nil"/>
            </w:tcBorders>
            <w:vAlign w:val="center"/>
          </w:tcPr>
          <w:p>
            <w:pPr>
              <w:pStyle w:val="140"/>
              <w:spacing w:before="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900-041-49</w:t>
            </w:r>
          </w:p>
        </w:tc>
        <w:tc>
          <w:tcPr>
            <w:tcW w:w="603" w:type="pct"/>
            <w:tcBorders>
              <w:tl2br w:val="nil"/>
              <w:tr2bl w:val="nil"/>
            </w:tcBorders>
            <w:vAlign w:val="center"/>
          </w:tcPr>
          <w:p>
            <w:pPr>
              <w:pStyle w:val="14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0.3</w:t>
            </w:r>
          </w:p>
        </w:tc>
        <w:tc>
          <w:tcPr>
            <w:tcW w:w="663" w:type="pct"/>
            <w:vMerge w:val="continue"/>
            <w:tcBorders>
              <w:tl2br w:val="nil"/>
              <w:tr2bl w:val="nil"/>
            </w:tcBorders>
            <w:vAlign w:val="center"/>
          </w:tcPr>
          <w:p>
            <w:pPr>
              <w:jc w:val="center"/>
              <w:rPr>
                <w:rFonts w:hint="default" w:eastAsia="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91" w:type="pct"/>
            <w:tcBorders>
              <w:tl2br w:val="nil"/>
              <w:tr2bl w:val="nil"/>
            </w:tcBorders>
            <w:vAlign w:val="center"/>
          </w:tcPr>
          <w:p>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4</w:t>
            </w:r>
          </w:p>
        </w:tc>
        <w:tc>
          <w:tcPr>
            <w:tcW w:w="620" w:type="pct"/>
            <w:tcBorders>
              <w:tl2br w:val="nil"/>
              <w:tr2bl w:val="nil"/>
            </w:tcBorders>
            <w:vAlign w:val="center"/>
          </w:tcPr>
          <w:p>
            <w:pPr>
              <w:pStyle w:val="140"/>
              <w:spacing w:before="0"/>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废过滤纤维</w:t>
            </w:r>
          </w:p>
        </w:tc>
        <w:tc>
          <w:tcPr>
            <w:tcW w:w="514"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废气处理</w:t>
            </w:r>
          </w:p>
        </w:tc>
        <w:tc>
          <w:tcPr>
            <w:tcW w:w="463" w:type="pct"/>
            <w:tcBorders>
              <w:tl2br w:val="nil"/>
              <w:tr2bl w:val="nil"/>
            </w:tcBorders>
            <w:vAlign w:val="center"/>
          </w:tcPr>
          <w:p>
            <w:pPr>
              <w:pStyle w:val="140"/>
              <w:spacing w:before="0"/>
              <w:ind w:right="0"/>
              <w:jc w:val="center"/>
              <w:rPr>
                <w:rFonts w:hint="default" w:ascii="Times New Roman" w:hAnsi="Times New Roman" w:cs="Times New Roman"/>
                <w:sz w:val="21"/>
              </w:rPr>
            </w:pPr>
            <w:r>
              <w:rPr>
                <w:rFonts w:hint="default" w:ascii="Times New Roman" w:hAnsi="Times New Roman" w:cs="Times New Roman"/>
                <w:w w:val="100"/>
                <w:sz w:val="21"/>
              </w:rPr>
              <w:t>液态</w:t>
            </w:r>
          </w:p>
        </w:tc>
        <w:tc>
          <w:tcPr>
            <w:tcW w:w="484" w:type="pct"/>
            <w:vMerge w:val="continue"/>
            <w:tcBorders>
              <w:tl2br w:val="nil"/>
              <w:tr2bl w:val="nil"/>
            </w:tcBorders>
            <w:vAlign w:val="center"/>
          </w:tcPr>
          <w:p>
            <w:pPr>
              <w:jc w:val="center"/>
              <w:rPr>
                <w:rFonts w:hint="default" w:eastAsia="宋体"/>
                <w:sz w:val="2"/>
                <w:szCs w:val="2"/>
              </w:rPr>
            </w:pPr>
          </w:p>
        </w:tc>
        <w:tc>
          <w:tcPr>
            <w:tcW w:w="548" w:type="pct"/>
            <w:tcBorders>
              <w:tl2br w:val="nil"/>
              <w:tr2bl w:val="nil"/>
            </w:tcBorders>
            <w:vAlign w:val="center"/>
          </w:tcPr>
          <w:p>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HW49</w:t>
            </w:r>
          </w:p>
        </w:tc>
        <w:tc>
          <w:tcPr>
            <w:tcW w:w="710" w:type="pct"/>
            <w:tcBorders>
              <w:tl2br w:val="nil"/>
              <w:tr2bl w:val="nil"/>
            </w:tcBorders>
            <w:vAlign w:val="center"/>
          </w:tcPr>
          <w:p>
            <w:pPr>
              <w:pStyle w:val="140"/>
              <w:spacing w:before="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900-041-49</w:t>
            </w:r>
          </w:p>
        </w:tc>
        <w:tc>
          <w:tcPr>
            <w:tcW w:w="603" w:type="pct"/>
            <w:tcBorders>
              <w:tl2br w:val="nil"/>
              <w:tr2bl w:val="nil"/>
            </w:tcBorders>
            <w:vAlign w:val="center"/>
          </w:tcPr>
          <w:p>
            <w:pPr>
              <w:pStyle w:val="14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2.1436</w:t>
            </w:r>
          </w:p>
        </w:tc>
        <w:tc>
          <w:tcPr>
            <w:tcW w:w="663" w:type="pct"/>
            <w:vMerge w:val="continue"/>
            <w:tcBorders>
              <w:tl2br w:val="nil"/>
              <w:tr2bl w:val="nil"/>
            </w:tcBorders>
            <w:vAlign w:val="center"/>
          </w:tcPr>
          <w:p>
            <w:pPr>
              <w:jc w:val="center"/>
              <w:rPr>
                <w:rFonts w:hint="default" w:eastAsia="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91" w:type="pct"/>
            <w:tcBorders>
              <w:tl2br w:val="nil"/>
              <w:tr2bl w:val="nil"/>
            </w:tcBorders>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5</w:t>
            </w:r>
          </w:p>
        </w:tc>
        <w:tc>
          <w:tcPr>
            <w:tcW w:w="620" w:type="pct"/>
            <w:tcBorders>
              <w:tl2br w:val="nil"/>
              <w:tr2bl w:val="nil"/>
            </w:tcBorders>
            <w:vAlign w:val="center"/>
          </w:tcPr>
          <w:p>
            <w:pPr>
              <w:pStyle w:val="140"/>
              <w:ind w:left="0"/>
              <w:jc w:val="center"/>
              <w:rPr>
                <w:rFonts w:hint="default" w:ascii="Times New Roman" w:hAnsi="Times New Roman" w:cs="Times New Roman"/>
                <w:sz w:val="21"/>
              </w:rPr>
            </w:pPr>
            <w:r>
              <w:rPr>
                <w:rFonts w:hint="eastAsia" w:ascii="Times New Roman" w:hAnsi="Times New Roman" w:cs="Times New Roman"/>
                <w:sz w:val="21"/>
                <w:lang w:val="en-US" w:eastAsia="zh-CN"/>
              </w:rPr>
              <w:t>漆渣</w:t>
            </w:r>
          </w:p>
        </w:tc>
        <w:tc>
          <w:tcPr>
            <w:tcW w:w="514"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废气处理</w:t>
            </w:r>
          </w:p>
        </w:tc>
        <w:tc>
          <w:tcPr>
            <w:tcW w:w="463" w:type="pct"/>
            <w:tcBorders>
              <w:tl2br w:val="nil"/>
              <w:tr2bl w:val="nil"/>
            </w:tcBorders>
            <w:vAlign w:val="center"/>
          </w:tcPr>
          <w:p>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484" w:type="pct"/>
            <w:vMerge w:val="continue"/>
            <w:tcBorders>
              <w:tl2br w:val="nil"/>
              <w:tr2bl w:val="nil"/>
            </w:tcBorders>
            <w:vAlign w:val="center"/>
          </w:tcPr>
          <w:p>
            <w:pPr>
              <w:jc w:val="center"/>
              <w:rPr>
                <w:rFonts w:hint="default" w:eastAsia="宋体"/>
                <w:sz w:val="2"/>
                <w:szCs w:val="2"/>
              </w:rPr>
            </w:pPr>
          </w:p>
        </w:tc>
        <w:tc>
          <w:tcPr>
            <w:tcW w:w="548" w:type="pct"/>
            <w:tcBorders>
              <w:tl2br w:val="nil"/>
              <w:tr2bl w:val="nil"/>
            </w:tcBorders>
            <w:vAlign w:val="center"/>
          </w:tcPr>
          <w:p>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HW12</w:t>
            </w:r>
          </w:p>
        </w:tc>
        <w:tc>
          <w:tcPr>
            <w:tcW w:w="710" w:type="pct"/>
            <w:tcBorders>
              <w:tl2br w:val="nil"/>
              <w:tr2bl w:val="nil"/>
            </w:tcBorders>
            <w:vAlign w:val="center"/>
          </w:tcPr>
          <w:p>
            <w:pPr>
              <w:pStyle w:val="140"/>
              <w:spacing w:before="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900-252-12</w:t>
            </w:r>
          </w:p>
        </w:tc>
        <w:tc>
          <w:tcPr>
            <w:tcW w:w="603" w:type="pct"/>
            <w:tcBorders>
              <w:tl2br w:val="nil"/>
              <w:tr2bl w:val="nil"/>
            </w:tcBorders>
            <w:vAlign w:val="center"/>
          </w:tcPr>
          <w:p>
            <w:pPr>
              <w:pStyle w:val="140"/>
              <w:ind w:right="0"/>
              <w:jc w:val="center"/>
              <w:rPr>
                <w:rFonts w:hint="default" w:ascii="Times New Roman" w:hAnsi="Times New Roman" w:cs="Times New Roman"/>
                <w:sz w:val="21"/>
              </w:rPr>
            </w:pPr>
            <w:r>
              <w:rPr>
                <w:rFonts w:hint="eastAsia" w:ascii="Times New Roman" w:hAnsi="Times New Roman" w:cs="Times New Roman"/>
                <w:sz w:val="21"/>
                <w:lang w:val="en-US" w:eastAsia="zh-CN"/>
              </w:rPr>
              <w:t>0.243</w:t>
            </w:r>
          </w:p>
        </w:tc>
        <w:tc>
          <w:tcPr>
            <w:tcW w:w="663" w:type="pct"/>
            <w:vMerge w:val="continue"/>
            <w:tcBorders>
              <w:tl2br w:val="nil"/>
              <w:tr2bl w:val="nil"/>
            </w:tcBorders>
            <w:vAlign w:val="center"/>
          </w:tcPr>
          <w:p>
            <w:pPr>
              <w:jc w:val="center"/>
              <w:rPr>
                <w:rFonts w:hint="default" w:eastAsia="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391" w:type="pct"/>
            <w:tcBorders>
              <w:tl2br w:val="nil"/>
              <w:tr2bl w:val="nil"/>
            </w:tcBorders>
            <w:vAlign w:val="center"/>
          </w:tcPr>
          <w:p>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6</w:t>
            </w:r>
          </w:p>
        </w:tc>
        <w:tc>
          <w:tcPr>
            <w:tcW w:w="620" w:type="pct"/>
            <w:tcBorders>
              <w:tl2br w:val="nil"/>
              <w:tr2bl w:val="nil"/>
            </w:tcBorders>
            <w:vAlign w:val="center"/>
          </w:tcPr>
          <w:p>
            <w:pPr>
              <w:pStyle w:val="140"/>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废灯管</w:t>
            </w:r>
          </w:p>
        </w:tc>
        <w:tc>
          <w:tcPr>
            <w:tcW w:w="514"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废气处理</w:t>
            </w:r>
          </w:p>
        </w:tc>
        <w:tc>
          <w:tcPr>
            <w:tcW w:w="463" w:type="pct"/>
            <w:tcBorders>
              <w:tl2br w:val="nil"/>
              <w:tr2bl w:val="nil"/>
            </w:tcBorders>
            <w:vAlign w:val="center"/>
          </w:tcPr>
          <w:p>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484" w:type="pct"/>
            <w:vMerge w:val="continue"/>
            <w:tcBorders>
              <w:tl2br w:val="nil"/>
              <w:tr2bl w:val="nil"/>
            </w:tcBorders>
            <w:vAlign w:val="center"/>
          </w:tcPr>
          <w:p>
            <w:pPr>
              <w:jc w:val="center"/>
              <w:rPr>
                <w:rFonts w:hint="default" w:eastAsia="宋体"/>
                <w:sz w:val="2"/>
                <w:szCs w:val="2"/>
              </w:rPr>
            </w:pPr>
          </w:p>
        </w:tc>
        <w:tc>
          <w:tcPr>
            <w:tcW w:w="548" w:type="pct"/>
            <w:tcBorders>
              <w:tl2br w:val="nil"/>
              <w:tr2bl w:val="nil"/>
            </w:tcBorders>
            <w:vAlign w:val="center"/>
          </w:tcPr>
          <w:p>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HW29</w:t>
            </w:r>
          </w:p>
        </w:tc>
        <w:tc>
          <w:tcPr>
            <w:tcW w:w="710" w:type="pct"/>
            <w:tcBorders>
              <w:tl2br w:val="nil"/>
              <w:tr2bl w:val="nil"/>
            </w:tcBorders>
            <w:vAlign w:val="center"/>
          </w:tcPr>
          <w:p>
            <w:pPr>
              <w:pStyle w:val="140"/>
              <w:spacing w:before="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900-023-29</w:t>
            </w:r>
          </w:p>
        </w:tc>
        <w:tc>
          <w:tcPr>
            <w:tcW w:w="603" w:type="pct"/>
            <w:tcBorders>
              <w:tl2br w:val="nil"/>
              <w:tr2bl w:val="nil"/>
            </w:tcBorders>
            <w:vAlign w:val="center"/>
          </w:tcPr>
          <w:p>
            <w:pPr>
              <w:pStyle w:val="140"/>
              <w:spacing w:before="0"/>
              <w:ind w:right="0"/>
              <w:jc w:val="center"/>
              <w:rPr>
                <w:rFonts w:hint="default" w:ascii="Times New Roman" w:hAnsi="Times New Roman" w:cs="Times New Roman"/>
                <w:sz w:val="21"/>
              </w:rPr>
            </w:pPr>
            <w:r>
              <w:rPr>
                <w:rFonts w:hint="eastAsia" w:ascii="Times New Roman" w:hAnsi="Times New Roman" w:cs="Times New Roman"/>
                <w:sz w:val="21"/>
                <w:lang w:val="en-US" w:eastAsia="zh-CN"/>
              </w:rPr>
              <w:t>0.06</w:t>
            </w:r>
          </w:p>
        </w:tc>
        <w:tc>
          <w:tcPr>
            <w:tcW w:w="663" w:type="pct"/>
            <w:vMerge w:val="continue"/>
            <w:tcBorders>
              <w:tl2br w:val="nil"/>
              <w:tr2bl w:val="nil"/>
            </w:tcBorders>
            <w:vAlign w:val="center"/>
          </w:tcPr>
          <w:p>
            <w:pPr>
              <w:jc w:val="center"/>
              <w:rPr>
                <w:rFonts w:hint="default" w:eastAsia="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91" w:type="pct"/>
            <w:tcBorders>
              <w:tl2br w:val="nil"/>
              <w:tr2bl w:val="nil"/>
            </w:tcBorders>
            <w:vAlign w:val="center"/>
          </w:tcPr>
          <w:p>
            <w:pPr>
              <w:pStyle w:val="140"/>
              <w:ind w:left="0"/>
              <w:jc w:val="center"/>
              <w:rPr>
                <w:rFonts w:hint="eastAsia" w:ascii="Times New Roman" w:hAnsi="Times New Roman" w:eastAsia="宋体" w:cs="Times New Roman"/>
                <w:sz w:val="21"/>
                <w:lang w:eastAsia="zh-CN"/>
              </w:rPr>
            </w:pPr>
            <w:r>
              <w:rPr>
                <w:rFonts w:hint="eastAsia" w:ascii="Times New Roman" w:hAnsi="Times New Roman" w:cs="Times New Roman"/>
                <w:w w:val="99"/>
                <w:sz w:val="21"/>
                <w:lang w:val="en-US" w:eastAsia="zh-CN"/>
              </w:rPr>
              <w:t>7</w:t>
            </w:r>
          </w:p>
        </w:tc>
        <w:tc>
          <w:tcPr>
            <w:tcW w:w="620" w:type="pct"/>
            <w:tcBorders>
              <w:tl2br w:val="nil"/>
              <w:tr2bl w:val="nil"/>
            </w:tcBorders>
            <w:vAlign w:val="center"/>
          </w:tcPr>
          <w:p>
            <w:pPr>
              <w:pStyle w:val="140"/>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废催化剂</w:t>
            </w:r>
          </w:p>
        </w:tc>
        <w:tc>
          <w:tcPr>
            <w:tcW w:w="514" w:type="pct"/>
            <w:tcBorders>
              <w:tl2br w:val="nil"/>
              <w:tr2bl w:val="nil"/>
            </w:tcBorders>
            <w:vAlign w:val="center"/>
          </w:tcPr>
          <w:p>
            <w:pPr>
              <w:pStyle w:val="140"/>
              <w:spacing w:before="0" w:line="240" w:lineRule="auto"/>
              <w:ind w:left="0"/>
              <w:jc w:val="center"/>
              <w:rPr>
                <w:rFonts w:hint="default" w:ascii="Times New Roman" w:hAnsi="Times New Roman" w:cs="Times New Roman"/>
                <w:sz w:val="21"/>
              </w:rPr>
            </w:pPr>
            <w:r>
              <w:rPr>
                <w:rFonts w:hint="eastAsia" w:ascii="Times New Roman" w:hAnsi="Times New Roman" w:cs="Times New Roman"/>
                <w:sz w:val="21"/>
                <w:lang w:val="en-US" w:eastAsia="zh-CN"/>
              </w:rPr>
              <w:t>废气处理</w:t>
            </w:r>
          </w:p>
        </w:tc>
        <w:tc>
          <w:tcPr>
            <w:tcW w:w="463" w:type="pct"/>
            <w:tcBorders>
              <w:tl2br w:val="nil"/>
              <w:tr2bl w:val="nil"/>
            </w:tcBorders>
            <w:vAlign w:val="center"/>
          </w:tcPr>
          <w:p>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484" w:type="pct"/>
            <w:vMerge w:val="continue"/>
            <w:tcBorders>
              <w:tl2br w:val="nil"/>
              <w:tr2bl w:val="nil"/>
            </w:tcBorders>
            <w:vAlign w:val="center"/>
          </w:tcPr>
          <w:p>
            <w:pPr>
              <w:jc w:val="center"/>
              <w:rPr>
                <w:rFonts w:hint="default" w:eastAsia="宋体"/>
                <w:sz w:val="2"/>
                <w:szCs w:val="2"/>
              </w:rPr>
            </w:pPr>
          </w:p>
        </w:tc>
        <w:tc>
          <w:tcPr>
            <w:tcW w:w="548" w:type="pct"/>
            <w:tcBorders>
              <w:tl2br w:val="nil"/>
              <w:tr2bl w:val="nil"/>
            </w:tcBorders>
            <w:vAlign w:val="center"/>
          </w:tcPr>
          <w:p>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HW49</w:t>
            </w:r>
          </w:p>
        </w:tc>
        <w:tc>
          <w:tcPr>
            <w:tcW w:w="710" w:type="pct"/>
            <w:tcBorders>
              <w:tl2br w:val="nil"/>
              <w:tr2bl w:val="nil"/>
            </w:tcBorders>
            <w:vAlign w:val="center"/>
          </w:tcPr>
          <w:p>
            <w:pPr>
              <w:pStyle w:val="140"/>
              <w:spacing w:before="0"/>
              <w:ind w:left="0" w:right="0"/>
              <w:jc w:val="center"/>
              <w:rPr>
                <w:rFonts w:hint="default" w:ascii="Times New Roman" w:hAnsi="Times New Roman" w:cs="Times New Roman"/>
                <w:sz w:val="21"/>
              </w:rPr>
            </w:pPr>
            <w:r>
              <w:rPr>
                <w:rFonts w:hint="eastAsia" w:ascii="Times New Roman" w:hAnsi="Times New Roman" w:cs="Times New Roman"/>
                <w:sz w:val="21"/>
                <w:lang w:val="en-US" w:eastAsia="zh-CN"/>
              </w:rPr>
              <w:t>900-041-49</w:t>
            </w:r>
          </w:p>
        </w:tc>
        <w:tc>
          <w:tcPr>
            <w:tcW w:w="603" w:type="pct"/>
            <w:tcBorders>
              <w:tl2br w:val="nil"/>
              <w:tr2bl w:val="nil"/>
            </w:tcBorders>
            <w:vAlign w:val="center"/>
          </w:tcPr>
          <w:p>
            <w:pPr>
              <w:pStyle w:val="140"/>
              <w:ind w:right="0"/>
              <w:jc w:val="center"/>
              <w:rPr>
                <w:rFonts w:hint="default" w:ascii="Times New Roman" w:hAnsi="Times New Roman" w:cs="Times New Roman"/>
                <w:sz w:val="21"/>
              </w:rPr>
            </w:pPr>
            <w:r>
              <w:rPr>
                <w:rFonts w:hint="eastAsia" w:ascii="Times New Roman" w:hAnsi="Times New Roman" w:cs="Times New Roman"/>
                <w:sz w:val="21"/>
                <w:lang w:val="en-US" w:eastAsia="zh-CN"/>
              </w:rPr>
              <w:t>0.01</w:t>
            </w:r>
          </w:p>
        </w:tc>
        <w:tc>
          <w:tcPr>
            <w:tcW w:w="663" w:type="pct"/>
            <w:vMerge w:val="continue"/>
            <w:tcBorders>
              <w:tl2br w:val="nil"/>
              <w:tr2bl w:val="nil"/>
            </w:tcBorders>
            <w:vAlign w:val="center"/>
          </w:tcPr>
          <w:p>
            <w:pPr>
              <w:jc w:val="center"/>
              <w:rPr>
                <w:rFonts w:hint="default" w:eastAsia="宋体"/>
                <w:sz w:val="2"/>
                <w:szCs w:val="2"/>
              </w:rPr>
            </w:pPr>
          </w:p>
        </w:tc>
      </w:tr>
    </w:tbl>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7</w:t>
      </w:r>
      <w:r>
        <w:rPr>
          <w:rFonts w:hint="default" w:ascii="Times New Roman" w:hAnsi="Times New Roman" w:eastAsia="宋体" w:cs="Times New Roman"/>
          <w:b/>
          <w:bCs/>
          <w:sz w:val="24"/>
          <w:szCs w:val="24"/>
        </w:rPr>
        <w:t xml:space="preserve"> </w:t>
      </w:r>
      <w:r>
        <w:rPr>
          <w:rFonts w:hint="eastAsia" w:eastAsia="宋体" w:cs="Times New Roman"/>
          <w:b/>
          <w:bCs/>
          <w:sz w:val="24"/>
          <w:szCs w:val="24"/>
          <w:lang w:val="en-US" w:eastAsia="zh-CN"/>
        </w:rPr>
        <w:t>一般</w:t>
      </w:r>
      <w:r>
        <w:rPr>
          <w:rFonts w:hint="default" w:ascii="Times New Roman" w:hAnsi="Times New Roman" w:eastAsia="宋体" w:cs="Times New Roman"/>
          <w:b/>
          <w:bCs/>
          <w:sz w:val="24"/>
          <w:szCs w:val="24"/>
        </w:rPr>
        <w:t>固（液）体</w:t>
      </w:r>
      <w:r>
        <w:rPr>
          <w:rFonts w:hint="eastAsia" w:eastAsia="宋体" w:cs="Times New Roman"/>
          <w:b/>
          <w:bCs/>
          <w:sz w:val="24"/>
          <w:szCs w:val="24"/>
          <w:lang w:val="en-US" w:eastAsia="zh-CN"/>
        </w:rPr>
        <w:t>废物产生</w:t>
      </w:r>
      <w:r>
        <w:rPr>
          <w:rFonts w:hint="default" w:ascii="Times New Roman" w:hAnsi="Times New Roman" w:eastAsia="宋体" w:cs="Times New Roman"/>
          <w:b/>
          <w:bCs/>
          <w:sz w:val="24"/>
          <w:szCs w:val="24"/>
        </w:rPr>
        <w:t>情况一览表</w:t>
      </w:r>
    </w:p>
    <w:tbl>
      <w:tblPr>
        <w:tblStyle w:val="37"/>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94"/>
        <w:gridCol w:w="1195"/>
        <w:gridCol w:w="856"/>
        <w:gridCol w:w="856"/>
        <w:gridCol w:w="1237"/>
        <w:gridCol w:w="1653"/>
        <w:gridCol w:w="1253"/>
        <w:gridCol w:w="14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7" w:type="pct"/>
            <w:tcBorders>
              <w:tl2br w:val="nil"/>
              <w:tr2bl w:val="nil"/>
            </w:tcBorders>
            <w:vAlign w:val="center"/>
          </w:tcPr>
          <w:p>
            <w:pPr>
              <w:pStyle w:val="140"/>
              <w:ind w:left="0" w:right="0"/>
              <w:jc w:val="center"/>
              <w:rPr>
                <w:rFonts w:ascii="Times New Roman" w:hAnsi="Times New Roman" w:cs="Times New Roman"/>
                <w:sz w:val="21"/>
              </w:rPr>
            </w:pPr>
            <w:r>
              <w:rPr>
                <w:rFonts w:ascii="Times New Roman" w:hAnsi="Times New Roman" w:cs="Times New Roman"/>
                <w:sz w:val="21"/>
              </w:rPr>
              <w:t>序号</w:t>
            </w:r>
          </w:p>
        </w:tc>
        <w:tc>
          <w:tcPr>
            <w:tcW w:w="649" w:type="pct"/>
            <w:tcBorders>
              <w:tl2br w:val="nil"/>
              <w:tr2bl w:val="nil"/>
            </w:tcBorders>
            <w:vAlign w:val="center"/>
          </w:tcPr>
          <w:p>
            <w:pPr>
              <w:pStyle w:val="140"/>
              <w:ind w:left="0"/>
              <w:jc w:val="center"/>
              <w:rPr>
                <w:rFonts w:ascii="Times New Roman" w:hAnsi="Times New Roman" w:cs="Times New Roman"/>
                <w:sz w:val="21"/>
              </w:rPr>
            </w:pPr>
            <w:r>
              <w:rPr>
                <w:rFonts w:ascii="Times New Roman" w:hAnsi="Times New Roman" w:cs="Times New Roman"/>
                <w:sz w:val="21"/>
              </w:rPr>
              <w:t>固废名称</w:t>
            </w:r>
          </w:p>
        </w:tc>
        <w:tc>
          <w:tcPr>
            <w:tcW w:w="465" w:type="pct"/>
            <w:tcBorders>
              <w:tl2br w:val="nil"/>
              <w:tr2bl w:val="nil"/>
            </w:tcBorders>
            <w:vAlign w:val="center"/>
          </w:tcPr>
          <w:p>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产生工序</w:t>
            </w:r>
          </w:p>
        </w:tc>
        <w:tc>
          <w:tcPr>
            <w:tcW w:w="465" w:type="pct"/>
            <w:tcBorders>
              <w:tl2br w:val="nil"/>
              <w:tr2bl w:val="nil"/>
            </w:tcBorders>
            <w:vAlign w:val="center"/>
          </w:tcPr>
          <w:p>
            <w:pPr>
              <w:pStyle w:val="140"/>
              <w:ind w:right="0"/>
              <w:jc w:val="center"/>
              <w:rPr>
                <w:rFonts w:ascii="Times New Roman" w:hAnsi="Times New Roman" w:cs="Times New Roman"/>
                <w:sz w:val="21"/>
              </w:rPr>
            </w:pPr>
            <w:r>
              <w:rPr>
                <w:rFonts w:ascii="Times New Roman" w:hAnsi="Times New Roman" w:cs="Times New Roman"/>
                <w:w w:val="100"/>
                <w:sz w:val="21"/>
              </w:rPr>
              <w:t>形态</w:t>
            </w:r>
          </w:p>
        </w:tc>
        <w:tc>
          <w:tcPr>
            <w:tcW w:w="672" w:type="pct"/>
            <w:tcBorders>
              <w:tl2br w:val="nil"/>
              <w:tr2bl w:val="nil"/>
            </w:tcBorders>
            <w:vAlign w:val="center"/>
          </w:tcPr>
          <w:p>
            <w:pPr>
              <w:pStyle w:val="140"/>
              <w:ind w:left="0" w:right="0"/>
              <w:jc w:val="center"/>
              <w:rPr>
                <w:rFonts w:ascii="Times New Roman" w:hAnsi="Times New Roman" w:cs="Times New Roman"/>
                <w:sz w:val="21"/>
              </w:rPr>
            </w:pPr>
            <w:r>
              <w:rPr>
                <w:rFonts w:ascii="Times New Roman" w:hAnsi="Times New Roman" w:cs="Times New Roman"/>
                <w:sz w:val="21"/>
              </w:rPr>
              <w:t>属性</w:t>
            </w:r>
          </w:p>
        </w:tc>
        <w:tc>
          <w:tcPr>
            <w:tcW w:w="898" w:type="pct"/>
            <w:tcBorders>
              <w:tl2br w:val="nil"/>
              <w:tr2bl w:val="nil"/>
            </w:tcBorders>
            <w:vAlign w:val="center"/>
          </w:tcPr>
          <w:p>
            <w:pPr>
              <w:pStyle w:val="140"/>
              <w:ind w:left="0" w:right="0"/>
              <w:jc w:val="center"/>
              <w:rPr>
                <w:rFonts w:ascii="Times New Roman" w:hAnsi="Times New Roman" w:cs="Times New Roman"/>
                <w:sz w:val="21"/>
              </w:rPr>
            </w:pPr>
            <w:r>
              <w:rPr>
                <w:rFonts w:ascii="Times New Roman" w:hAnsi="Times New Roman" w:cs="Times New Roman"/>
                <w:sz w:val="21"/>
              </w:rPr>
              <w:t>废物代码</w:t>
            </w:r>
          </w:p>
        </w:tc>
        <w:tc>
          <w:tcPr>
            <w:tcW w:w="681" w:type="pct"/>
            <w:tcBorders>
              <w:tl2br w:val="nil"/>
              <w:tr2bl w:val="nil"/>
            </w:tcBorders>
            <w:vAlign w:val="center"/>
          </w:tcPr>
          <w:p>
            <w:pPr>
              <w:pStyle w:val="140"/>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788" w:type="pct"/>
            <w:tcBorders>
              <w:tl2br w:val="nil"/>
              <w:tr2bl w:val="nil"/>
            </w:tcBorders>
            <w:vAlign w:val="center"/>
          </w:tcPr>
          <w:p>
            <w:pPr>
              <w:pStyle w:val="140"/>
              <w:ind w:left="0"/>
              <w:jc w:val="center"/>
              <w:rPr>
                <w:rFonts w:ascii="Times New Roman" w:hAnsi="Times New Roman" w:cs="Times New Roman"/>
                <w:sz w:val="21"/>
              </w:rPr>
            </w:pPr>
            <w:r>
              <w:rPr>
                <w:rFonts w:ascii="Times New Roman" w:hAnsi="Times New Roman" w:cs="Times New Roman"/>
                <w:sz w:val="21"/>
              </w:rPr>
              <w:t>处置方式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7" w:type="pct"/>
            <w:tcBorders>
              <w:tl2br w:val="nil"/>
              <w:tr2bl w:val="nil"/>
            </w:tcBorders>
            <w:vAlign w:val="center"/>
          </w:tcPr>
          <w:p>
            <w:pPr>
              <w:pStyle w:val="140"/>
              <w:ind w:left="0"/>
              <w:jc w:val="center"/>
              <w:rPr>
                <w:rFonts w:ascii="Times New Roman" w:hAnsi="Times New Roman" w:cs="Times New Roman"/>
                <w:sz w:val="21"/>
              </w:rPr>
            </w:pPr>
            <w:r>
              <w:rPr>
                <w:rFonts w:ascii="Times New Roman" w:hAnsi="Times New Roman" w:cs="Times New Roman"/>
                <w:w w:val="99"/>
                <w:sz w:val="21"/>
              </w:rPr>
              <w:t>1</w:t>
            </w:r>
          </w:p>
        </w:tc>
        <w:tc>
          <w:tcPr>
            <w:tcW w:w="649" w:type="pct"/>
            <w:tcBorders>
              <w:tl2br w:val="nil"/>
              <w:tr2bl w:val="nil"/>
            </w:tcBorders>
            <w:vAlign w:val="center"/>
          </w:tcPr>
          <w:p>
            <w:pPr>
              <w:pStyle w:val="140"/>
              <w:ind w:left="0"/>
              <w:jc w:val="center"/>
              <w:rPr>
                <w:rFonts w:ascii="Times New Roman" w:hAnsi="Times New Roman" w:cs="Times New Roman"/>
                <w:sz w:val="21"/>
              </w:rPr>
            </w:pPr>
            <w:r>
              <w:rPr>
                <w:rFonts w:ascii="Times New Roman" w:hAnsi="Times New Roman" w:cs="Times New Roman"/>
                <w:sz w:val="21"/>
              </w:rPr>
              <w:t>生活垃圾</w:t>
            </w:r>
          </w:p>
        </w:tc>
        <w:tc>
          <w:tcPr>
            <w:tcW w:w="465" w:type="pct"/>
            <w:tcBorders>
              <w:tl2br w:val="nil"/>
              <w:tr2bl w:val="nil"/>
            </w:tcBorders>
            <w:vAlign w:val="center"/>
          </w:tcPr>
          <w:p>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职工生活</w:t>
            </w:r>
          </w:p>
        </w:tc>
        <w:tc>
          <w:tcPr>
            <w:tcW w:w="465" w:type="pct"/>
            <w:tcBorders>
              <w:tl2br w:val="nil"/>
              <w:tr2bl w:val="nil"/>
            </w:tcBorders>
            <w:vAlign w:val="center"/>
          </w:tcPr>
          <w:p>
            <w:pPr>
              <w:pStyle w:val="14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restart"/>
            <w:tcBorders>
              <w:tl2br w:val="nil"/>
              <w:tr2bl w:val="nil"/>
            </w:tcBorders>
            <w:vAlign w:val="center"/>
          </w:tcPr>
          <w:p>
            <w:pPr>
              <w:pStyle w:val="140"/>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898" w:type="pct"/>
            <w:tcBorders>
              <w:tl2br w:val="nil"/>
              <w:tr2bl w:val="nil"/>
            </w:tcBorders>
            <w:vAlign w:val="center"/>
          </w:tcPr>
          <w:p>
            <w:pPr>
              <w:pStyle w:val="140"/>
              <w:ind w:left="0" w:right="0"/>
              <w:jc w:val="center"/>
              <w:rPr>
                <w:rFonts w:ascii="Times New Roman" w:hAnsi="Times New Roman" w:cs="Times New Roman"/>
                <w:sz w:val="21"/>
              </w:rPr>
            </w:pPr>
            <w:r>
              <w:rPr>
                <w:rFonts w:ascii="Times New Roman" w:hAnsi="Times New Roman" w:cs="Times New Roman"/>
                <w:sz w:val="21"/>
              </w:rPr>
              <w:t>99</w:t>
            </w:r>
          </w:p>
        </w:tc>
        <w:tc>
          <w:tcPr>
            <w:tcW w:w="681" w:type="pct"/>
            <w:tcBorders>
              <w:tl2br w:val="nil"/>
              <w:tr2bl w:val="nil"/>
            </w:tcBorders>
            <w:vAlign w:val="center"/>
          </w:tcPr>
          <w:p>
            <w:pPr>
              <w:pStyle w:val="140"/>
              <w:ind w:left="0"/>
              <w:jc w:val="center"/>
              <w:rPr>
                <w:rFonts w:hint="default" w:ascii="Times New Roman" w:hAnsi="Times New Roman" w:eastAsia="宋体" w:cs="Times New Roman"/>
                <w:sz w:val="21"/>
                <w:lang w:val="en-US" w:eastAsia="zh-CN"/>
              </w:rPr>
            </w:pPr>
            <w:r>
              <w:rPr>
                <w:rFonts w:ascii="Times New Roman" w:hAnsi="Times New Roman" w:cs="Times New Roman"/>
                <w:w w:val="100"/>
                <w:sz w:val="21"/>
              </w:rPr>
              <w:t>3</w:t>
            </w:r>
            <w:r>
              <w:rPr>
                <w:rFonts w:hint="eastAsia" w:ascii="Times New Roman" w:hAnsi="Times New Roman" w:cs="Times New Roman"/>
                <w:w w:val="100"/>
                <w:sz w:val="21"/>
                <w:lang w:val="en-US" w:eastAsia="zh-CN"/>
              </w:rPr>
              <w:t>.84</w:t>
            </w:r>
          </w:p>
        </w:tc>
        <w:tc>
          <w:tcPr>
            <w:tcW w:w="788" w:type="pct"/>
            <w:tcBorders>
              <w:tl2br w:val="nil"/>
              <w:tr2bl w:val="nil"/>
            </w:tcBorders>
            <w:vAlign w:val="center"/>
          </w:tcPr>
          <w:p>
            <w:pPr>
              <w:pStyle w:val="140"/>
              <w:spacing w:before="0" w:line="240" w:lineRule="auto"/>
              <w:ind w:left="0"/>
              <w:jc w:val="center"/>
              <w:rPr>
                <w:rFonts w:ascii="Times New Roman" w:hAnsi="Times New Roman" w:cs="Times New Roman"/>
                <w:sz w:val="21"/>
              </w:rPr>
            </w:pPr>
            <w:r>
              <w:rPr>
                <w:rFonts w:ascii="Times New Roman" w:hAnsi="Times New Roman" w:cs="Times New Roman"/>
                <w:sz w:val="21"/>
              </w:rPr>
              <w:t>环卫清运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7" w:type="pct"/>
            <w:tcBorders>
              <w:tl2br w:val="nil"/>
              <w:tr2bl w:val="nil"/>
            </w:tcBorders>
            <w:vAlign w:val="center"/>
          </w:tcPr>
          <w:p>
            <w:pPr>
              <w:pStyle w:val="140"/>
              <w:spacing w:before="0"/>
              <w:ind w:left="0"/>
              <w:jc w:val="center"/>
              <w:rPr>
                <w:rFonts w:ascii="Times New Roman" w:hAnsi="Times New Roman" w:cs="Times New Roman"/>
                <w:sz w:val="21"/>
              </w:rPr>
            </w:pPr>
            <w:r>
              <w:rPr>
                <w:rFonts w:ascii="Times New Roman" w:hAnsi="Times New Roman" w:cs="Times New Roman"/>
                <w:w w:val="99"/>
                <w:sz w:val="21"/>
              </w:rPr>
              <w:t>2</w:t>
            </w:r>
          </w:p>
        </w:tc>
        <w:tc>
          <w:tcPr>
            <w:tcW w:w="649" w:type="pct"/>
            <w:tcBorders>
              <w:tl2br w:val="nil"/>
              <w:tr2bl w:val="nil"/>
            </w:tcBorders>
            <w:vAlign w:val="center"/>
          </w:tcPr>
          <w:p>
            <w:pPr>
              <w:pStyle w:val="140"/>
              <w:spacing w:before="0"/>
              <w:ind w:left="0"/>
              <w:jc w:val="center"/>
              <w:rPr>
                <w:rFonts w:hint="eastAsia" w:ascii="Times New Roman" w:hAnsi="Times New Roman" w:eastAsia="宋体" w:cs="Times New Roman"/>
                <w:sz w:val="21"/>
                <w:lang w:eastAsia="zh-CN"/>
              </w:rPr>
            </w:pPr>
            <w:r>
              <w:rPr>
                <w:rFonts w:hint="eastAsia" w:ascii="Times New Roman" w:hAnsi="Times New Roman" w:cs="Times New Roman"/>
                <w:sz w:val="21"/>
                <w:lang w:val="en-US" w:eastAsia="zh-CN"/>
              </w:rPr>
              <w:t>木料边角料</w:t>
            </w:r>
          </w:p>
        </w:tc>
        <w:tc>
          <w:tcPr>
            <w:tcW w:w="465" w:type="pct"/>
            <w:tcBorders>
              <w:tl2br w:val="nil"/>
              <w:tr2bl w:val="nil"/>
            </w:tcBorders>
            <w:vAlign w:val="center"/>
          </w:tcPr>
          <w:p>
            <w:pPr>
              <w:pStyle w:val="140"/>
              <w:spacing w:before="0"/>
              <w:ind w:left="0"/>
              <w:jc w:val="center"/>
              <w:rPr>
                <w:rFonts w:ascii="Times New Roman" w:hAnsi="Times New Roman" w:cs="Times New Roman"/>
                <w:sz w:val="21"/>
              </w:rPr>
            </w:pPr>
            <w:r>
              <w:rPr>
                <w:rFonts w:hint="eastAsia" w:ascii="Times New Roman" w:hAnsi="Times New Roman" w:cs="Times New Roman"/>
                <w:sz w:val="21"/>
                <w:lang w:val="en-US" w:eastAsia="zh-CN"/>
              </w:rPr>
              <w:t>开料、机加工</w:t>
            </w:r>
          </w:p>
        </w:tc>
        <w:tc>
          <w:tcPr>
            <w:tcW w:w="465" w:type="pct"/>
            <w:tcBorders>
              <w:tl2br w:val="nil"/>
              <w:tr2bl w:val="nil"/>
            </w:tcBorders>
            <w:vAlign w:val="center"/>
          </w:tcPr>
          <w:p>
            <w:pPr>
              <w:pStyle w:val="140"/>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continue"/>
            <w:tcBorders>
              <w:tl2br w:val="nil"/>
              <w:tr2bl w:val="nil"/>
            </w:tcBorders>
            <w:vAlign w:val="center"/>
          </w:tcPr>
          <w:p>
            <w:pPr>
              <w:pStyle w:val="140"/>
              <w:rPr>
                <w:rFonts w:ascii="Times New Roman" w:hAnsi="Times New Roman" w:cs="Times New Roman"/>
                <w:sz w:val="21"/>
              </w:rPr>
            </w:pPr>
          </w:p>
        </w:tc>
        <w:tc>
          <w:tcPr>
            <w:tcW w:w="898" w:type="pct"/>
            <w:tcBorders>
              <w:tl2br w:val="nil"/>
              <w:tr2bl w:val="nil"/>
            </w:tcBorders>
            <w:vAlign w:val="center"/>
          </w:tcPr>
          <w:p>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84</w:t>
            </w:r>
          </w:p>
        </w:tc>
        <w:tc>
          <w:tcPr>
            <w:tcW w:w="681" w:type="pct"/>
            <w:tcBorders>
              <w:tl2br w:val="nil"/>
              <w:tr2bl w:val="nil"/>
            </w:tcBorders>
            <w:vAlign w:val="center"/>
          </w:tcPr>
          <w:p>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30</w:t>
            </w:r>
          </w:p>
        </w:tc>
        <w:tc>
          <w:tcPr>
            <w:tcW w:w="788" w:type="pct"/>
            <w:vMerge w:val="restart"/>
            <w:tcBorders>
              <w:tl2br w:val="nil"/>
              <w:tr2bl w:val="nil"/>
            </w:tcBorders>
            <w:vAlign w:val="center"/>
          </w:tcPr>
          <w:p>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外售综合利用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7" w:type="pct"/>
            <w:tcBorders>
              <w:tl2br w:val="nil"/>
              <w:tr2bl w:val="nil"/>
            </w:tcBorders>
            <w:vAlign w:val="center"/>
          </w:tcPr>
          <w:p>
            <w:pPr>
              <w:pStyle w:val="140"/>
              <w:spacing w:before="0"/>
              <w:ind w:left="0"/>
              <w:jc w:val="center"/>
              <w:rPr>
                <w:rFonts w:ascii="Times New Roman" w:hAnsi="Times New Roman" w:cs="Times New Roman"/>
                <w:sz w:val="21"/>
              </w:rPr>
            </w:pPr>
            <w:r>
              <w:rPr>
                <w:rFonts w:ascii="Times New Roman" w:hAnsi="Times New Roman" w:cs="Times New Roman"/>
                <w:w w:val="99"/>
                <w:sz w:val="21"/>
              </w:rPr>
              <w:t>3</w:t>
            </w:r>
          </w:p>
        </w:tc>
        <w:tc>
          <w:tcPr>
            <w:tcW w:w="649" w:type="pct"/>
            <w:tcBorders>
              <w:tl2br w:val="nil"/>
              <w:tr2bl w:val="nil"/>
            </w:tcBorders>
            <w:vAlign w:val="center"/>
          </w:tcPr>
          <w:p>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收集尘及沉降尘（木屑）</w:t>
            </w:r>
          </w:p>
        </w:tc>
        <w:tc>
          <w:tcPr>
            <w:tcW w:w="465" w:type="pct"/>
            <w:tcBorders>
              <w:tl2br w:val="nil"/>
              <w:tr2bl w:val="nil"/>
            </w:tcBorders>
            <w:vAlign w:val="center"/>
          </w:tcPr>
          <w:p>
            <w:pPr>
              <w:pStyle w:val="140"/>
              <w:spacing w:before="0"/>
              <w:ind w:left="0"/>
              <w:jc w:val="center"/>
              <w:rPr>
                <w:rFonts w:ascii="Times New Roman" w:hAnsi="Times New Roman" w:cs="Times New Roman"/>
                <w:sz w:val="21"/>
              </w:rPr>
            </w:pPr>
            <w:r>
              <w:rPr>
                <w:rFonts w:hint="eastAsia" w:ascii="Times New Roman" w:hAnsi="Times New Roman" w:cs="Times New Roman"/>
                <w:sz w:val="21"/>
                <w:lang w:val="en-US" w:eastAsia="zh-CN"/>
              </w:rPr>
              <w:t>废气处理</w:t>
            </w:r>
          </w:p>
        </w:tc>
        <w:tc>
          <w:tcPr>
            <w:tcW w:w="465" w:type="pct"/>
            <w:tcBorders>
              <w:tl2br w:val="nil"/>
              <w:tr2bl w:val="nil"/>
            </w:tcBorders>
            <w:vAlign w:val="center"/>
          </w:tcPr>
          <w:p>
            <w:pPr>
              <w:pStyle w:val="140"/>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continue"/>
            <w:tcBorders>
              <w:tl2br w:val="nil"/>
              <w:tr2bl w:val="nil"/>
            </w:tcBorders>
            <w:vAlign w:val="center"/>
          </w:tcPr>
          <w:p>
            <w:pPr>
              <w:pStyle w:val="140"/>
              <w:rPr>
                <w:rFonts w:ascii="Times New Roman" w:hAnsi="Times New Roman" w:cs="Times New Roman"/>
                <w:sz w:val="21"/>
              </w:rPr>
            </w:pPr>
          </w:p>
        </w:tc>
        <w:tc>
          <w:tcPr>
            <w:tcW w:w="898" w:type="pct"/>
            <w:tcBorders>
              <w:tl2br w:val="nil"/>
              <w:tr2bl w:val="nil"/>
            </w:tcBorders>
            <w:vAlign w:val="center"/>
          </w:tcPr>
          <w:p>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84</w:t>
            </w:r>
          </w:p>
        </w:tc>
        <w:tc>
          <w:tcPr>
            <w:tcW w:w="681" w:type="pct"/>
            <w:tcBorders>
              <w:tl2br w:val="nil"/>
              <w:tr2bl w:val="nil"/>
            </w:tcBorders>
            <w:vAlign w:val="center"/>
          </w:tcPr>
          <w:p>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7.4911</w:t>
            </w:r>
          </w:p>
        </w:tc>
        <w:tc>
          <w:tcPr>
            <w:tcW w:w="788" w:type="pct"/>
            <w:vMerge w:val="continue"/>
            <w:tcBorders>
              <w:tl2br w:val="nil"/>
              <w:tr2bl w:val="nil"/>
            </w:tcBorders>
            <w:vAlign w:val="center"/>
          </w:tcPr>
          <w:p>
            <w:pPr>
              <w:pStyle w:val="140"/>
              <w:rPr>
                <w:rFonts w:ascii="Times New Roman" w:hAnsi="Times New Roman" w:cs="Times New Roman"/>
                <w:sz w:val="22"/>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75" w:name="_Toc8506"/>
      <w:bookmarkStart w:id="76" w:name="_Toc20765"/>
      <w:bookmarkStart w:id="77" w:name="_Toc6390"/>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75"/>
      <w:bookmarkEnd w:id="76"/>
      <w:bookmarkEnd w:id="77"/>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78" w:name="_Toc17748"/>
      <w:bookmarkStart w:id="79" w:name="_Toc25591"/>
      <w:bookmarkStart w:id="80" w:name="_Toc10457"/>
      <w:bookmarkStart w:id="81" w:name="_Toc456642258"/>
      <w:bookmarkStart w:id="82" w:name="_Toc19769"/>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w:t>
      </w:r>
      <w:r>
        <w:rPr>
          <w:rFonts w:hint="eastAsia" w:eastAsia="宋体" w:cs="Times New Roman"/>
          <w:b/>
          <w:bCs/>
          <w:lang w:val="en-US" w:eastAsia="zh-CN"/>
        </w:rPr>
        <w:t>8</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83" w:name="_Toc21635"/>
      <w:bookmarkStart w:id="84" w:name="_Toc23508"/>
      <w:bookmarkStart w:id="85" w:name="_Toc3193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 xml:space="preserve"> 现有环境风险防控与应急措施情况</w:t>
      </w:r>
      <w:bookmarkEnd w:id="83"/>
      <w:bookmarkEnd w:id="84"/>
      <w:bookmarkEnd w:id="85"/>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86"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86"/>
    </w:p>
    <w:p>
      <w:pPr>
        <w:spacing w:before="0" w:line="500" w:lineRule="exact"/>
        <w:ind w:left="0" w:right="0" w:firstLine="480" w:firstLineChars="200"/>
        <w:jc w:val="both"/>
        <w:rPr>
          <w:sz w:val="21"/>
        </w:rPr>
      </w:pPr>
      <w:bookmarkStart w:id="87" w:name="_Toc446074790"/>
      <w:bookmarkStart w:id="88" w:name="_Toc412725538"/>
      <w:bookmarkStart w:id="89"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1312;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w:t>
      </w:r>
      <w:r>
        <w:rPr>
          <w:rFonts w:hint="eastAsia" w:eastAsia="宋体" w:cs="Times New Roman"/>
          <w:b/>
          <w:bCs/>
          <w:lang w:val="en-US" w:eastAsia="zh-CN"/>
        </w:rPr>
        <w:t>9</w:t>
      </w:r>
      <w:r>
        <w:rPr>
          <w:rFonts w:hint="default" w:ascii="Times New Roman" w:hAnsi="Times New Roman" w:eastAsia="宋体" w:cs="Times New Roman"/>
          <w:b/>
          <w:bCs/>
        </w:rPr>
        <w:t xml:space="preserve"> 企业现有环境风险单元及防控措施一览表</w:t>
      </w:r>
    </w:p>
    <w:tbl>
      <w:tblPr>
        <w:tblStyle w:val="37"/>
        <w:tblW w:w="501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576"/>
        <w:gridCol w:w="873"/>
        <w:gridCol w:w="1537"/>
        <w:gridCol w:w="1633"/>
        <w:gridCol w:w="1729"/>
        <w:gridCol w:w="28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312" w:type="pct"/>
            <w:tcBorders>
              <w:tl2br w:val="nil"/>
              <w:tr2bl w:val="nil"/>
            </w:tcBorders>
            <w:vAlign w:val="center"/>
          </w:tcPr>
          <w:p>
            <w:pPr>
              <w:pStyle w:val="140"/>
              <w:spacing w:before="0"/>
              <w:ind w:left="0"/>
              <w:jc w:val="center"/>
              <w:rPr>
                <w:b/>
                <w:sz w:val="21"/>
              </w:rPr>
            </w:pPr>
            <w:r>
              <w:rPr>
                <w:b/>
                <w:sz w:val="21"/>
              </w:rPr>
              <w:t>类别</w:t>
            </w:r>
          </w:p>
        </w:tc>
        <w:tc>
          <w:tcPr>
            <w:tcW w:w="473" w:type="pct"/>
            <w:tcBorders>
              <w:tl2br w:val="nil"/>
              <w:tr2bl w:val="nil"/>
            </w:tcBorders>
            <w:vAlign w:val="center"/>
          </w:tcPr>
          <w:p>
            <w:pPr>
              <w:pStyle w:val="140"/>
              <w:spacing w:before="0"/>
              <w:ind w:left="0" w:right="0"/>
              <w:rPr>
                <w:b/>
                <w:sz w:val="21"/>
              </w:rPr>
            </w:pPr>
            <w:r>
              <w:rPr>
                <w:b/>
                <w:sz w:val="21"/>
              </w:rPr>
              <w:t>位置</w:t>
            </w:r>
          </w:p>
        </w:tc>
        <w:tc>
          <w:tcPr>
            <w:tcW w:w="833" w:type="pct"/>
            <w:tcBorders>
              <w:tl2br w:val="nil"/>
              <w:tr2bl w:val="nil"/>
            </w:tcBorders>
            <w:vAlign w:val="center"/>
          </w:tcPr>
          <w:p>
            <w:pPr>
              <w:pStyle w:val="140"/>
              <w:spacing w:before="0"/>
              <w:ind w:left="0" w:right="0"/>
              <w:rPr>
                <w:b/>
                <w:sz w:val="21"/>
              </w:rPr>
            </w:pPr>
            <w:r>
              <w:rPr>
                <w:b/>
                <w:sz w:val="21"/>
              </w:rPr>
              <w:t>主要危险物质</w:t>
            </w:r>
          </w:p>
        </w:tc>
        <w:tc>
          <w:tcPr>
            <w:tcW w:w="885" w:type="pct"/>
            <w:tcBorders>
              <w:tl2br w:val="nil"/>
              <w:tr2bl w:val="nil"/>
            </w:tcBorders>
            <w:vAlign w:val="center"/>
          </w:tcPr>
          <w:p>
            <w:pPr>
              <w:pStyle w:val="140"/>
              <w:spacing w:before="0"/>
              <w:ind w:left="0" w:right="0"/>
              <w:rPr>
                <w:b/>
                <w:sz w:val="21"/>
              </w:rPr>
            </w:pPr>
            <w:r>
              <w:rPr>
                <w:b/>
                <w:sz w:val="21"/>
              </w:rPr>
              <w:t>主要环境风险分析</w:t>
            </w:r>
          </w:p>
        </w:tc>
        <w:tc>
          <w:tcPr>
            <w:tcW w:w="937" w:type="pct"/>
            <w:tcBorders>
              <w:tl2br w:val="nil"/>
              <w:tr2bl w:val="nil"/>
            </w:tcBorders>
            <w:vAlign w:val="center"/>
          </w:tcPr>
          <w:p>
            <w:pPr>
              <w:pStyle w:val="140"/>
              <w:spacing w:before="0"/>
              <w:ind w:left="0"/>
              <w:jc w:val="center"/>
              <w:rPr>
                <w:b/>
                <w:sz w:val="21"/>
              </w:rPr>
            </w:pPr>
            <w:r>
              <w:rPr>
                <w:b/>
                <w:sz w:val="21"/>
              </w:rPr>
              <w:t>风险防控</w:t>
            </w:r>
          </w:p>
        </w:tc>
        <w:tc>
          <w:tcPr>
            <w:tcW w:w="1558" w:type="pct"/>
            <w:tcBorders>
              <w:tl2br w:val="nil"/>
              <w:tr2bl w:val="nil"/>
            </w:tcBorders>
            <w:vAlign w:val="center"/>
          </w:tcPr>
          <w:p>
            <w:pPr>
              <w:pStyle w:val="140"/>
              <w:spacing w:before="0"/>
              <w:ind w:left="0" w:right="0"/>
              <w:rPr>
                <w:b/>
                <w:sz w:val="21"/>
              </w:rPr>
            </w:pPr>
            <w:r>
              <w:rPr>
                <w:b/>
                <w:sz w:val="21"/>
              </w:rPr>
              <w:t>应急处置措施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PrEx>
        <w:trPr>
          <w:trHeight w:val="1625" w:hRule="atLeast"/>
        </w:trPr>
        <w:tc>
          <w:tcPr>
            <w:tcW w:w="312" w:type="pct"/>
            <w:tcBorders>
              <w:tl2br w:val="nil"/>
              <w:tr2bl w:val="nil"/>
            </w:tcBorders>
            <w:vAlign w:val="center"/>
          </w:tcPr>
          <w:p>
            <w:pPr>
              <w:pStyle w:val="140"/>
              <w:spacing w:line="240" w:lineRule="auto"/>
              <w:ind w:left="0" w:right="0"/>
              <w:jc w:val="center"/>
              <w:rPr>
                <w:sz w:val="21"/>
              </w:rPr>
            </w:pPr>
            <w:r>
              <w:rPr>
                <w:sz w:val="21"/>
              </w:rPr>
              <w:t>辅助工程</w:t>
            </w:r>
          </w:p>
        </w:tc>
        <w:tc>
          <w:tcPr>
            <w:tcW w:w="473" w:type="pct"/>
            <w:tcBorders>
              <w:tl2br w:val="nil"/>
              <w:tr2bl w:val="nil"/>
            </w:tcBorders>
            <w:vAlign w:val="center"/>
          </w:tcPr>
          <w:p>
            <w:pPr>
              <w:pStyle w:val="140"/>
              <w:spacing w:before="0"/>
              <w:ind w:left="0" w:right="0"/>
              <w:rPr>
                <w:rFonts w:hint="default" w:eastAsia="宋体"/>
                <w:sz w:val="21"/>
                <w:lang w:val="en-US" w:eastAsia="zh-CN"/>
              </w:rPr>
            </w:pPr>
            <w:r>
              <w:rPr>
                <w:rFonts w:hint="eastAsia"/>
                <w:sz w:val="21"/>
                <w:lang w:val="en-US" w:eastAsia="zh-CN"/>
              </w:rPr>
              <w:t>油漆仓库、原料</w:t>
            </w:r>
            <w:r>
              <w:rPr>
                <w:sz w:val="21"/>
              </w:rPr>
              <w:t>仓库</w:t>
            </w:r>
            <w:r>
              <w:rPr>
                <w:rFonts w:hint="eastAsia"/>
                <w:sz w:val="21"/>
                <w:lang w:eastAsia="zh-CN"/>
              </w:rPr>
              <w:t>、</w:t>
            </w:r>
          </w:p>
        </w:tc>
        <w:tc>
          <w:tcPr>
            <w:tcW w:w="833" w:type="pct"/>
            <w:tcBorders>
              <w:tl2br w:val="nil"/>
              <w:tr2bl w:val="nil"/>
            </w:tcBorders>
            <w:vAlign w:val="center"/>
          </w:tcPr>
          <w:p>
            <w:pPr>
              <w:pStyle w:val="140"/>
              <w:spacing w:line="240" w:lineRule="auto"/>
              <w:ind w:left="0" w:right="0" w:firstLine="0"/>
              <w:jc w:val="center"/>
              <w:rPr>
                <w:rFonts w:hint="default" w:eastAsia="宋体"/>
                <w:sz w:val="21"/>
                <w:lang w:val="en-US" w:eastAsia="zh-CN"/>
              </w:rPr>
            </w:pPr>
            <w:r>
              <w:rPr>
                <w:rFonts w:hint="eastAsia"/>
                <w:sz w:val="21"/>
                <w:lang w:val="en-US" w:eastAsia="zh-CN"/>
              </w:rPr>
              <w:t>水性漆、固化剂、白胶等</w:t>
            </w:r>
          </w:p>
        </w:tc>
        <w:tc>
          <w:tcPr>
            <w:tcW w:w="885" w:type="pct"/>
            <w:tcBorders>
              <w:tl2br w:val="nil"/>
              <w:tr2bl w:val="nil"/>
            </w:tcBorders>
            <w:vAlign w:val="center"/>
          </w:tcPr>
          <w:p>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937" w:type="pct"/>
            <w:tcBorders>
              <w:tl2br w:val="nil"/>
              <w:tr2bl w:val="nil"/>
            </w:tcBorders>
            <w:vAlign w:val="center"/>
          </w:tcPr>
          <w:p>
            <w:pPr>
              <w:pStyle w:val="140"/>
              <w:spacing w:line="240" w:lineRule="auto"/>
              <w:ind w:left="0" w:right="0"/>
              <w:jc w:val="center"/>
              <w:rPr>
                <w:sz w:val="21"/>
              </w:rPr>
            </w:pPr>
            <w:r>
              <w:rPr>
                <w:sz w:val="21"/>
              </w:rPr>
              <w:t xml:space="preserve">摄像头、人工巡视点检； </w:t>
            </w:r>
          </w:p>
          <w:p>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558" w:type="pct"/>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查明泄漏点，将泄漏部位与系统隔离</w:t>
            </w:r>
          </w:p>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PrEx>
        <w:trPr>
          <w:trHeight w:val="1012" w:hRule="atLeast"/>
        </w:trPr>
        <w:tc>
          <w:tcPr>
            <w:tcW w:w="312" w:type="pct"/>
            <w:vMerge w:val="restart"/>
            <w:tcBorders>
              <w:tl2br w:val="nil"/>
              <w:tr2bl w:val="nil"/>
            </w:tcBorders>
            <w:vAlign w:val="center"/>
          </w:tcPr>
          <w:p>
            <w:pPr>
              <w:pStyle w:val="140"/>
              <w:spacing w:before="0" w:line="240" w:lineRule="auto"/>
              <w:ind w:left="0" w:right="0"/>
              <w:jc w:val="center"/>
              <w:rPr>
                <w:sz w:val="21"/>
              </w:rPr>
            </w:pPr>
            <w:r>
              <w:rPr>
                <w:sz w:val="21"/>
              </w:rPr>
              <w:t>环保设施</w:t>
            </w:r>
          </w:p>
        </w:tc>
        <w:tc>
          <w:tcPr>
            <w:tcW w:w="473" w:type="pct"/>
            <w:tcBorders>
              <w:tl2br w:val="nil"/>
              <w:tr2bl w:val="nil"/>
            </w:tcBorders>
            <w:vAlign w:val="center"/>
          </w:tcPr>
          <w:p>
            <w:pPr>
              <w:pStyle w:val="140"/>
              <w:spacing w:line="240" w:lineRule="auto"/>
              <w:ind w:left="0" w:right="0" w:firstLine="0"/>
              <w:jc w:val="center"/>
              <w:rPr>
                <w:sz w:val="21"/>
              </w:rPr>
            </w:pPr>
            <w:r>
              <w:rPr>
                <w:sz w:val="21"/>
              </w:rPr>
              <w:t>废气处理</w:t>
            </w:r>
            <w:r>
              <w:rPr>
                <w:rFonts w:hint="eastAsia"/>
                <w:sz w:val="21"/>
                <w:lang w:val="en-US" w:eastAsia="zh-CN"/>
              </w:rPr>
              <w:t>设施</w:t>
            </w:r>
            <w:r>
              <w:rPr>
                <w:sz w:val="21"/>
              </w:rPr>
              <w:t>置</w:t>
            </w:r>
          </w:p>
        </w:tc>
        <w:tc>
          <w:tcPr>
            <w:tcW w:w="833" w:type="pct"/>
            <w:tcBorders>
              <w:tl2br w:val="nil"/>
              <w:tr2bl w:val="nil"/>
            </w:tcBorders>
            <w:vAlign w:val="center"/>
          </w:tcPr>
          <w:p>
            <w:pPr>
              <w:pStyle w:val="140"/>
              <w:spacing w:before="0"/>
              <w:ind w:left="0" w:right="0"/>
              <w:rPr>
                <w:rFonts w:hint="eastAsia" w:eastAsia="宋体"/>
                <w:sz w:val="21"/>
                <w:lang w:val="en-US" w:eastAsia="zh-CN"/>
              </w:rPr>
            </w:pPr>
            <w:r>
              <w:rPr>
                <w:sz w:val="21"/>
              </w:rPr>
              <w:t>颗粒物、</w:t>
            </w:r>
            <w:r>
              <w:rPr>
                <w:rFonts w:hint="eastAsia"/>
                <w:sz w:val="21"/>
                <w:lang w:val="en-US" w:eastAsia="zh-CN"/>
              </w:rPr>
              <w:t>挥发性有机物</w:t>
            </w:r>
          </w:p>
        </w:tc>
        <w:tc>
          <w:tcPr>
            <w:tcW w:w="885" w:type="pct"/>
            <w:tcBorders>
              <w:tl2br w:val="nil"/>
              <w:tr2bl w:val="nil"/>
            </w:tcBorders>
            <w:vAlign w:val="center"/>
          </w:tcPr>
          <w:p>
            <w:pPr>
              <w:pStyle w:val="140"/>
              <w:spacing w:line="240" w:lineRule="auto"/>
              <w:ind w:left="0" w:right="0" w:firstLine="0"/>
              <w:jc w:val="center"/>
              <w:rPr>
                <w:sz w:val="21"/>
              </w:rPr>
            </w:pPr>
            <w:r>
              <w:rPr>
                <w:sz w:val="21"/>
              </w:rPr>
              <w:t>处理措施故障，废气不达标排放</w:t>
            </w:r>
          </w:p>
        </w:tc>
        <w:tc>
          <w:tcPr>
            <w:tcW w:w="937" w:type="pct"/>
            <w:tcBorders>
              <w:tl2br w:val="nil"/>
              <w:tr2bl w:val="nil"/>
            </w:tcBorders>
            <w:vAlign w:val="center"/>
          </w:tcPr>
          <w:p>
            <w:pPr>
              <w:pStyle w:val="140"/>
              <w:spacing w:before="0" w:line="240" w:lineRule="auto"/>
              <w:ind w:left="0" w:right="0"/>
              <w:rPr>
                <w:sz w:val="21"/>
              </w:rPr>
            </w:pPr>
            <w:r>
              <w:rPr>
                <w:sz w:val="21"/>
              </w:rPr>
              <w:t>定期委托资质单位进行监测；定期对废气处理措施进行维护等</w:t>
            </w:r>
          </w:p>
        </w:tc>
        <w:tc>
          <w:tcPr>
            <w:tcW w:w="1558" w:type="pct"/>
            <w:tcBorders>
              <w:tl2br w:val="nil"/>
              <w:tr2bl w:val="nil"/>
            </w:tcBorders>
            <w:vAlign w:val="center"/>
          </w:tcPr>
          <w:p>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pPr>
              <w:jc w:val="center"/>
              <w:rPr>
                <w:sz w:val="2"/>
                <w:szCs w:val="2"/>
              </w:rPr>
            </w:pPr>
          </w:p>
        </w:tc>
        <w:tc>
          <w:tcPr>
            <w:tcW w:w="473" w:type="pct"/>
            <w:tcBorders>
              <w:tl2br w:val="nil"/>
              <w:tr2bl w:val="nil"/>
            </w:tcBorders>
            <w:vAlign w:val="center"/>
          </w:tcPr>
          <w:p>
            <w:pPr>
              <w:pStyle w:val="140"/>
              <w:ind w:left="0" w:right="0"/>
              <w:rPr>
                <w:sz w:val="21"/>
              </w:rPr>
            </w:pPr>
            <w:r>
              <w:rPr>
                <w:sz w:val="21"/>
              </w:rPr>
              <w:t>危废仓库</w:t>
            </w:r>
          </w:p>
        </w:tc>
        <w:tc>
          <w:tcPr>
            <w:tcW w:w="833" w:type="pct"/>
            <w:tcBorders>
              <w:tl2br w:val="nil"/>
              <w:tr2bl w:val="nil"/>
            </w:tcBorders>
            <w:vAlign w:val="center"/>
          </w:tcPr>
          <w:p>
            <w:pPr>
              <w:pStyle w:val="140"/>
              <w:spacing w:before="0" w:line="240" w:lineRule="auto"/>
              <w:ind w:left="0" w:right="0" w:firstLine="0"/>
              <w:jc w:val="center"/>
              <w:rPr>
                <w:rFonts w:hint="default" w:eastAsia="宋体"/>
                <w:sz w:val="21"/>
                <w:lang w:val="en-US" w:eastAsia="zh-CN"/>
              </w:rPr>
            </w:pPr>
            <w:r>
              <w:rPr>
                <w:rFonts w:hint="eastAsia"/>
                <w:sz w:val="21"/>
                <w:lang w:val="en-US" w:eastAsia="zh-CN"/>
              </w:rPr>
              <w:t>废活性炭、废过滤棉、漆渣、废灯管等</w:t>
            </w:r>
          </w:p>
        </w:tc>
        <w:tc>
          <w:tcPr>
            <w:tcW w:w="885" w:type="pct"/>
            <w:tcBorders>
              <w:tl2br w:val="nil"/>
              <w:tr2bl w:val="nil"/>
            </w:tcBorders>
            <w:vAlign w:val="center"/>
          </w:tcPr>
          <w:p>
            <w:pPr>
              <w:pStyle w:val="140"/>
              <w:ind w:left="0" w:right="0"/>
              <w:rPr>
                <w:sz w:val="21"/>
              </w:rPr>
            </w:pPr>
            <w:r>
              <w:rPr>
                <w:sz w:val="21"/>
              </w:rPr>
              <w:t>危废进入地下</w:t>
            </w:r>
          </w:p>
        </w:tc>
        <w:tc>
          <w:tcPr>
            <w:tcW w:w="937" w:type="pct"/>
            <w:tcBorders>
              <w:tl2br w:val="nil"/>
              <w:tr2bl w:val="nil"/>
            </w:tcBorders>
            <w:vAlign w:val="center"/>
          </w:tcPr>
          <w:p>
            <w:pPr>
              <w:pStyle w:val="140"/>
              <w:spacing w:line="240" w:lineRule="auto"/>
              <w:ind w:left="0"/>
              <w:jc w:val="center"/>
              <w:rPr>
                <w:sz w:val="21"/>
              </w:rPr>
            </w:pPr>
            <w:r>
              <w:rPr>
                <w:sz w:val="21"/>
              </w:rPr>
              <w:t>摄像头、人工巡视点检；</w:t>
            </w:r>
          </w:p>
          <w:p>
            <w:pPr>
              <w:pStyle w:val="140"/>
              <w:spacing w:before="0" w:line="240" w:lineRule="auto"/>
              <w:ind w:left="0" w:right="0" w:firstLine="0"/>
              <w:jc w:val="center"/>
              <w:rPr>
                <w:sz w:val="21"/>
              </w:rPr>
            </w:pPr>
            <w:r>
              <w:rPr>
                <w:sz w:val="21"/>
              </w:rPr>
              <w:t>地面防腐防渗，设有导流沟、收集井</w:t>
            </w:r>
          </w:p>
        </w:tc>
        <w:tc>
          <w:tcPr>
            <w:tcW w:w="1558" w:type="pct"/>
            <w:tcBorders>
              <w:tl2br w:val="nil"/>
              <w:tr2bl w:val="nil"/>
            </w:tcBorders>
            <w:vAlign w:val="center"/>
          </w:tcPr>
          <w:p>
            <w:pPr>
              <w:pStyle w:val="140"/>
              <w:spacing w:before="0" w:line="240" w:lineRule="auto"/>
              <w:ind w:left="0" w:right="0" w:firstLine="0"/>
              <w:jc w:val="center"/>
              <w:rPr>
                <w:sz w:val="21"/>
              </w:rPr>
            </w:pPr>
            <w:r>
              <w:rPr>
                <w:sz w:val="21"/>
              </w:rPr>
              <w:t>危废暂存于危废仓库，定期委托资质单位处置。</w:t>
            </w:r>
          </w:p>
        </w:tc>
      </w:tr>
      <w:bookmarkEnd w:id="74"/>
      <w:bookmarkEnd w:id="87"/>
      <w:bookmarkEnd w:id="88"/>
      <w:bookmarkEnd w:id="89"/>
    </w:tbl>
    <w:p>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90"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pPr>
        <w:spacing w:before="160" w:line="362" w:lineRule="auto"/>
        <w:ind w:left="777" w:right="6706" w:firstLine="0"/>
        <w:jc w:val="left"/>
        <w:rPr>
          <w:sz w:val="24"/>
        </w:rPr>
      </w:pPr>
      <w:r>
        <w:rPr>
          <w:rFonts w:eastAsia="宋体"/>
          <w:sz w:val="24"/>
        </w:rPr>
        <w:t>有视频监控。</w:t>
      </w:r>
    </w:p>
    <w:p>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91" w:name="3.7.1.2事故废水收集情况分析"/>
      <w:bookmarkEnd w:id="91"/>
      <w:bookmarkStart w:id="92" w:name="3.7.1.2事故废水收集情况分析"/>
      <w:bookmarkEnd w:id="92"/>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依托租赁厂区尚品藤家具海安有限公司设置112.5m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w:t>
      </w:r>
      <w:r>
        <w:rPr>
          <w:rFonts w:hint="eastAsia" w:eastAsia="宋体" w:cs="Times New Roman"/>
          <w:color w:val="000000" w:themeColor="text1"/>
          <w:lang w:val="en-US" w:eastAsia="zh-CN"/>
          <w14:textFill>
            <w14:solidFill>
              <w14:schemeClr w14:val="tx1"/>
            </w14:solidFill>
          </w14:textFill>
        </w:rPr>
        <w:t>喷枪清洗废水回用到水性漆调配</w:t>
      </w:r>
      <w:r>
        <w:rPr>
          <w:rFonts w:eastAsia="宋体"/>
          <w:spacing w:val="0"/>
          <w:sz w:val="24"/>
        </w:rPr>
        <w:t>。</w:t>
      </w:r>
    </w:p>
    <w:p>
      <w:pPr>
        <w:spacing w:before="0" w:line="500" w:lineRule="exact"/>
        <w:ind w:left="0" w:right="0" w:firstLine="482" w:firstLineChars="200"/>
        <w:jc w:val="left"/>
        <w:rPr>
          <w:b/>
          <w:sz w:val="24"/>
        </w:rPr>
      </w:pPr>
      <w:r>
        <w:rPr>
          <w:rFonts w:hint="eastAsia" w:ascii="Times New Roman" w:eastAsia="宋体"/>
          <w:b/>
          <w:bCs/>
          <w:sz w:val="24"/>
        </w:rPr>
        <w:t>3</w:t>
      </w:r>
      <w:r>
        <w:rPr>
          <w:rFonts w:hint="eastAsia" w:eastAsia="宋体"/>
          <w:b/>
          <w:bCs/>
          <w:sz w:val="24"/>
        </w:rPr>
        <w:t>、收集、处理能力评估</w:t>
      </w:r>
      <w:r>
        <w:rPr>
          <w:b/>
          <w:sz w:val="24"/>
        </w:rPr>
        <w:t xml:space="preserve"> </w:t>
      </w:r>
    </w:p>
    <w:p>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93" w:name="3.7.2应急物资及装备情况"/>
      <w:bookmarkEnd w:id="93"/>
      <w:bookmarkStart w:id="94" w:name="_TOC_250048"/>
      <w:bookmarkEnd w:id="94"/>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q——平均日降雨量；q=年平均降雨量/年平均降雨日数。本设计中年平均降雨量为900mm，年平均降雨日数为122天，则q=7.4mm。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厂区</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可能受污染雨水面积约0.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=10*7.4*0.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7=51.8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事故消防废水用量按15L/s计</w:t>
      </w:r>
      <w:r>
        <w:rPr>
          <w:rFonts w:hint="eastAsia" w:eastAsia="宋体" w:cs="Times New Roman"/>
          <w:color w:val="000000" w:themeColor="text1"/>
          <w:kern w:val="2"/>
          <w:sz w:val="24"/>
          <w:szCs w:val="24"/>
          <w:lang w:val="en-US" w:eastAsia="zh-CN" w:bidi="ar-SA"/>
          <w14:textFill>
            <w14:solidFill>
              <w14:schemeClr w14:val="tx1"/>
            </w14:solidFill>
          </w14:textFill>
        </w:rPr>
        <w:t>），消防时间约2h，，消防水量为108m</w:t>
      </w:r>
      <w:r>
        <w:rPr>
          <w:rFonts w:hint="eastAsia"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auto"/>
          <w:kern w:val="2"/>
          <w:sz w:val="24"/>
          <w:szCs w:val="24"/>
          <w:lang w:val="en-US" w:eastAsia="zh-CN" w:bidi="ar-SA"/>
        </w:rPr>
        <w:t>收集系统范围内发生事故时的泄漏物料量</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3</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：无生产废水，因此V</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2+108-50+0+51.8=111.8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公司依托租赁公司尚品藤家具海安有限公司设置112.5</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的事故池</w:t>
      </w:r>
      <w:r>
        <w:rPr>
          <w:rFonts w:hint="eastAsia" w:eastAsia="宋体" w:cs="Times New Roman"/>
          <w:color w:val="auto"/>
          <w:kern w:val="2"/>
          <w:sz w:val="24"/>
          <w:szCs w:val="24"/>
          <w:lang w:val="en-US" w:eastAsia="zh-CN" w:bidi="ar-SA"/>
        </w:rPr>
        <w:t>完全可</w:t>
      </w:r>
      <w:r>
        <w:rPr>
          <w:rFonts w:hint="default" w:ascii="Times New Roman" w:hAnsi="Times New Roman" w:eastAsia="宋体" w:cs="Times New Roman"/>
          <w:color w:val="auto"/>
          <w:kern w:val="2"/>
          <w:sz w:val="24"/>
          <w:szCs w:val="24"/>
          <w:lang w:val="en-US" w:eastAsia="zh-CN" w:bidi="ar-SA"/>
        </w:rPr>
        <w:t>满足事故状态下容纳事故废水</w:t>
      </w:r>
      <w:r>
        <w:rPr>
          <w:rFonts w:hint="eastAsia"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厂区事故池平时必须为空池，以便紧急状态下接纳大量事故废水</w:t>
      </w:r>
      <w:r>
        <w:rPr>
          <w:rFonts w:hint="eastAsia" w:ascii="Times New Roman" w:hAnsi="Times New Roman" w:eastAsia="宋体" w:cs="Times New Roman"/>
          <w:color w:val="auto"/>
          <w:kern w:val="2"/>
          <w:sz w:val="24"/>
          <w:szCs w:val="24"/>
          <w:lang w:val="en-US" w:eastAsia="zh-CN" w:bidi="ar-SA"/>
        </w:rPr>
        <w:t>。</w:t>
      </w:r>
    </w:p>
    <w:p>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95" w:name="_Toc1474"/>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95"/>
    </w:p>
    <w:p>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 xml:space="preserve">急队伍有效开展工作的基础，本公司的应急物资及装备见表 </w:t>
      </w:r>
      <w:r>
        <w:rPr>
          <w:rFonts w:hint="default" w:ascii="Times New Roman" w:eastAsia="宋体"/>
        </w:rPr>
        <w:t>3-</w:t>
      </w:r>
      <w:r>
        <w:rPr>
          <w:rFonts w:hint="eastAsia" w:eastAsia="宋体" w:cs="Times New Roman"/>
          <w:lang w:val="en-US" w:eastAsia="zh-CN"/>
        </w:rPr>
        <w:t>20</w:t>
      </w:r>
      <w:r>
        <w:rPr>
          <w:rFonts w:hint="default" w:eastAsia="宋体"/>
        </w:rPr>
        <w:t>。</w:t>
      </w:r>
    </w:p>
    <w:p>
      <w:pPr>
        <w:pStyle w:val="13"/>
        <w:spacing w:before="0" w:after="0" w:line="500" w:lineRule="exact"/>
        <w:jc w:val="center"/>
        <w:rPr>
          <w:b/>
          <w:sz w:val="5"/>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 xml:space="preserve"> </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965"/>
        <w:gridCol w:w="1631"/>
        <w:gridCol w:w="1214"/>
        <w:gridCol w:w="1635"/>
        <w:gridCol w:w="1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047"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869"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类型</w:t>
            </w:r>
          </w:p>
        </w:tc>
        <w:tc>
          <w:tcPr>
            <w:tcW w:w="647"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w:t>
            </w:r>
          </w:p>
        </w:tc>
        <w:tc>
          <w:tcPr>
            <w:tcW w:w="871"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存放位置</w:t>
            </w:r>
          </w:p>
        </w:tc>
        <w:tc>
          <w:tcPr>
            <w:tcW w:w="1050"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管理责任人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灭火器</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38个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消防水带</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18个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黄沙箱</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2个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油漆仓库</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应急照明、出口灯</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3</w:t>
            </w:r>
            <w:r>
              <w:rPr>
                <w:rFonts w:hint="default" w:ascii="Times New Roman" w:hAnsi="Times New Roman" w:eastAsia="宋体" w:cs="Times New Roman"/>
                <w:bCs w:val="0"/>
                <w:color w:val="000000"/>
                <w:kern w:val="2"/>
                <w:sz w:val="21"/>
                <w:szCs w:val="21"/>
              </w:rPr>
              <w:t>6</w:t>
            </w:r>
            <w:r>
              <w:rPr>
                <w:rFonts w:hint="eastAsia" w:ascii="Times New Roman" w:hAnsi="Times New Roman" w:eastAsia="宋体" w:cs="Times New Roman"/>
                <w:bCs w:val="0"/>
                <w:color w:val="000000"/>
                <w:kern w:val="2"/>
                <w:sz w:val="21"/>
                <w:szCs w:val="21"/>
                <w:lang w:val="en-US" w:eastAsia="zh-CN"/>
              </w:rPr>
              <w:t>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铁铲</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消防服</w:t>
            </w:r>
          </w:p>
        </w:tc>
        <w:tc>
          <w:tcPr>
            <w:tcW w:w="869"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6套</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w:t>
            </w:r>
          </w:p>
        </w:tc>
        <w:tc>
          <w:tcPr>
            <w:tcW w:w="1047" w:type="pct"/>
            <w:tcBorders>
              <w:tl2br w:val="nil"/>
              <w:tr2bl w:val="nil"/>
            </w:tcBorders>
            <w:vAlign w:val="center"/>
          </w:tcPr>
          <w:p>
            <w:pPr>
              <w:pStyle w:val="194"/>
              <w:ind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防毒面具</w:t>
            </w:r>
          </w:p>
        </w:tc>
        <w:tc>
          <w:tcPr>
            <w:tcW w:w="869" w:type="pct"/>
            <w:tcBorders>
              <w:tl2br w:val="nil"/>
              <w:tr2bl w:val="nil"/>
            </w:tcBorders>
            <w:vAlign w:val="center"/>
          </w:tcPr>
          <w:p>
            <w:pPr>
              <w:adjustRightInd w:val="0"/>
              <w:snapToGrid w:val="0"/>
              <w:jc w:val="center"/>
              <w:rPr>
                <w:rFonts w:hint="eastAsia" w:ascii="仿宋_GB2312" w:hAnsi="宋体"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w:t>
            </w:r>
            <w:r>
              <w:rPr>
                <w:rFonts w:hint="default" w:ascii="Times New Roman" w:hAnsi="Times New Roman" w:eastAsia="宋体" w:cs="Times New Roman"/>
                <w:bCs w:val="0"/>
                <w:color w:val="000000"/>
                <w:kern w:val="2"/>
                <w:sz w:val="21"/>
                <w:szCs w:val="21"/>
                <w:lang w:val="en-US" w:eastAsia="zh-CN"/>
              </w:rPr>
              <w:t>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8</w:t>
            </w:r>
          </w:p>
        </w:tc>
        <w:tc>
          <w:tcPr>
            <w:tcW w:w="1047" w:type="pct"/>
            <w:tcBorders>
              <w:tl2br w:val="nil"/>
              <w:tr2bl w:val="nil"/>
            </w:tcBorders>
            <w:vAlign w:val="center"/>
          </w:tcPr>
          <w:p>
            <w:pPr>
              <w:pStyle w:val="194"/>
              <w:ind w:firstLine="0" w:firstLineChars="0"/>
              <w:jc w:val="center"/>
              <w:rPr>
                <w:rFonts w:hint="default" w:ascii="仿宋_GB2312" w:hAnsi="宋体"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防火靴</w:t>
            </w:r>
          </w:p>
        </w:tc>
        <w:tc>
          <w:tcPr>
            <w:tcW w:w="869" w:type="pct"/>
            <w:tcBorders>
              <w:tl2br w:val="nil"/>
              <w:tr2bl w:val="nil"/>
            </w:tcBorders>
            <w:vAlign w:val="center"/>
          </w:tcPr>
          <w:p>
            <w:pPr>
              <w:adjustRightInd w:val="0"/>
              <w:snapToGrid w:val="0"/>
              <w:jc w:val="center"/>
              <w:rPr>
                <w:rFonts w:hint="eastAsia" w:ascii="仿宋_GB2312" w:hAnsi="宋体"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w:t>
            </w:r>
            <w:r>
              <w:rPr>
                <w:rFonts w:hint="default" w:ascii="Times New Roman" w:hAnsi="Times New Roman" w:eastAsia="宋体" w:cs="Times New Roman"/>
                <w:bCs w:val="0"/>
                <w:color w:val="000000"/>
                <w:kern w:val="2"/>
                <w:sz w:val="21"/>
                <w:szCs w:val="21"/>
                <w:lang w:val="en-US" w:eastAsia="zh-CN"/>
              </w:rPr>
              <w:t>双</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9</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安全帽</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0</w:t>
            </w:r>
          </w:p>
        </w:tc>
        <w:tc>
          <w:tcPr>
            <w:tcW w:w="10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正压式呼吸器</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2</w:t>
            </w:r>
            <w:r>
              <w:rPr>
                <w:rFonts w:hint="eastAsia" w:ascii="Times New Roman" w:hAnsi="Times New Roman" w:eastAsia="宋体" w:cs="Times New Roman"/>
                <w:bCs w:val="0"/>
                <w:color w:val="000000"/>
                <w:kern w:val="2"/>
                <w:sz w:val="21"/>
                <w:szCs w:val="21"/>
                <w:lang w:val="en-US" w:eastAsia="zh-CN"/>
              </w:rPr>
              <w:t>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1</w:t>
            </w:r>
          </w:p>
        </w:tc>
        <w:tc>
          <w:tcPr>
            <w:tcW w:w="10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应急泵</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2个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泵房</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急救药箱</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1</w:t>
            </w:r>
            <w:r>
              <w:rPr>
                <w:rFonts w:hint="eastAsia" w:ascii="Times New Roman" w:hAnsi="Times New Roman" w:eastAsia="宋体" w:cs="Times New Roman"/>
                <w:bCs w:val="0"/>
                <w:color w:val="000000"/>
                <w:kern w:val="2"/>
                <w:sz w:val="21"/>
                <w:szCs w:val="21"/>
                <w:lang w:val="en-US" w:eastAsia="zh-CN"/>
              </w:rPr>
              <w:t>个</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纱布</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14</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绷带</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15</w:t>
            </w:r>
          </w:p>
        </w:tc>
        <w:tc>
          <w:tcPr>
            <w:tcW w:w="1047" w:type="pct"/>
            <w:tcBorders>
              <w:tl2br w:val="nil"/>
              <w:tr2bl w:val="nil"/>
            </w:tcBorders>
            <w:vAlign w:val="center"/>
          </w:tcPr>
          <w:p>
            <w:pPr>
              <w:pStyle w:val="194"/>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创口贴</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71"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16</w:t>
            </w:r>
          </w:p>
        </w:tc>
        <w:tc>
          <w:tcPr>
            <w:tcW w:w="1047" w:type="pct"/>
            <w:tcBorders>
              <w:tl2br w:val="nil"/>
              <w:tr2bl w:val="nil"/>
            </w:tcBorders>
            <w:vAlign w:val="center"/>
          </w:tcPr>
          <w:p>
            <w:pPr>
              <w:pStyle w:val="194"/>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烫伤膏</w:t>
            </w:r>
          </w:p>
        </w:tc>
        <w:tc>
          <w:tcPr>
            <w:tcW w:w="869"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71" w:type="pct"/>
            <w:tcBorders>
              <w:tl2br w:val="nil"/>
              <w:tr2bl w:val="nil"/>
            </w:tcBorders>
            <w:vAlign w:val="center"/>
          </w:tcPr>
          <w:p>
            <w:pPr>
              <w:pStyle w:val="194"/>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Fonts w:hint="eastAsia" w:eastAsia="宋体" w:cs="Times New Roman"/>
                <w:sz w:val="21"/>
                <w:szCs w:val="21"/>
                <w:lang w:val="en-US" w:eastAsia="zh-CN"/>
              </w:rPr>
              <w:t>7</w:t>
            </w:r>
          </w:p>
        </w:tc>
        <w:tc>
          <w:tcPr>
            <w:tcW w:w="1047" w:type="pct"/>
            <w:tcBorders>
              <w:tl2br w:val="nil"/>
              <w:tr2bl w:val="nil"/>
            </w:tcBorders>
            <w:vAlign w:val="center"/>
          </w:tcPr>
          <w:p>
            <w:pPr>
              <w:pStyle w:val="194"/>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藿香正气水</w:t>
            </w:r>
          </w:p>
        </w:tc>
        <w:tc>
          <w:tcPr>
            <w:tcW w:w="869"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71" w:type="pct"/>
            <w:tcBorders>
              <w:tl2br w:val="nil"/>
              <w:tr2bl w:val="nil"/>
            </w:tcBorders>
            <w:vAlign w:val="center"/>
          </w:tcPr>
          <w:p>
            <w:pPr>
              <w:pStyle w:val="194"/>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18</w:t>
            </w:r>
          </w:p>
        </w:tc>
        <w:tc>
          <w:tcPr>
            <w:tcW w:w="1047" w:type="pct"/>
            <w:tcBorders>
              <w:tl2br w:val="nil"/>
              <w:tr2bl w:val="nil"/>
            </w:tcBorders>
            <w:vAlign w:val="center"/>
          </w:tcPr>
          <w:p>
            <w:pPr>
              <w:pStyle w:val="194"/>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酒精</w:t>
            </w:r>
          </w:p>
        </w:tc>
        <w:tc>
          <w:tcPr>
            <w:tcW w:w="869"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647" w:type="pct"/>
            <w:tcBorders>
              <w:tl2br w:val="nil"/>
              <w:tr2bl w:val="nil"/>
            </w:tcBorders>
            <w:vAlign w:val="center"/>
          </w:tcPr>
          <w:p>
            <w:pPr>
              <w:pStyle w:val="194"/>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71" w:type="pct"/>
            <w:tcBorders>
              <w:tl2br w:val="nil"/>
              <w:tr2bl w:val="nil"/>
            </w:tcBorders>
            <w:vAlign w:val="center"/>
          </w:tcPr>
          <w:p>
            <w:pPr>
              <w:pStyle w:val="194"/>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0" w:type="pct"/>
            <w:tcBorders>
              <w:tl2br w:val="nil"/>
              <w:tr2bl w:val="nil"/>
            </w:tcBorders>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何建立</w:t>
            </w:r>
          </w:p>
        </w:tc>
      </w:tr>
    </w:tbl>
    <w:p>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96" w:name="_TOC_250047"/>
      <w:bookmarkEnd w:id="96"/>
      <w:bookmarkStart w:id="97" w:name="3.7.3应急监测能力"/>
      <w:bookmarkEnd w:id="97"/>
      <w:bookmarkStart w:id="98" w:name="_Toc3357"/>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98"/>
    </w:p>
    <w:p>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99" w:name="3.7.4内部应急队伍"/>
      <w:bookmarkEnd w:id="99"/>
      <w:bookmarkStart w:id="100" w:name="_TOC_250046"/>
      <w:bookmarkEnd w:id="100"/>
      <w:bookmarkStart w:id="101" w:name="_Toc5943"/>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01"/>
    </w:p>
    <w:p>
      <w:pPr>
        <w:pStyle w:val="13"/>
        <w:spacing w:before="0" w:after="0" w:line="500" w:lineRule="exact"/>
        <w:ind w:left="0" w:right="0" w:firstLine="440" w:firstLineChars="200"/>
        <w:jc w:val="both"/>
      </w:pPr>
      <w:r>
        <w:rPr>
          <w:rFonts w:hint="eastAsia" w:eastAsia="宋体" w:cs="Times New Roman"/>
          <w:spacing w:val="-10"/>
          <w:lang w:val="en-US" w:eastAsia="zh-CN"/>
        </w:rPr>
        <w:t>海安美延家居科技有限公司</w:t>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 xml:space="preserve">监测组。具体救援组成员见表 </w:t>
      </w:r>
      <w:r>
        <w:rPr>
          <w:rFonts w:ascii="Times New Roman" w:eastAsia="宋体"/>
          <w:spacing w:val="-10"/>
        </w:rPr>
        <w:t>3-</w:t>
      </w:r>
      <w:r>
        <w:rPr>
          <w:rFonts w:hint="eastAsia" w:eastAsia="宋体"/>
          <w:spacing w:val="-10"/>
          <w:lang w:val="en-US" w:eastAsia="zh-CN"/>
        </w:rPr>
        <w:t>21</w:t>
      </w:r>
      <w:r>
        <w:rPr>
          <w:rFonts w:ascii="Times New Roman" w:eastAsia="宋体"/>
          <w:spacing w:val="-10"/>
        </w:rPr>
        <w:t xml:space="preserve"> </w:t>
      </w:r>
      <w:r>
        <w:rPr>
          <w:rFonts w:eastAsia="宋体"/>
          <w:spacing w:val="-10"/>
        </w:rPr>
        <w:t>所示。</w:t>
      </w:r>
    </w:p>
    <w:p>
      <w:pPr>
        <w:pStyle w:val="13"/>
        <w:spacing w:before="0" w:after="0" w:line="500" w:lineRule="exact"/>
        <w:jc w:val="center"/>
        <w:rPr>
          <w:rFonts w:hint="default" w:eastAsia="宋体"/>
          <w:b/>
          <w:sz w:val="5"/>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default" w:ascii="Times New Roman" w:hAnsi="Times New Roman" w:eastAsia="宋体" w:cs="Times New Roman"/>
          <w:b/>
          <w:bCs/>
        </w:rPr>
        <w:t xml:space="preserve"> </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37"/>
        <w:tblW w:w="50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78"/>
        <w:gridCol w:w="2827"/>
        <w:gridCol w:w="1854"/>
        <w:gridCol w:w="1869"/>
        <w:gridCol w:w="18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8"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05"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指挥部总指挥</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总经理</w:t>
            </w:r>
          </w:p>
        </w:tc>
        <w:tc>
          <w:tcPr>
            <w:tcW w:w="1005" w:type="pct"/>
            <w:tcBorders>
              <w:tl2br w:val="nil"/>
              <w:tr2bl w:val="nil"/>
            </w:tcBorders>
            <w:noWrap w:val="0"/>
            <w:vAlign w:val="center"/>
          </w:tcPr>
          <w:p>
            <w:pPr>
              <w:widowControl/>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戴韦</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13636638655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指挥部副总指挥</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厂长</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叶前军</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13641926173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综合协调</w:t>
            </w:r>
            <w:r>
              <w:rPr>
                <w:rFonts w:hint="eastAsia" w:ascii="宋体" w:hAnsi="宋体" w:eastAsia="宋体" w:cs="宋体"/>
                <w:color w:val="auto"/>
                <w:sz w:val="21"/>
                <w:szCs w:val="21"/>
              </w:rPr>
              <w:t>组组长</w:t>
            </w:r>
            <w:r>
              <w:rPr>
                <w:rFonts w:hint="eastAsia" w:ascii="Times New Roman" w:hAnsi="Times New Roman" w:cs="Times New Roman"/>
                <w:color w:val="auto"/>
                <w:sz w:val="21"/>
                <w:szCs w:val="21"/>
                <w:lang w:val="en-US" w:eastAsia="zh-CN"/>
              </w:rPr>
              <w:t>（A）</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朱忠珍</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15221197833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综合协调</w:t>
            </w:r>
            <w:r>
              <w:rPr>
                <w:rFonts w:hint="eastAsia" w:ascii="宋体" w:hAnsi="宋体" w:eastAsia="宋体" w:cs="宋体"/>
                <w:color w:val="auto"/>
                <w:sz w:val="21"/>
                <w:szCs w:val="21"/>
              </w:rPr>
              <w:t>组组员</w:t>
            </w:r>
            <w:r>
              <w:rPr>
                <w:rFonts w:hint="eastAsia" w:ascii="Times New Roman" w:hAnsi="Times New Roman" w:cs="Times New Roman"/>
                <w:color w:val="auto"/>
                <w:sz w:val="21"/>
                <w:szCs w:val="21"/>
                <w:lang w:val="en-US" w:eastAsia="zh-CN"/>
              </w:rPr>
              <w:t>（B）</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何建立</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18502138780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现场处置</w:t>
            </w:r>
            <w:r>
              <w:rPr>
                <w:rFonts w:hint="eastAsia" w:ascii="宋体" w:hAnsi="宋体" w:eastAsia="宋体" w:cs="宋体"/>
                <w:color w:val="auto"/>
                <w:sz w:val="21"/>
                <w:szCs w:val="21"/>
              </w:rPr>
              <w:t>组组</w:t>
            </w:r>
            <w:r>
              <w:rPr>
                <w:rFonts w:hint="eastAsia" w:ascii="宋体" w:hAnsi="宋体" w:eastAsia="宋体" w:cs="宋体"/>
                <w:color w:val="auto"/>
                <w:sz w:val="21"/>
                <w:szCs w:val="21"/>
                <w:lang w:val="en-US" w:eastAsia="zh-CN"/>
              </w:rPr>
              <w:t>长</w:t>
            </w:r>
            <w:r>
              <w:rPr>
                <w:rFonts w:hint="eastAsia" w:ascii="Times New Roman" w:hAnsi="Times New Roman" w:cs="Times New Roman"/>
                <w:color w:val="auto"/>
                <w:sz w:val="21"/>
                <w:szCs w:val="21"/>
                <w:lang w:val="en-US" w:eastAsia="zh-CN"/>
              </w:rPr>
              <w:t>（A）</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郑诗伟</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13585519443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现场处置组</w:t>
            </w:r>
            <w:r>
              <w:rPr>
                <w:rFonts w:hint="eastAsia" w:eastAsia="宋体" w:cs="宋体"/>
                <w:color w:val="auto"/>
                <w:sz w:val="21"/>
                <w:szCs w:val="21"/>
                <w:lang w:val="en-US" w:eastAsia="zh-CN"/>
              </w:rPr>
              <w:t>副组长</w:t>
            </w:r>
            <w:r>
              <w:rPr>
                <w:rFonts w:hint="eastAsia" w:ascii="Times New Roman" w:hAnsi="Times New Roman" w:cs="Times New Roman"/>
                <w:color w:val="auto"/>
                <w:sz w:val="21"/>
                <w:szCs w:val="21"/>
                <w:lang w:val="en-US" w:eastAsia="zh-CN"/>
              </w:rPr>
              <w:t>（B）</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高全勤</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13935931887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现场处置组组员</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许荣先</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13482504043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应急保障</w:t>
            </w:r>
            <w:r>
              <w:rPr>
                <w:rFonts w:hint="eastAsia" w:ascii="宋体" w:hAnsi="宋体" w:eastAsia="宋体" w:cs="宋体"/>
                <w:color w:val="auto"/>
                <w:sz w:val="21"/>
                <w:szCs w:val="21"/>
              </w:rPr>
              <w:t>组组长</w:t>
            </w:r>
            <w:r>
              <w:rPr>
                <w:rFonts w:hint="eastAsia" w:ascii="Times New Roman" w:hAnsi="Times New Roman" w:cs="Times New Roman"/>
                <w:color w:val="auto"/>
                <w:sz w:val="21"/>
                <w:szCs w:val="21"/>
                <w:lang w:val="en-US" w:eastAsia="zh-CN"/>
              </w:rPr>
              <w:t>（A）</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高瑞平</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13935931887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应急保障</w:t>
            </w:r>
            <w:r>
              <w:rPr>
                <w:rFonts w:hint="eastAsia" w:ascii="宋体" w:hAnsi="宋体" w:eastAsia="宋体" w:cs="宋体"/>
                <w:color w:val="auto"/>
                <w:sz w:val="21"/>
                <w:szCs w:val="21"/>
              </w:rPr>
              <w:t>组组员</w:t>
            </w:r>
            <w:r>
              <w:rPr>
                <w:rFonts w:hint="eastAsia" w:ascii="Times New Roman" w:hAnsi="Times New Roman" w:cs="Times New Roman"/>
                <w:color w:val="auto"/>
                <w:sz w:val="21"/>
                <w:szCs w:val="21"/>
                <w:lang w:val="en-US" w:eastAsia="zh-CN"/>
              </w:rPr>
              <w:t>（B）</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冉龙江</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15824347073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应急保障</w:t>
            </w:r>
            <w:r>
              <w:rPr>
                <w:rFonts w:hint="eastAsia" w:ascii="宋体" w:hAnsi="宋体" w:eastAsia="宋体" w:cs="宋体"/>
                <w:color w:val="auto"/>
                <w:sz w:val="21"/>
                <w:szCs w:val="21"/>
              </w:rPr>
              <w:t>组组</w:t>
            </w:r>
            <w:r>
              <w:rPr>
                <w:rFonts w:hint="eastAsia" w:ascii="宋体" w:hAnsi="宋体" w:eastAsia="宋体" w:cs="宋体"/>
                <w:color w:val="auto"/>
                <w:sz w:val="21"/>
                <w:szCs w:val="21"/>
                <w:lang w:val="en-US" w:eastAsia="zh-CN"/>
              </w:rPr>
              <w:t>员</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曾永洪</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15901722921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医疗救治组组长</w:t>
            </w:r>
            <w:r>
              <w:rPr>
                <w:rFonts w:hint="eastAsia" w:ascii="Times New Roman" w:hAnsi="Times New Roman" w:cs="Times New Roman"/>
                <w:color w:val="auto"/>
                <w:sz w:val="21"/>
                <w:szCs w:val="21"/>
                <w:lang w:val="en-US" w:eastAsia="zh-CN"/>
              </w:rPr>
              <w:t>（A）</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徐华平</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15962769970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医疗救治组组员</w:t>
            </w:r>
            <w:r>
              <w:rPr>
                <w:rFonts w:hint="eastAsia" w:ascii="Times New Roman" w:hAnsi="Times New Roman" w:cs="Times New Roman"/>
                <w:color w:val="auto"/>
                <w:sz w:val="21"/>
                <w:szCs w:val="21"/>
                <w:lang w:val="en-US" w:eastAsia="zh-CN"/>
              </w:rPr>
              <w:t>（B）</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吴伟</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13776992249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应急监测组组长</w:t>
            </w:r>
            <w:r>
              <w:rPr>
                <w:rFonts w:hint="eastAsia" w:ascii="Times New Roman" w:hAnsi="Times New Roman" w:cs="Times New Roman"/>
                <w:color w:val="auto"/>
                <w:sz w:val="21"/>
                <w:szCs w:val="21"/>
                <w:lang w:val="en-US" w:eastAsia="zh-CN"/>
              </w:rPr>
              <w:t>（A）</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戴万龙</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13773750662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14</w:t>
            </w:r>
          </w:p>
        </w:tc>
        <w:tc>
          <w:tcPr>
            <w:tcW w:w="1522" w:type="pct"/>
            <w:tcBorders>
              <w:tl2br w:val="nil"/>
              <w:tr2bl w:val="nil"/>
            </w:tcBorders>
            <w:noWrap w:val="0"/>
            <w:vAlign w:val="center"/>
          </w:tcPr>
          <w:p>
            <w:pPr>
              <w:pStyle w:val="155"/>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应急监测组组员</w:t>
            </w:r>
            <w:r>
              <w:rPr>
                <w:rFonts w:hint="eastAsia" w:ascii="Times New Roman" w:hAnsi="Times New Roman" w:cs="Times New Roman"/>
                <w:color w:val="auto"/>
                <w:sz w:val="21"/>
                <w:szCs w:val="21"/>
                <w:lang w:val="en-US" w:eastAsia="zh-CN"/>
              </w:rPr>
              <w:t>（B）</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王英</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15868105632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3526" w:type="pct"/>
            <w:gridSpan w:val="3"/>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000000"/>
                <w:kern w:val="2"/>
                <w:sz w:val="21"/>
                <w:szCs w:val="21"/>
                <w:lang w:val="en-US" w:eastAsia="zh-CN" w:bidi="ar-SA"/>
              </w:rPr>
              <w:t>13641926173</w:t>
            </w:r>
          </w:p>
        </w:tc>
      </w:tr>
    </w:tbl>
    <w:p>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02" w:name="_TOC_250045"/>
      <w:bookmarkEnd w:id="102"/>
      <w:bookmarkStart w:id="103" w:name="3.7.5外部应急救援力量"/>
      <w:bookmarkEnd w:id="103"/>
      <w:bookmarkStart w:id="104"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04"/>
    </w:p>
    <w:p>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22</w:t>
      </w:r>
      <w:r>
        <w:rPr>
          <w:rFonts w:hint="default" w:ascii="Times New Roman" w:hAnsi="Times New Roman" w:eastAsia="宋体" w:cs="Times New Roman"/>
          <w:b/>
          <w:bCs/>
        </w:rPr>
        <w:t xml:space="preserve"> </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0"/>
              <w:spacing w:before="0"/>
              <w:ind w:left="0" w:right="0"/>
              <w:rPr>
                <w:b/>
                <w:sz w:val="21"/>
              </w:rPr>
            </w:pPr>
            <w:r>
              <w:rPr>
                <w:b/>
                <w:sz w:val="21"/>
              </w:rPr>
              <w:t>序号</w:t>
            </w:r>
          </w:p>
        </w:tc>
        <w:tc>
          <w:tcPr>
            <w:tcW w:w="4270" w:type="dxa"/>
            <w:tcBorders>
              <w:tl2br w:val="nil"/>
              <w:tr2bl w:val="nil"/>
            </w:tcBorders>
            <w:vAlign w:val="center"/>
          </w:tcPr>
          <w:p>
            <w:pPr>
              <w:pStyle w:val="140"/>
              <w:spacing w:before="0"/>
              <w:ind w:left="0" w:right="0"/>
              <w:rPr>
                <w:b/>
                <w:sz w:val="21"/>
              </w:rPr>
            </w:pPr>
            <w:r>
              <w:rPr>
                <w:b/>
                <w:sz w:val="21"/>
              </w:rPr>
              <w:t>部门名称</w:t>
            </w:r>
          </w:p>
        </w:tc>
        <w:tc>
          <w:tcPr>
            <w:tcW w:w="3309" w:type="dxa"/>
            <w:tcBorders>
              <w:tl2br w:val="nil"/>
              <w:tr2bl w:val="nil"/>
            </w:tcBorders>
            <w:vAlign w:val="center"/>
          </w:tcPr>
          <w:p>
            <w:pPr>
              <w:pStyle w:val="140"/>
              <w:spacing w:before="0"/>
              <w:ind w:left="0" w:right="0"/>
              <w:rPr>
                <w:b/>
                <w:sz w:val="21"/>
              </w:rPr>
            </w:pPr>
            <w:r>
              <w:rPr>
                <w:b/>
                <w:sz w:val="21"/>
              </w:rPr>
              <w:t>报警或值班电话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pPr>
              <w:pStyle w:val="140"/>
              <w:spacing w:before="0"/>
              <w:ind w:left="0" w:right="0"/>
              <w:rPr>
                <w:sz w:val="21"/>
              </w:rPr>
            </w:pPr>
            <w:r>
              <w:rPr>
                <w:sz w:val="21"/>
              </w:rPr>
              <w:t>海安市政府办公室</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pPr>
              <w:pStyle w:val="140"/>
              <w:spacing w:before="0"/>
              <w:ind w:left="0" w:right="0"/>
              <w:rPr>
                <w:sz w:val="21"/>
              </w:rPr>
            </w:pPr>
            <w:r>
              <w:rPr>
                <w:sz w:val="21"/>
              </w:rPr>
              <w:t>海安市应急管理局</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pPr>
              <w:pStyle w:val="140"/>
              <w:spacing w:before="0"/>
              <w:ind w:left="0" w:right="0"/>
              <w:rPr>
                <w:sz w:val="21"/>
              </w:rPr>
            </w:pPr>
            <w:r>
              <w:rPr>
                <w:sz w:val="21"/>
              </w:rPr>
              <w:t>海安市公安局</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pPr>
              <w:pStyle w:val="140"/>
              <w:spacing w:before="0"/>
              <w:ind w:left="0" w:right="0"/>
              <w:rPr>
                <w:sz w:val="21"/>
              </w:rPr>
            </w:pPr>
            <w:r>
              <w:rPr>
                <w:sz w:val="21"/>
              </w:rPr>
              <w:t>海安市治安大队</w:t>
            </w:r>
          </w:p>
        </w:tc>
        <w:tc>
          <w:tcPr>
            <w:tcW w:w="3309" w:type="dxa"/>
            <w:tcBorders>
              <w:tl2br w:val="nil"/>
              <w:tr2bl w:val="nil"/>
            </w:tcBorders>
            <w:vAlign w:val="center"/>
          </w:tcPr>
          <w:p>
            <w:pPr>
              <w:pStyle w:val="140"/>
              <w:spacing w:before="0"/>
              <w:ind w:left="0" w:right="0"/>
              <w:rPr>
                <w:rFonts w:ascii="Times New Roman"/>
                <w:sz w:val="21"/>
              </w:rPr>
            </w:pPr>
            <w:r>
              <w:rPr>
                <w:rFonts w:ascii="Times New Roman"/>
                <w:sz w:val="21"/>
              </w:rPr>
              <w:t>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pPr>
              <w:pStyle w:val="140"/>
              <w:spacing w:before="0"/>
              <w:ind w:left="0" w:right="0"/>
              <w:rPr>
                <w:sz w:val="21"/>
              </w:rPr>
            </w:pPr>
            <w:r>
              <w:rPr>
                <w:sz w:val="21"/>
              </w:rPr>
              <w:t>海安市消防救援大队</w:t>
            </w:r>
          </w:p>
        </w:tc>
        <w:tc>
          <w:tcPr>
            <w:tcW w:w="3309" w:type="dxa"/>
            <w:tcBorders>
              <w:tl2br w:val="nil"/>
              <w:tr2bl w:val="nil"/>
            </w:tcBorders>
            <w:vAlign w:val="center"/>
          </w:tcPr>
          <w:p>
            <w:pPr>
              <w:pStyle w:val="140"/>
              <w:spacing w:before="0"/>
              <w:ind w:left="0" w:right="0"/>
              <w:rPr>
                <w:sz w:val="21"/>
              </w:rPr>
            </w:pPr>
            <w:r>
              <w:rPr>
                <w:rFonts w:ascii="Times New Roman" w:eastAsia="Times New Roman"/>
                <w:sz w:val="21"/>
              </w:rPr>
              <w:t>119</w:t>
            </w:r>
            <w:r>
              <w:rPr>
                <w:sz w:val="21"/>
              </w:rPr>
              <w:t>（火警）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pPr>
              <w:pStyle w:val="140"/>
              <w:spacing w:before="0"/>
              <w:ind w:left="0" w:right="0"/>
              <w:rPr>
                <w:sz w:val="21"/>
              </w:rPr>
            </w:pPr>
            <w:r>
              <w:rPr>
                <w:sz w:val="21"/>
              </w:rPr>
              <w:t>南通市海安生态环境局</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pPr>
              <w:pStyle w:val="140"/>
              <w:spacing w:before="0"/>
              <w:ind w:left="0" w:right="0"/>
              <w:rPr>
                <w:sz w:val="21"/>
              </w:rPr>
            </w:pPr>
            <w:r>
              <w:rPr>
                <w:sz w:val="21"/>
              </w:rPr>
              <w:t>海安市环境监测站</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pPr>
              <w:pStyle w:val="140"/>
              <w:spacing w:before="0"/>
              <w:ind w:left="0" w:right="0"/>
              <w:rPr>
                <w:sz w:val="21"/>
              </w:rPr>
            </w:pPr>
            <w:r>
              <w:rPr>
                <w:sz w:val="21"/>
              </w:rPr>
              <w:t>海安市急救中心</w:t>
            </w:r>
          </w:p>
        </w:tc>
        <w:tc>
          <w:tcPr>
            <w:tcW w:w="3309" w:type="dxa"/>
            <w:tcBorders>
              <w:tl2br w:val="nil"/>
              <w:tr2bl w:val="nil"/>
            </w:tcBorders>
            <w:vAlign w:val="center"/>
          </w:tcPr>
          <w:p>
            <w:pPr>
              <w:pStyle w:val="140"/>
              <w:spacing w:before="0"/>
              <w:ind w:left="0" w:right="0"/>
              <w:rPr>
                <w:rFonts w:ascii="Times New Roman"/>
                <w:sz w:val="21"/>
              </w:rPr>
            </w:pPr>
            <w:r>
              <w:rPr>
                <w:rFonts w:ascii="Times New Roman"/>
                <w:sz w:val="21"/>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pPr>
              <w:pStyle w:val="140"/>
              <w:spacing w:before="0"/>
              <w:ind w:left="0" w:right="0"/>
              <w:rPr>
                <w:sz w:val="21"/>
              </w:rPr>
            </w:pPr>
            <w:r>
              <w:rPr>
                <w:sz w:val="21"/>
              </w:rPr>
              <w:t>政府热线</w:t>
            </w:r>
          </w:p>
        </w:tc>
        <w:tc>
          <w:tcPr>
            <w:tcW w:w="3309" w:type="dxa"/>
            <w:tcBorders>
              <w:tl2br w:val="nil"/>
              <w:tr2bl w:val="nil"/>
            </w:tcBorders>
            <w:vAlign w:val="center"/>
          </w:tcPr>
          <w:p>
            <w:pPr>
              <w:pStyle w:val="140"/>
              <w:spacing w:before="0"/>
              <w:ind w:left="0" w:right="0"/>
              <w:rPr>
                <w:rFonts w:ascii="Times New Roman"/>
                <w:sz w:val="21"/>
              </w:rPr>
            </w:pPr>
            <w:r>
              <w:rPr>
                <w:rFonts w:ascii="Times New Roman"/>
                <w:sz w:val="21"/>
              </w:rPr>
              <w:t>12345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26" w:type="dxa"/>
            <w:tcBorders>
              <w:tl2br w:val="nil"/>
              <w:tr2bl w:val="nil"/>
            </w:tcBorders>
            <w:vAlign w:val="center"/>
          </w:tcPr>
          <w:p>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pPr>
              <w:pStyle w:val="140"/>
              <w:spacing w:before="0"/>
              <w:ind w:left="0" w:right="0"/>
              <w:rPr>
                <w:sz w:val="21"/>
              </w:rPr>
            </w:pPr>
            <w:r>
              <w:rPr>
                <w:sz w:val="21"/>
              </w:rPr>
              <w:t>环保热线</w:t>
            </w:r>
          </w:p>
        </w:tc>
        <w:tc>
          <w:tcPr>
            <w:tcW w:w="3309" w:type="dxa"/>
            <w:tcBorders>
              <w:tl2br w:val="nil"/>
              <w:tr2bl w:val="nil"/>
            </w:tcBorders>
            <w:vAlign w:val="center"/>
          </w:tcPr>
          <w:p>
            <w:pPr>
              <w:pStyle w:val="140"/>
              <w:spacing w:before="0"/>
              <w:ind w:left="0" w:right="0"/>
              <w:rPr>
                <w:rFonts w:ascii="Times New Roman"/>
                <w:sz w:val="21"/>
              </w:rPr>
            </w:pPr>
            <w:r>
              <w:rPr>
                <w:rFonts w:ascii="Times New Roman"/>
                <w:sz w:val="21"/>
              </w:rPr>
              <w:t>12369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pPr>
              <w:pStyle w:val="140"/>
              <w:spacing w:before="0"/>
              <w:ind w:left="0" w:right="0"/>
              <w:rPr>
                <w:sz w:val="21"/>
              </w:rPr>
            </w:pPr>
            <w:r>
              <w:rPr>
                <w:sz w:val="21"/>
              </w:rPr>
              <w:t>海安市卫健委</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pPr>
              <w:pStyle w:val="140"/>
              <w:spacing w:before="0"/>
              <w:ind w:left="0" w:right="0"/>
              <w:rPr>
                <w:sz w:val="21"/>
              </w:rPr>
            </w:pPr>
            <w:r>
              <w:rPr>
                <w:sz w:val="21"/>
              </w:rPr>
              <w:t>海安人民医院急诊室</w:t>
            </w:r>
          </w:p>
        </w:tc>
        <w:tc>
          <w:tcPr>
            <w:tcW w:w="3309" w:type="dxa"/>
            <w:tcBorders>
              <w:tl2br w:val="nil"/>
              <w:tr2bl w:val="nil"/>
            </w:tcBorders>
            <w:vAlign w:val="center"/>
          </w:tcPr>
          <w:p>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pPr>
              <w:pStyle w:val="140"/>
              <w:spacing w:before="0"/>
              <w:ind w:left="0" w:right="0"/>
              <w:rPr>
                <w:sz w:val="21"/>
              </w:rPr>
            </w:pPr>
            <w:r>
              <w:rPr>
                <w:sz w:val="21"/>
              </w:rPr>
              <w:t>海安市</w:t>
            </w:r>
            <w:r>
              <w:rPr>
                <w:rFonts w:hint="eastAsia"/>
                <w:sz w:val="21"/>
                <w:lang w:val="en-US" w:eastAsia="zh-CN"/>
              </w:rPr>
              <w:t>经济技术开发</w:t>
            </w:r>
            <w:r>
              <w:rPr>
                <w:sz w:val="21"/>
              </w:rPr>
              <w:t>区管委会</w:t>
            </w:r>
          </w:p>
        </w:tc>
        <w:tc>
          <w:tcPr>
            <w:tcW w:w="3309" w:type="dxa"/>
            <w:tcBorders>
              <w:tl2br w:val="nil"/>
              <w:tr2bl w:val="nil"/>
            </w:tcBorders>
            <w:vAlign w:val="center"/>
          </w:tcPr>
          <w:p>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pPr>
              <w:pStyle w:val="140"/>
              <w:spacing w:before="0"/>
              <w:ind w:left="0" w:right="0"/>
              <w:rPr>
                <w:rFonts w:hint="eastAsia" w:eastAsia="宋体"/>
                <w:sz w:val="21"/>
                <w:lang w:eastAsia="zh-CN"/>
              </w:rPr>
            </w:pPr>
            <w:r>
              <w:rPr>
                <w:rFonts w:hint="eastAsia"/>
                <w:sz w:val="21"/>
                <w:highlight w:val="none"/>
                <w:lang w:eastAsia="zh-CN"/>
              </w:rPr>
              <w:t>宜美爱家具（海安）有限公司</w:t>
            </w:r>
          </w:p>
        </w:tc>
        <w:tc>
          <w:tcPr>
            <w:tcW w:w="3309" w:type="dxa"/>
            <w:tcBorders>
              <w:tl2br w:val="nil"/>
              <w:tr2bl w:val="nil"/>
            </w:tcBorders>
            <w:vAlign w:val="center"/>
          </w:tcPr>
          <w:p>
            <w:pPr>
              <w:pStyle w:val="140"/>
              <w:spacing w:before="0"/>
              <w:ind w:left="0" w:right="0"/>
              <w:rPr>
                <w:rFonts w:hint="default" w:ascii="Times New Roman" w:eastAsia="宋体"/>
                <w:sz w:val="21"/>
                <w:lang w:val="en-US" w:eastAsia="zh-CN"/>
              </w:rPr>
            </w:pPr>
            <w:r>
              <w:rPr>
                <w:rFonts w:hint="eastAsia" w:ascii="Times New Roman"/>
                <w:sz w:val="21"/>
                <w:lang w:val="en-US" w:eastAsia="zh-CN"/>
              </w:rPr>
              <w:t>15312909158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pPr>
        <w:spacing w:after="0"/>
        <w:rPr>
          <w:rFonts w:ascii="Times New Roman"/>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5" w:name="_Toc26565"/>
      <w:bookmarkStart w:id="106" w:name="_Toc31419"/>
      <w:r>
        <w:rPr>
          <w:rFonts w:hint="eastAsia" w:ascii="Times New Roman" w:hAnsi="Times New Roman" w:eastAsia="宋体" w:cs="Times New Roman"/>
          <w:sz w:val="24"/>
          <w:szCs w:val="24"/>
        </w:rPr>
        <w:t>4 突发环境事件及其后果分析</w:t>
      </w:r>
      <w:bookmarkEnd w:id="90"/>
      <w:bookmarkEnd w:id="105"/>
      <w:bookmarkEnd w:id="106"/>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7" w:name="_Toc7836"/>
      <w:bookmarkStart w:id="108" w:name="_Toc9896"/>
      <w:bookmarkStart w:id="109" w:name="_Toc402776211"/>
      <w:r>
        <w:rPr>
          <w:rFonts w:hint="eastAsia" w:ascii="Times New Roman" w:hAnsi="Times New Roman" w:eastAsia="宋体" w:cs="Times New Roman"/>
          <w:sz w:val="24"/>
          <w:szCs w:val="24"/>
        </w:rPr>
        <w:t>4.1 突发环境事件情景分析</w:t>
      </w:r>
      <w:bookmarkEnd w:id="107"/>
      <w:bookmarkEnd w:id="108"/>
      <w:bookmarkEnd w:id="10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1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hint="eastAsia" w:eastAsia="宋体"/>
                <w:color w:val="000000"/>
                <w:sz w:val="21"/>
                <w:szCs w:val="21"/>
                <w:lang w:eastAsia="zh-CN"/>
              </w:rPr>
            </w:pPr>
            <w:r>
              <w:rPr>
                <w:rFonts w:eastAsia="宋体"/>
                <w:b/>
                <w:sz w:val="21"/>
                <w:szCs w:val="21"/>
              </w:rPr>
              <w:t>情景1</w:t>
            </w:r>
            <w:r>
              <w:rPr>
                <w:rFonts w:hint="eastAsia" w:eastAsia="宋体"/>
                <w:b/>
                <w:sz w:val="21"/>
                <w:szCs w:val="21"/>
                <w:lang w:val="en-US" w:eastAsia="zh-CN"/>
              </w:rPr>
              <w:t>1</w:t>
            </w:r>
            <w:r>
              <w:rPr>
                <w:rFonts w:eastAsia="宋体"/>
                <w:b/>
                <w:sz w:val="21"/>
                <w:szCs w:val="21"/>
              </w:rPr>
              <w:t>：</w:t>
            </w:r>
            <w:r>
              <w:rPr>
                <w:rFonts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w:t>
            </w:r>
            <w:r>
              <w:rPr>
                <w:rFonts w:hint="eastAsia" w:eastAsia="宋体"/>
                <w:b/>
                <w:bCs/>
                <w:sz w:val="21"/>
                <w:szCs w:val="21"/>
                <w:lang w:val="en-US" w:eastAsia="zh-CN"/>
              </w:rPr>
              <w:t>2</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3</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4</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5</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11" w:name="_Toc510092950"/>
      <w:bookmarkStart w:id="112" w:name="_Toc7356"/>
      <w:bookmarkStart w:id="113" w:name="_Toc402776212"/>
      <w:bookmarkStart w:id="114" w:name="_Toc496887125"/>
      <w:bookmarkStart w:id="115" w:name="_Toc23512"/>
      <w:r>
        <w:rPr>
          <w:rFonts w:hint="eastAsia" w:ascii="Times New Roman" w:hAnsi="Times New Roman" w:eastAsia="宋体" w:cs="Times New Roman"/>
          <w:sz w:val="24"/>
          <w:szCs w:val="24"/>
        </w:rPr>
        <w:t>4.2 突发环境事件情景源强分析</w:t>
      </w:r>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6" w:name="_Toc26157"/>
      <w:bookmarkStart w:id="117" w:name="_Toc30597"/>
      <w:r>
        <w:rPr>
          <w:rFonts w:hint="default" w:ascii="Times New Roman" w:hAnsi="Times New Roman" w:eastAsia="宋体" w:cs="Times New Roman"/>
          <w:color w:val="000000" w:themeColor="text1"/>
          <w14:textFill>
            <w14:solidFill>
              <w14:schemeClr w14:val="tx1"/>
            </w14:solidFill>
          </w14:textFill>
        </w:rPr>
        <w:t>4.2.1事件情景1</w:t>
      </w:r>
      <w:bookmarkEnd w:id="116"/>
      <w:bookmarkEnd w:id="117"/>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18" w:name="_Toc475474908"/>
      <w:bookmarkStart w:id="119"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人员工作时候麻痹大意导致火灾事故的产生。公司</w:t>
      </w:r>
      <w:bookmarkEnd w:id="118"/>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漆、固化剂主要成分为有机物，</w:t>
      </w:r>
      <w:r>
        <w:rPr>
          <w:rFonts w:hint="default" w:ascii="Times New Roman" w:hAnsi="Times New Roman" w:eastAsia="宋体" w:cs="Times New Roman"/>
          <w:color w:val="000000"/>
          <w:sz w:val="24"/>
          <w:szCs w:val="24"/>
        </w:rPr>
        <w:t>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10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固化剂、水性漆热分解时会产生可燃有毒气体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50</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-2</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水性漆、固化剂、木材等</w:t>
            </w:r>
          </w:p>
        </w:tc>
        <w:tc>
          <w:tcPr>
            <w:tcW w:w="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028</w:t>
            </w:r>
          </w:p>
        </w:tc>
        <w:tc>
          <w:tcPr>
            <w:tcW w:w="1515"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0.1631</w:t>
            </w:r>
          </w:p>
        </w:tc>
      </w:tr>
      <w:bookmarkEnd w:id="119"/>
    </w:tbl>
    <w:p>
      <w:pPr>
        <w:pStyle w:val="2"/>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20" w:name="_Toc2865"/>
      <w:bookmarkStart w:id="121" w:name="_Toc28763"/>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20"/>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2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22" w:name="_Toc19215"/>
      <w:bookmarkStart w:id="123" w:name="_Toc4150"/>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22"/>
      <w:r>
        <w:rPr>
          <w:rFonts w:hint="eastAsia" w:eastAsia="宋体" w:cs="Times New Roman"/>
          <w:b/>
          <w:bCs/>
          <w:color w:val="000000" w:themeColor="text1"/>
          <w:lang w:val="en-US" w:eastAsia="zh-CN"/>
          <w14:textFill>
            <w14:solidFill>
              <w14:schemeClr w14:val="tx1"/>
            </w14:solidFill>
          </w14:textFill>
        </w:rPr>
        <w:t>4、5</w:t>
      </w:r>
      <w:bookmarkEnd w:id="1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开料等木加工过程产生的木料粉尘，木制家具表面砂光、打磨废气，底漆打磨废气，木制家具透明底漆、白底漆、色漆喷涂产生的调漆及喷涂废气，透明面漆、白面漆喷涂过程产生的调漆及喷涂废气，晾干过程产生的晾干废气</w:t>
      </w:r>
      <w:r>
        <w:rPr>
          <w:rFonts w:hint="default" w:ascii="Times New Roman" w:hAnsi="Times New Roman" w:eastAsia="宋体"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环评</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p>
    <w:p>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3</w:t>
      </w:r>
      <w:r>
        <w:rPr>
          <w:rFonts w:hint="eastAsia" w:ascii="Times New Roman" w:hAnsi="Times New Roman" w:eastAsia="宋体" w:cs="Times New Roman"/>
          <w:b/>
          <w:bCs/>
          <w:color w:val="auto"/>
          <w:highlight w:val="none"/>
          <w:lang w:val="en-US" w:eastAsia="zh-CN"/>
        </w:rPr>
        <w:t xml:space="preserve"> 废气产生情况一览表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924"/>
        <w:gridCol w:w="1541"/>
        <w:gridCol w:w="1504"/>
        <w:gridCol w:w="1364"/>
        <w:gridCol w:w="13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25" w:type="pct"/>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041" w:type="pct"/>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834" w:type="pct"/>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298" w:type="pct"/>
            <w:gridSpan w:val="3"/>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41"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834"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814"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738"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746"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41"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834"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814"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738"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746"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noWrap w:val="0"/>
            <w:vAlign w:val="center"/>
          </w:tcPr>
          <w:p>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1041" w:type="pct"/>
            <w:shd w:val="clear" w:color="auto" w:fill="FFFFFF"/>
            <w:noWrap w:val="0"/>
            <w:vAlign w:val="center"/>
          </w:tcPr>
          <w:p>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20000</w:t>
            </w:r>
          </w:p>
        </w:tc>
        <w:tc>
          <w:tcPr>
            <w:tcW w:w="834"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814"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220.25</w:t>
            </w:r>
          </w:p>
        </w:tc>
        <w:tc>
          <w:tcPr>
            <w:tcW w:w="738"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4.405</w:t>
            </w:r>
          </w:p>
        </w:tc>
        <w:tc>
          <w:tcPr>
            <w:tcW w:w="746"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7.8885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noWrap w:val="0"/>
            <w:vAlign w:val="center"/>
          </w:tcPr>
          <w:p>
            <w:pPr>
              <w:pStyle w:val="140"/>
              <w:spacing w:before="0" w:line="240" w:lineRule="auto"/>
              <w:ind w:left="0" w:leftChars="0" w:right="0" w:rightChars="0" w:firstLine="0" w:firstLine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2#排气筒</w:t>
            </w:r>
          </w:p>
        </w:tc>
        <w:tc>
          <w:tcPr>
            <w:tcW w:w="1041" w:type="pct"/>
            <w:vMerge w:val="restart"/>
            <w:shd w:val="clear" w:color="auto" w:fill="FFFFFF"/>
            <w:noWrap w:val="0"/>
            <w:vAlign w:val="center"/>
          </w:tcPr>
          <w:p>
            <w:pPr>
              <w:pStyle w:val="140"/>
              <w:ind w:left="0" w:lef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25000</w:t>
            </w:r>
          </w:p>
        </w:tc>
        <w:tc>
          <w:tcPr>
            <w:tcW w:w="834"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814"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159.54</w:t>
            </w:r>
          </w:p>
        </w:tc>
        <w:tc>
          <w:tcPr>
            <w:tcW w:w="738"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3.9885</w:t>
            </w:r>
          </w:p>
        </w:tc>
        <w:tc>
          <w:tcPr>
            <w:tcW w:w="746"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1.3995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noWrap w:val="0"/>
            <w:vAlign w:val="center"/>
          </w:tcPr>
          <w:p>
            <w:pPr>
              <w:pStyle w:val="140"/>
              <w:spacing w:before="0" w:line="240" w:lineRule="auto"/>
              <w:ind w:left="0" w:leftChars="0" w:right="0" w:rightChars="0" w:firstLine="0" w:firstLineChars="0"/>
              <w:rPr>
                <w:rFonts w:hint="default" w:ascii="Times New Roman" w:hAnsi="Times New Roman" w:eastAsia="宋体" w:cs="Times New Roman"/>
                <w:kern w:val="2"/>
                <w:sz w:val="21"/>
                <w:szCs w:val="21"/>
                <w:lang w:val="en-US" w:eastAsia="zh-CN" w:bidi="ar-SA"/>
              </w:rPr>
            </w:pPr>
          </w:p>
        </w:tc>
        <w:tc>
          <w:tcPr>
            <w:tcW w:w="1041" w:type="pct"/>
            <w:vMerge w:val="continue"/>
            <w:shd w:val="clear" w:color="auto" w:fill="FFFFFF"/>
            <w:noWrap w:val="0"/>
            <w:vAlign w:val="center"/>
          </w:tcPr>
          <w:p>
            <w:pPr>
              <w:pStyle w:val="140"/>
              <w:ind w:left="0" w:leftChars="0"/>
              <w:rPr>
                <w:rFonts w:hint="default" w:ascii="Times New Roman" w:hAnsi="Times New Roman" w:eastAsia="宋体" w:cs="Times New Roman"/>
                <w:kern w:val="2"/>
                <w:sz w:val="21"/>
                <w:szCs w:val="21"/>
                <w:lang w:val="en-US" w:eastAsia="zh-CN" w:bidi="ar-SA"/>
              </w:rPr>
            </w:pPr>
          </w:p>
        </w:tc>
        <w:tc>
          <w:tcPr>
            <w:tcW w:w="834"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814"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38.228</w:t>
            </w:r>
          </w:p>
        </w:tc>
        <w:tc>
          <w:tcPr>
            <w:tcW w:w="738"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0.9557</w:t>
            </w:r>
          </w:p>
        </w:tc>
        <w:tc>
          <w:tcPr>
            <w:tcW w:w="746"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noWrap w:val="0"/>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3#排气筒</w:t>
            </w:r>
          </w:p>
        </w:tc>
        <w:tc>
          <w:tcPr>
            <w:tcW w:w="1041" w:type="pct"/>
            <w:vMerge w:val="restart"/>
            <w:shd w:val="clear" w:color="auto" w:fill="FFFFFF"/>
            <w:noWrap w:val="0"/>
            <w:vAlign w:val="center"/>
          </w:tcPr>
          <w:p>
            <w:pPr>
              <w:pStyle w:val="14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28071</w:t>
            </w:r>
          </w:p>
        </w:tc>
        <w:tc>
          <w:tcPr>
            <w:tcW w:w="834"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814"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84.84</w:t>
            </w:r>
          </w:p>
        </w:tc>
        <w:tc>
          <w:tcPr>
            <w:tcW w:w="738"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2.3815</w:t>
            </w:r>
          </w:p>
        </w:tc>
        <w:tc>
          <w:tcPr>
            <w:tcW w:w="746"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0.7442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noWrap w:val="0"/>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1041" w:type="pct"/>
            <w:vMerge w:val="continue"/>
            <w:shd w:val="clear" w:color="auto" w:fill="FFFFFF"/>
            <w:noWrap w:val="0"/>
            <w:vAlign w:val="center"/>
          </w:tcPr>
          <w:p>
            <w:pPr>
              <w:pStyle w:val="140"/>
              <w:ind w:left="0" w:leftChars="0"/>
              <w:rPr>
                <w:rFonts w:hint="default" w:ascii="Times New Roman" w:hAnsi="Times New Roman" w:eastAsia="宋体" w:cs="Times New Roman"/>
                <w:kern w:val="2"/>
                <w:sz w:val="21"/>
                <w:szCs w:val="21"/>
                <w:lang w:val="en-US" w:eastAsia="zh-CN" w:bidi="ar-SA"/>
              </w:rPr>
            </w:pPr>
          </w:p>
        </w:tc>
        <w:tc>
          <w:tcPr>
            <w:tcW w:w="834"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814"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30.81</w:t>
            </w:r>
          </w:p>
        </w:tc>
        <w:tc>
          <w:tcPr>
            <w:tcW w:w="738"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0.8649</w:t>
            </w:r>
          </w:p>
        </w:tc>
        <w:tc>
          <w:tcPr>
            <w:tcW w:w="746"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noWrap w:val="0"/>
            <w:vAlign w:val="center"/>
          </w:tcPr>
          <w:p>
            <w:pPr>
              <w:pStyle w:val="140"/>
              <w:adjustRightInd w:val="0"/>
              <w:snapToGrid w:val="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000000"/>
                <w:sz w:val="21"/>
                <w:szCs w:val="21"/>
                <w:lang w:val="en-US" w:eastAsia="zh-CN"/>
              </w:rPr>
              <w:t>4#排气筒</w:t>
            </w:r>
          </w:p>
        </w:tc>
        <w:tc>
          <w:tcPr>
            <w:tcW w:w="1041" w:type="pct"/>
            <w:shd w:val="clear" w:color="auto" w:fill="FFFFFF"/>
            <w:noWrap w:val="0"/>
            <w:vAlign w:val="center"/>
          </w:tcPr>
          <w:p>
            <w:pPr>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eastAsia" w:eastAsia="宋体"/>
                <w:color w:val="000000"/>
                <w:sz w:val="21"/>
                <w:szCs w:val="21"/>
                <w:lang w:val="en-US" w:eastAsia="zh-CN"/>
              </w:rPr>
              <w:t>10000</w:t>
            </w:r>
          </w:p>
        </w:tc>
        <w:tc>
          <w:tcPr>
            <w:tcW w:w="834"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814"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10.48</w:t>
            </w:r>
          </w:p>
        </w:tc>
        <w:tc>
          <w:tcPr>
            <w:tcW w:w="738"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0.1048</w:t>
            </w:r>
          </w:p>
        </w:tc>
        <w:tc>
          <w:tcPr>
            <w:tcW w:w="746" w:type="pct"/>
            <w:shd w:val="clear" w:color="auto" w:fill="auto"/>
            <w:noWrap w:val="0"/>
            <w:vAlign w:val="center"/>
          </w:tcPr>
          <w:p>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0.0671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4</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noWrap w:val="0"/>
            <w:vAlign w:val="center"/>
          </w:tcPr>
          <w:p>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9" w:type="pct"/>
            <w:shd w:val="clear" w:color="auto" w:fill="FFFFFF"/>
            <w:noWrap w:val="0"/>
            <w:vAlign w:val="center"/>
          </w:tcPr>
          <w:p>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20000</w:t>
            </w:r>
          </w:p>
        </w:tc>
        <w:tc>
          <w:tcPr>
            <w:tcW w:w="1075" w:type="pct"/>
            <w:shd w:val="clear" w:color="auto" w:fill="FFFFFF"/>
            <w:noWrap w:val="0"/>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4.405</w:t>
            </w:r>
          </w:p>
        </w:tc>
        <w:tc>
          <w:tcPr>
            <w:tcW w:w="954" w:type="pct"/>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noWrap w:val="0"/>
            <w:vAlign w:val="center"/>
          </w:tcPr>
          <w:p>
            <w:pPr>
              <w:pStyle w:val="140"/>
              <w:spacing w:before="0" w:line="240" w:lineRule="auto"/>
              <w:ind w:left="0" w:leftChars="0" w:right="0" w:righ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2#排气筒</w:t>
            </w:r>
          </w:p>
        </w:tc>
        <w:tc>
          <w:tcPr>
            <w:tcW w:w="999" w:type="pct"/>
            <w:vMerge w:val="restart"/>
            <w:shd w:val="clear" w:color="auto" w:fill="FFFFFF"/>
            <w:noWrap w:val="0"/>
            <w:vAlign w:val="center"/>
          </w:tcPr>
          <w:p>
            <w:pPr>
              <w:adjustRightInd w:val="0"/>
              <w:snapToGrid w:val="0"/>
              <w:jc w:val="center"/>
              <w:rPr>
                <w:rFonts w:hint="default"/>
                <w:color w:val="000000"/>
                <w:sz w:val="21"/>
                <w:szCs w:val="21"/>
                <w:lang w:val="en-US" w:eastAsia="zh-CN"/>
              </w:rPr>
            </w:pPr>
            <w:r>
              <w:rPr>
                <w:rFonts w:hint="eastAsia" w:ascii="Times New Roman" w:hAnsi="Times New Roman" w:cs="Times New Roman"/>
                <w:kern w:val="2"/>
                <w:sz w:val="21"/>
                <w:szCs w:val="21"/>
                <w:lang w:val="en-US" w:eastAsia="zh-CN" w:bidi="ar-SA"/>
              </w:rPr>
              <w:t>25000</w:t>
            </w:r>
          </w:p>
        </w:tc>
        <w:tc>
          <w:tcPr>
            <w:tcW w:w="1075" w:type="pct"/>
            <w:shd w:val="clear" w:color="auto" w:fill="FFFFFF"/>
            <w:noWrap w:val="0"/>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3.9885</w:t>
            </w:r>
          </w:p>
        </w:tc>
        <w:tc>
          <w:tcPr>
            <w:tcW w:w="954" w:type="pct"/>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0.9971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noWrap w:val="0"/>
            <w:vAlign w:val="center"/>
          </w:tcPr>
          <w:p>
            <w:pPr>
              <w:pStyle w:val="140"/>
              <w:spacing w:before="0" w:line="240" w:lineRule="auto"/>
              <w:ind w:left="0" w:leftChars="0" w:right="0" w:rightChars="0" w:firstLine="0" w:firstLineChars="0"/>
              <w:rPr>
                <w:rFonts w:hint="eastAsia" w:ascii="Times New Roman" w:hAnsi="Times New Roman" w:eastAsia="宋体" w:cs="Times New Roman"/>
                <w:kern w:val="2"/>
                <w:sz w:val="21"/>
                <w:szCs w:val="21"/>
                <w:lang w:val="en-US" w:eastAsia="zh-CN" w:bidi="ar-SA"/>
              </w:rPr>
            </w:pPr>
          </w:p>
        </w:tc>
        <w:tc>
          <w:tcPr>
            <w:tcW w:w="999" w:type="pct"/>
            <w:vMerge w:val="continue"/>
            <w:shd w:val="clear" w:color="auto" w:fill="FFFFFF"/>
            <w:noWrap w:val="0"/>
            <w:vAlign w:val="center"/>
          </w:tcPr>
          <w:p>
            <w:pPr>
              <w:adjustRightInd w:val="0"/>
              <w:snapToGrid w:val="0"/>
              <w:jc w:val="center"/>
              <w:rPr>
                <w:rFonts w:hint="default"/>
                <w:color w:val="000000"/>
                <w:sz w:val="21"/>
                <w:szCs w:val="21"/>
                <w:lang w:val="en-US" w:eastAsia="zh-CN"/>
              </w:rPr>
            </w:pPr>
          </w:p>
        </w:tc>
        <w:tc>
          <w:tcPr>
            <w:tcW w:w="1075" w:type="pct"/>
            <w:shd w:val="clear" w:color="auto" w:fill="FFFFFF"/>
            <w:noWrap w:val="0"/>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049" w:type="pct"/>
            <w:shd w:val="clear" w:color="auto" w:fill="auto"/>
            <w:noWrap w:val="0"/>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0.9557</w:t>
            </w:r>
          </w:p>
        </w:tc>
        <w:tc>
          <w:tcPr>
            <w:tcW w:w="954" w:type="pct"/>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0.2389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noWrap w:val="0"/>
            <w:vAlign w:val="center"/>
          </w:tcPr>
          <w:p>
            <w:pPr>
              <w:pStyle w:val="140"/>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sz w:val="21"/>
                <w:szCs w:val="21"/>
                <w:lang w:val="en-US" w:eastAsia="zh-CN"/>
              </w:rPr>
              <w:t>3#排气筒</w:t>
            </w:r>
          </w:p>
        </w:tc>
        <w:tc>
          <w:tcPr>
            <w:tcW w:w="999" w:type="pct"/>
            <w:vMerge w:val="restart"/>
            <w:shd w:val="clear" w:color="auto" w:fill="FFFFFF"/>
            <w:noWrap w:val="0"/>
            <w:vAlign w:val="center"/>
          </w:tcPr>
          <w:p>
            <w:pPr>
              <w:pStyle w:val="14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28071</w:t>
            </w:r>
          </w:p>
        </w:tc>
        <w:tc>
          <w:tcPr>
            <w:tcW w:w="1075" w:type="pct"/>
            <w:shd w:val="clear" w:color="auto" w:fill="FFFFFF"/>
            <w:noWrap w:val="0"/>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2.3815</w:t>
            </w:r>
          </w:p>
        </w:tc>
        <w:tc>
          <w:tcPr>
            <w:tcW w:w="954" w:type="pct"/>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0.5954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noWrap w:val="0"/>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999" w:type="pct"/>
            <w:vMerge w:val="continue"/>
            <w:shd w:val="clear" w:color="auto" w:fill="FFFFFF"/>
            <w:noWrap w:val="0"/>
            <w:vAlign w:val="center"/>
          </w:tcPr>
          <w:p>
            <w:pPr>
              <w:adjustRightInd w:val="0"/>
              <w:snapToGrid w:val="0"/>
              <w:jc w:val="center"/>
              <w:rPr>
                <w:rFonts w:hint="default"/>
                <w:color w:val="000000"/>
                <w:sz w:val="21"/>
                <w:szCs w:val="21"/>
                <w:lang w:val="en-US" w:eastAsia="zh-CN"/>
              </w:rPr>
            </w:pPr>
          </w:p>
        </w:tc>
        <w:tc>
          <w:tcPr>
            <w:tcW w:w="1075" w:type="pct"/>
            <w:shd w:val="clear" w:color="auto" w:fill="FFFFFF"/>
            <w:noWrap w:val="0"/>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049" w:type="pct"/>
            <w:shd w:val="clear" w:color="auto" w:fill="auto"/>
            <w:noWrap w:val="0"/>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0.8649</w:t>
            </w:r>
          </w:p>
        </w:tc>
        <w:tc>
          <w:tcPr>
            <w:tcW w:w="954" w:type="pct"/>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0.2162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noWrap w:val="0"/>
            <w:vAlign w:val="center"/>
          </w:tcPr>
          <w:p>
            <w:pPr>
              <w:pStyle w:val="140"/>
              <w:adjustRightInd w:val="0"/>
              <w:snapToGrid w:val="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000000"/>
                <w:sz w:val="21"/>
                <w:szCs w:val="21"/>
                <w:lang w:val="en-US" w:eastAsia="zh-CN"/>
              </w:rPr>
              <w:t>4#排气筒</w:t>
            </w:r>
          </w:p>
        </w:tc>
        <w:tc>
          <w:tcPr>
            <w:tcW w:w="999" w:type="pct"/>
            <w:shd w:val="clear" w:color="auto" w:fill="FFFFFF"/>
            <w:noWrap w:val="0"/>
            <w:vAlign w:val="center"/>
          </w:tcPr>
          <w:p>
            <w:pPr>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eastAsia" w:eastAsia="宋体"/>
                <w:color w:val="000000"/>
                <w:sz w:val="21"/>
                <w:szCs w:val="21"/>
                <w:lang w:val="en-US" w:eastAsia="zh-CN"/>
              </w:rPr>
              <w:t>10000</w:t>
            </w:r>
          </w:p>
        </w:tc>
        <w:tc>
          <w:tcPr>
            <w:tcW w:w="1075" w:type="pct"/>
            <w:shd w:val="clear" w:color="auto" w:fill="FFFFFF"/>
            <w:noWrap w:val="0"/>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0.1048</w:t>
            </w:r>
          </w:p>
        </w:tc>
        <w:tc>
          <w:tcPr>
            <w:tcW w:w="954" w:type="pct"/>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0.0262</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综上，</w:t>
      </w:r>
      <w:r>
        <w:rPr>
          <w:rFonts w:hint="eastAsia" w:eastAsia="宋体" w:cs="Times New Roman"/>
          <w:b w:val="0"/>
          <w:bCs w:val="0"/>
          <w:color w:val="000000" w:themeColor="text1"/>
          <w:lang w:val="en-US" w:eastAsia="zh-CN"/>
          <w14:textFill>
            <w14:solidFill>
              <w14:schemeClr w14:val="tx1"/>
            </w14:solidFill>
          </w14:textFill>
        </w:rPr>
        <w:t>1#排气筒产生的颗粒物泄漏源强为4.405kg/h，2#排气筒产生的颗粒物、VOCs泄漏源强分别为3.9885、0.9557kg/h，3#排气筒产生的颗粒物、VOCs的泄漏源强为2.3815、0.8649kg/h，4#排气筒产生的颗粒物泄漏源强为0.1048kg/h</w:t>
      </w:r>
      <w:r>
        <w:rPr>
          <w:rFonts w:hint="default" w:ascii="Times New Roman" w:hAnsi="Times New Roman" w:eastAsia="宋体" w:cs="Times New Roman"/>
          <w:b w:val="0"/>
          <w:bCs w:val="0"/>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24" w:name="_Toc24510"/>
      <w:bookmarkStart w:id="125"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24"/>
      <w:bookmarkEnd w:id="125"/>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26" w:name="_Toc14674"/>
      <w:bookmarkStart w:id="127" w:name="_Toc20607"/>
      <w:r>
        <w:rPr>
          <w:rFonts w:hint="default" w:ascii="Times New Roman" w:hAnsi="Times New Roman" w:eastAsia="宋体" w:cs="Times New Roman"/>
          <w:b/>
          <w:bCs/>
          <w:color w:val="000000" w:themeColor="text1"/>
          <w14:textFill>
            <w14:solidFill>
              <w14:schemeClr w14:val="tx1"/>
            </w14:solidFill>
          </w14:textFill>
        </w:rPr>
        <w:t>4.3.1事件情景1</w:t>
      </w:r>
      <w:bookmarkEnd w:id="126"/>
      <w:bookmarkEnd w:id="127"/>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 xml:space="preserve">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28"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28"/>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29" w:name="_Toc28688"/>
      <w:bookmarkStart w:id="130" w:name="_Toc5056"/>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29"/>
      <w:r>
        <w:rPr>
          <w:rFonts w:hint="eastAsia" w:eastAsia="宋体" w:cs="Times New Roman"/>
          <w:color w:val="000000" w:themeColor="text1"/>
          <w:lang w:val="en-US" w:eastAsia="zh-CN"/>
          <w14:textFill>
            <w14:solidFill>
              <w14:schemeClr w14:val="tx1"/>
            </w14:solidFill>
          </w14:textFill>
        </w:rPr>
        <w:t>3、6</w:t>
      </w:r>
      <w:bookmarkEnd w:id="130"/>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spacing w:val="0"/>
          <w:lang w:eastAsia="zh-CN"/>
          <w14:textFill>
            <w14:solidFill>
              <w14:schemeClr w14:val="tx1"/>
            </w14:solidFill>
          </w14:textFill>
        </w:rPr>
        <w:t>爱民三号河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31" w:name="_Toc299"/>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32" w:name="_Toc20452"/>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31"/>
      <w:r>
        <w:rPr>
          <w:rFonts w:hint="eastAsia" w:eastAsia="宋体" w:cs="Times New Roman"/>
          <w:color w:val="000000" w:themeColor="text1"/>
          <w:lang w:val="en-US" w:eastAsia="zh-CN"/>
          <w14:textFill>
            <w14:solidFill>
              <w14:schemeClr w14:val="tx1"/>
            </w14:solidFill>
          </w14:textFill>
        </w:rPr>
        <w:t>4、5</w:t>
      </w:r>
      <w:bookmarkEnd w:id="132"/>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33" w:name="_Toc3234"/>
      <w:bookmarkStart w:id="134" w:name="_Toc30305"/>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33"/>
      <w:bookmarkEnd w:id="134"/>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14:textFill>
            <w14:solidFill>
              <w14:schemeClr w14:val="tx1"/>
            </w14:solidFill>
          </w14:textFill>
        </w:rPr>
      </w:pPr>
      <w:bookmarkStart w:id="135" w:name="_Toc30977"/>
      <w:bookmarkStart w:id="136" w:name="_Toc31396"/>
      <w:bookmarkStart w:id="137" w:name="_Toc5010"/>
      <w:r>
        <w:rPr>
          <w:rFonts w:hint="default" w:ascii="Times New Roman" w:hAnsi="Times New Roman" w:eastAsia="宋体" w:cs="Times New Roman"/>
          <w:color w:val="000000" w:themeColor="text1"/>
          <w14:textFill>
            <w14:solidFill>
              <w14:schemeClr w14:val="tx1"/>
            </w14:solidFill>
          </w14:textFill>
        </w:rPr>
        <w:t>4.4.1</w:t>
      </w:r>
      <w:bookmarkStart w:id="138" w:name="_TOC_250035"/>
      <w:r>
        <w:rPr>
          <w:rFonts w:hint="default" w:ascii="Times New Roman" w:hAnsi="Times New Roman" w:eastAsia="宋体" w:cs="Times New Roman"/>
          <w:color w:val="000000" w:themeColor="text1"/>
          <w14:textFill>
            <w14:solidFill>
              <w14:schemeClr w14:val="tx1"/>
            </w14:solidFill>
          </w14:textFill>
        </w:rPr>
        <w:t>发生火灾的伴生/次生污染物CO</w:t>
      </w:r>
      <w:bookmarkEnd w:id="138"/>
      <w:r>
        <w:rPr>
          <w:rFonts w:hint="default" w:ascii="Times New Roman" w:hAnsi="Times New Roman" w:eastAsia="宋体" w:cs="Times New Roman"/>
          <w:color w:val="000000" w:themeColor="text1"/>
          <w14:textFill>
            <w14:solidFill>
              <w14:schemeClr w14:val="tx1"/>
            </w14:solidFill>
          </w14:textFill>
        </w:rPr>
        <w:t>大气污染事件</w:t>
      </w:r>
      <w:bookmarkEnd w:id="135"/>
      <w:bookmarkEnd w:id="136"/>
    </w:p>
    <w:p>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182.10</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248.78</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325.42</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352.14</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318.87</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274.79</w:t>
            </w:r>
          </w:p>
        </w:tc>
        <w:tc>
          <w:tcPr>
            <w:tcW w:w="2130"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238.86</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213.13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194.41</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82.13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150.99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135.32</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123.09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78.19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113.23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108.55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105.35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102.47</w:t>
            </w:r>
          </w:p>
        </w:tc>
        <w:tc>
          <w:tcPr>
            <w:tcW w:w="2130"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182.10</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248.78</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325.42</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142.66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352.14</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318.87</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128.85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274.79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238.86</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117.91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213.13</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194.41</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15"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361" w:type="dxa"/>
          <w:trHeight w:val="339" w:hRule="atLeast"/>
          <w:jc w:val="center"/>
        </w:trPr>
        <w:tc>
          <w:tcPr>
            <w:tcW w:w="2129"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15" w:type="dxa"/>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800</w:t>
      </w:r>
      <w:r>
        <w:rPr>
          <w:rFonts w:hint="default" w:ascii="Times New Roman" w:hAnsi="Times New Roman" w:eastAsia="宋体" w:cs="Times New Roman"/>
          <w:lang w:val="en-US" w:eastAsia="zh-CN"/>
        </w:rPr>
        <w:t>米内。</w:t>
      </w:r>
    </w:p>
    <w:p>
      <w:pPr>
        <w:pStyle w:val="2"/>
        <w:adjustRightInd w:val="0"/>
        <w:snapToGrid w:val="0"/>
        <w:spacing w:line="500" w:lineRule="exact"/>
        <w:jc w:val="left"/>
        <w:rPr>
          <w:rFonts w:hint="eastAsia" w:eastAsia="宋体" w:cs="Times New Roman"/>
          <w:color w:val="000000" w:themeColor="text1"/>
          <w:lang w:val="en-US" w:eastAsia="zh-CN"/>
          <w14:textFill>
            <w14:solidFill>
              <w14:schemeClr w14:val="tx1"/>
            </w14:solidFill>
          </w14:textFill>
        </w:rPr>
      </w:pPr>
      <w:bookmarkStart w:id="139" w:name="_Toc11612"/>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37"/>
      <w:r>
        <w:rPr>
          <w:rFonts w:hint="eastAsia" w:eastAsia="宋体" w:cs="Times New Roman"/>
          <w:color w:val="000000" w:themeColor="text1"/>
          <w:lang w:val="en-US" w:eastAsia="zh-CN"/>
          <w14:textFill>
            <w14:solidFill>
              <w14:schemeClr w14:val="tx1"/>
            </w14:solidFill>
          </w14:textFill>
        </w:rPr>
        <w:t>发生泄漏的污染水环境事件</w:t>
      </w:r>
      <w:bookmarkEnd w:id="139"/>
    </w:p>
    <w:p>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pPr>
        <w:spacing w:line="500" w:lineRule="exact"/>
        <w:ind w:firstLine="480" w:firstLineChars="200"/>
        <w:jc w:val="both"/>
        <w:rPr>
          <w:rFonts w:hint="default" w:ascii="Times New Roman" w:hAnsi="Times New Roman" w:eastAsia="宋体" w:cs="Times New Roman"/>
          <w:bCs/>
        </w:rPr>
      </w:pPr>
      <w:bookmarkStart w:id="140" w:name="_Toc1731"/>
      <w:r>
        <w:rPr>
          <w:rFonts w:hint="eastAsia" w:ascii="Times New Roman" w:hAnsi="Times New Roman" w:eastAsia="宋体" w:cs="Times New Roman"/>
          <w:bCs/>
          <w:lang w:val="en-US" w:eastAsia="zh-CN"/>
        </w:rPr>
        <w:t>润滑油</w:t>
      </w:r>
      <w:r>
        <w:rPr>
          <w:rFonts w:hint="default" w:ascii="Times New Roman" w:hAnsi="Times New Roman" w:eastAsia="宋体" w:cs="Times New Roman"/>
          <w:bCs/>
        </w:rPr>
        <w:t>泄漏为液体泄漏，液体泄漏按《建设项目环境风险评价技术导则》（HJ 169-2018）附录F.1.1公式计算：</w:t>
      </w:r>
    </w:p>
    <w:p>
      <w:pPr>
        <w:adjustRightInd w:val="0"/>
        <w:snapToGrid w:val="0"/>
        <w:spacing w:line="500" w:lineRule="exact"/>
        <w:ind w:firstLine="480" w:firstLineChars="200"/>
        <w:jc w:val="center"/>
        <w:rPr>
          <w:rFonts w:hint="default" w:ascii="Times New Roman" w:hAnsi="Times New Roman" w:eastAsia="宋体" w:cs="Times New Roman"/>
        </w:rPr>
      </w:pPr>
      <m:oMathPara>
        <m:oMath>
          <m:sSub>
            <m:sSubPr>
              <m:ctrlPr>
                <w:rPr>
                  <w:rFonts w:hint="default" w:ascii="Cambria Math" w:hAnsi="Cambria Math" w:eastAsia="宋体" w:cs="Times New Roman"/>
                  <w:i/>
                </w:rPr>
              </m:ctrlPr>
            </m:sSubPr>
            <m:e>
              <m:r>
                <m:rPr/>
                <w:rPr>
                  <w:rFonts w:hint="default" w:ascii="Cambria Math" w:hAnsi="Cambria Math" w:eastAsia="宋体" w:cs="Times New Roman"/>
                </w:rPr>
                <m:t>Q</m:t>
              </m:r>
              <m:ctrlPr>
                <w:rPr>
                  <w:rFonts w:hint="default" w:ascii="Cambria Math" w:hAnsi="Cambria Math" w:eastAsia="宋体" w:cs="Times New Roman"/>
                  <w:i/>
                </w:rPr>
              </m:ctrlPr>
            </m:e>
            <m:sub>
              <m:r>
                <m:rPr/>
                <w:rPr>
                  <w:rFonts w:hint="default" w:ascii="Cambria Math" w:hAnsi="Cambria Math" w:eastAsia="宋体" w:cs="Times New Roman"/>
                </w:rPr>
                <m:t>L</m:t>
              </m:r>
              <m:ctrlPr>
                <w:rPr>
                  <w:rFonts w:hint="default" w:ascii="Cambria Math" w:hAnsi="Cambria Math" w:eastAsia="宋体" w:cs="Times New Roman"/>
                  <w:i/>
                </w:rPr>
              </m:ctrlPr>
            </m:sub>
          </m:sSub>
          <m:r>
            <m:rPr/>
            <w:rPr>
              <w:rFonts w:hint="default" w:ascii="Cambria Math" w:hAnsi="Cambria Math" w:eastAsia="宋体" w:cs="Times New Roman"/>
            </w:rPr>
            <m:t>=</m:t>
          </m:r>
          <m:sSub>
            <m:sSubPr>
              <m:ctrlPr>
                <w:rPr>
                  <w:rFonts w:hint="default" w:ascii="Cambria Math" w:hAnsi="Cambria Math" w:eastAsia="宋体" w:cs="Times New Roman"/>
                  <w:i/>
                </w:rPr>
              </m:ctrlPr>
            </m:sSubPr>
            <m:e>
              <m:r>
                <m:rPr/>
                <w:rPr>
                  <w:rFonts w:hint="default" w:ascii="Cambria Math" w:hAnsi="Cambria Math" w:eastAsia="宋体" w:cs="Times New Roman"/>
                </w:rPr>
                <m:t>C</m:t>
              </m:r>
              <m:ctrlPr>
                <w:rPr>
                  <w:rFonts w:hint="default" w:ascii="Cambria Math" w:hAnsi="Cambria Math" w:eastAsia="宋体" w:cs="Times New Roman"/>
                  <w:i/>
                </w:rPr>
              </m:ctrlPr>
            </m:e>
            <m:sub>
              <m:r>
                <m:rPr/>
                <w:rPr>
                  <w:rFonts w:hint="default" w:ascii="Cambria Math" w:hAnsi="Cambria Math" w:eastAsia="宋体" w:cs="Times New Roman"/>
                </w:rPr>
                <m:t>d</m:t>
              </m:r>
              <m:ctrlPr>
                <w:rPr>
                  <w:rFonts w:hint="default" w:ascii="Cambria Math" w:hAnsi="Cambria Math" w:eastAsia="宋体" w:cs="Times New Roman"/>
                  <w:i/>
                </w:rPr>
              </m:ctrlPr>
            </m:sub>
          </m:sSub>
          <m:r>
            <m:rPr/>
            <w:rPr>
              <w:rFonts w:hint="default" w:ascii="Cambria Math" w:hAnsi="Cambria Math" w:eastAsia="宋体" w:cs="Times New Roman"/>
            </w:rPr>
            <m:t>Aρ</m:t>
          </m:r>
          <m:rad>
            <m:radPr>
              <m:degHide m:val="1"/>
              <m:ctrlPr>
                <w:rPr>
                  <w:rFonts w:hint="default" w:ascii="Cambria Math" w:hAnsi="Cambria Math" w:eastAsia="宋体" w:cs="Times New Roman"/>
                  <w:i/>
                </w:rPr>
              </m:ctrlPr>
            </m:radPr>
            <m:deg>
              <m:ctrlPr>
                <w:rPr>
                  <w:rFonts w:hint="default" w:ascii="Cambria Math" w:hAnsi="Cambria Math" w:eastAsia="宋体" w:cs="Times New Roman"/>
                  <w:i/>
                </w:rPr>
              </m:ctrlPr>
            </m:deg>
            <m:e>
              <m:f>
                <m:fPr>
                  <m:ctrlPr>
                    <w:rPr>
                      <w:rFonts w:hint="default" w:ascii="Cambria Math" w:hAnsi="Cambria Math" w:eastAsia="宋体" w:cs="Times New Roman"/>
                      <w:i/>
                    </w:rPr>
                  </m:ctrlPr>
                </m:fPr>
                <m:num>
                  <m:r>
                    <m:rPr/>
                    <w:rPr>
                      <w:rFonts w:hint="default" w:ascii="Cambria Math" w:hAnsi="Cambria Math" w:eastAsia="宋体" w:cs="Times New Roman"/>
                    </w:rPr>
                    <m:t>2(P−</m:t>
                  </m:r>
                  <m:sSub>
                    <m:sSubPr>
                      <m:ctrlPr>
                        <w:rPr>
                          <w:rFonts w:hint="default" w:ascii="Cambria Math" w:hAnsi="Cambria Math" w:eastAsia="宋体" w:cs="Times New Roman"/>
                          <w:i/>
                        </w:rPr>
                      </m:ctrlPr>
                    </m:sSubPr>
                    <m:e>
                      <m:r>
                        <m:rPr/>
                        <w:rPr>
                          <w:rFonts w:hint="default" w:ascii="Cambria Math" w:hAnsi="Cambria Math" w:eastAsia="宋体" w:cs="Times New Roman"/>
                        </w:rPr>
                        <m:t>P</m:t>
                      </m:r>
                      <m:ctrlPr>
                        <w:rPr>
                          <w:rFonts w:hint="default" w:ascii="Cambria Math" w:hAnsi="Cambria Math" w:eastAsia="宋体" w:cs="Times New Roman"/>
                          <w:i/>
                        </w:rPr>
                      </m:ctrlPr>
                    </m:e>
                    <m:sub>
                      <m:r>
                        <m:rPr/>
                        <w:rPr>
                          <w:rFonts w:hint="default" w:ascii="Cambria Math" w:hAnsi="Cambria Math" w:eastAsia="宋体" w:cs="Times New Roman"/>
                        </w:rPr>
                        <m:t>0</m:t>
                      </m:r>
                      <m:ctrlPr>
                        <w:rPr>
                          <w:rFonts w:hint="default" w:ascii="Cambria Math" w:hAnsi="Cambria Math" w:eastAsia="宋体" w:cs="Times New Roman"/>
                          <w:i/>
                        </w:rPr>
                      </m:ctrlPr>
                    </m:sub>
                  </m:sSub>
                  <m:r>
                    <m:rPr/>
                    <w:rPr>
                      <w:rFonts w:hint="default" w:ascii="Cambria Math" w:hAnsi="Cambria Math" w:eastAsia="宋体" w:cs="Times New Roman"/>
                    </w:rPr>
                    <m:t>)</m:t>
                  </m:r>
                  <m:ctrlPr>
                    <w:rPr>
                      <w:rFonts w:hint="default" w:ascii="Cambria Math" w:hAnsi="Cambria Math" w:eastAsia="宋体" w:cs="Times New Roman"/>
                      <w:i/>
                    </w:rPr>
                  </m:ctrlPr>
                </m:num>
                <m:den>
                  <m:r>
                    <m:rPr/>
                    <w:rPr>
                      <w:rFonts w:hint="default" w:ascii="Cambria Math" w:hAnsi="Cambria Math" w:eastAsia="宋体" w:cs="Times New Roman"/>
                    </w:rPr>
                    <m:t>ρ</m:t>
                  </m:r>
                  <m:ctrlPr>
                    <w:rPr>
                      <w:rFonts w:hint="default" w:ascii="Cambria Math" w:hAnsi="Cambria Math" w:eastAsia="宋体" w:cs="Times New Roman"/>
                      <w:i/>
                    </w:rPr>
                  </m:ctrlPr>
                </m:den>
              </m:f>
              <m:r>
                <m:rPr/>
                <w:rPr>
                  <w:rFonts w:hint="default" w:ascii="Cambria Math" w:hAnsi="Cambria Math" w:eastAsia="宋体" w:cs="Times New Roman"/>
                </w:rPr>
                <m:t>+2gℎ</m:t>
              </m:r>
              <m:ctrlPr>
                <w:rPr>
                  <w:rFonts w:hint="default" w:ascii="Cambria Math" w:hAnsi="Cambria Math" w:eastAsia="宋体" w:cs="Times New Roman"/>
                  <w:i/>
                </w:rPr>
              </m:ctrlPr>
            </m:e>
          </m:rad>
        </m:oMath>
      </m:oMathPara>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4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 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ascii="Times New Roman" w:hAnsi="Times New Roman" w:eastAsia="宋体" w:cs="Times New Roman"/>
          <w:lang w:val="en-US" w:eastAsia="zh-CN"/>
        </w:rPr>
        <w:t>润滑油</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4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 kg/s。</w:t>
      </w:r>
    </w:p>
    <w:p>
      <w:pPr>
        <w:adjustRightInd w:val="0"/>
        <w:snapToGrid w:val="0"/>
        <w:spacing w:before="0" w:line="500" w:lineRule="exact"/>
        <w:ind w:left="0" w:leftChars="0" w:right="0" w:firstLine="480" w:firstLineChars="200"/>
        <w:jc w:val="both"/>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水性</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漆发生泄漏，现场工作人员发现后，立即堵住泄漏口，泄漏速率为0.168kg/s。</w:t>
      </w:r>
    </w:p>
    <w:p>
      <w:pPr>
        <w:pStyle w:val="6"/>
        <w:keepNext/>
        <w:keepLines/>
        <w:pageBreakBefore w:val="0"/>
        <w:widowControl w:val="0"/>
        <w:kinsoku/>
        <w:wordWrap/>
        <w:overflowPunct/>
        <w:topLinePunct w:val="0"/>
        <w:autoSpaceDE/>
        <w:autoSpaceDN/>
        <w:bidi w:val="0"/>
        <w:adjustRightInd w:val="0"/>
        <w:snapToGrid w:val="0"/>
        <w:spacing w:before="0" w:after="0" w:line="500" w:lineRule="exact"/>
        <w:ind w:firstLine="0" w:firstLineChars="0"/>
        <w:jc w:val="left"/>
        <w:textAlignment w:val="auto"/>
        <w:outlineLvl w:val="3"/>
        <w:rPr>
          <w:rFonts w:hint="default" w:ascii="Times New Roman" w:hAnsi="Times New Roman" w:eastAsia="宋体"/>
          <w:color w:val="000000" w:themeColor="text1"/>
          <w:sz w:val="24"/>
          <w:szCs w:val="32"/>
          <w14:textFill>
            <w14:solidFill>
              <w14:schemeClr w14:val="tx1"/>
            </w14:solidFill>
          </w14:textFill>
        </w:rPr>
      </w:pPr>
      <w:r>
        <w:rPr>
          <w:rFonts w:hint="default" w:ascii="Times New Roman" w:hAnsi="Times New Roman" w:eastAsia="宋体"/>
          <w:color w:val="000000" w:themeColor="text1"/>
          <w:sz w:val="24"/>
          <w:szCs w:val="32"/>
          <w14:textFill>
            <w14:solidFill>
              <w14:schemeClr w14:val="tx1"/>
            </w14:solidFill>
          </w14:textFill>
        </w:rPr>
        <w:t>4.4.</w:t>
      </w:r>
      <w:r>
        <w:rPr>
          <w:rFonts w:hint="default" w:ascii="Times New Roman" w:hAnsi="Times New Roman" w:eastAsia="宋体"/>
          <w:color w:val="000000" w:themeColor="text1"/>
          <w:sz w:val="24"/>
          <w:szCs w:val="32"/>
          <w:lang w:val="en-US" w:eastAsia="zh-CN"/>
          <w14:textFill>
            <w14:solidFill>
              <w14:schemeClr w14:val="tx1"/>
            </w14:solidFill>
          </w14:textFill>
        </w:rPr>
        <w:t>2.2消防废水污染水环境事件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17</w:t>
      </w:r>
      <w:r>
        <w:rPr>
          <w:rFonts w:hint="default" w:ascii="Times New Roman" w:hAnsi="Times New Roman" w:eastAsia="宋体" w:cs="Times New Roman"/>
          <w:color w:val="000000" w:themeColor="text1"/>
          <w:highlight w:val="none"/>
          <w14:textFill>
            <w14:solidFill>
              <w14:schemeClr w14:val="tx1"/>
            </w14:solidFill>
          </w14:textFill>
        </w:rPr>
        <w:t>mg/L，水深3~4米，枯水期流速平均约为0.06m/s，枯水期流量约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6</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爱民三号河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爱民三号河</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54</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 xml:space="preserve"> 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5408;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17.00</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18.14</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17</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42" w:name="_Toc8859"/>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40"/>
      <w:r>
        <w:rPr>
          <w:rFonts w:hint="eastAsia" w:eastAsia="宋体" w:cs="Times New Roman"/>
          <w:color w:val="000000" w:themeColor="text1"/>
          <w:lang w:val="en-US" w:eastAsia="zh-CN"/>
          <w14:textFill>
            <w14:solidFill>
              <w14:schemeClr w14:val="tx1"/>
            </w14:solidFill>
          </w14:textFill>
        </w:rPr>
        <w:t>4、5</w:t>
      </w:r>
      <w:bookmarkEnd w:id="14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8</w:t>
      </w:r>
      <w:r>
        <w:rPr>
          <w:rFonts w:hint="eastAsia" w:ascii="宋体" w:hAnsi="宋体" w:eastAsia="宋体" w:cs="宋体"/>
          <w:b/>
          <w:color w:val="000000" w:themeColor="text1"/>
          <w:highlight w:val="none"/>
          <w14:textFill>
            <w14:solidFill>
              <w14:schemeClr w14:val="tx1"/>
            </w14:solidFill>
          </w14:textFill>
        </w:rPr>
        <w:t xml:space="preserve"> 有组织污染源参</w:t>
      </w:r>
      <w:r>
        <w:rPr>
          <w:rFonts w:hint="eastAsia" w:ascii="宋体" w:hAnsi="宋体" w:eastAsia="宋体" w:cs="宋体"/>
          <w:b/>
          <w:color w:val="000000" w:themeColor="text1"/>
          <w14:textFill>
            <w14:solidFill>
              <w14:schemeClr w14:val="tx1"/>
            </w14:solidFill>
          </w14:textFill>
        </w:rPr>
        <w:t>数</w:t>
      </w:r>
    </w:p>
    <w:tbl>
      <w:tblPr>
        <w:tblStyle w:val="37"/>
        <w:tblW w:w="509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97"/>
        <w:gridCol w:w="1012"/>
        <w:gridCol w:w="1087"/>
        <w:gridCol w:w="1292"/>
        <w:gridCol w:w="1061"/>
        <w:gridCol w:w="1001"/>
        <w:gridCol w:w="1425"/>
        <w:gridCol w:w="14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8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tcBorders>
              <w:tl2br w:val="nil"/>
              <w:tr2bl w:val="nil"/>
            </w:tcBorders>
            <w:vAlign w:val="center"/>
          </w:tcPr>
          <w:p>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tcBorders>
              <w:tl2br w:val="nil"/>
              <w:tr2bl w:val="nil"/>
            </w:tcBorders>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20000</w:t>
            </w:r>
          </w:p>
        </w:tc>
        <w:tc>
          <w:tcPr>
            <w:tcW w:w="542" w:type="pct"/>
            <w:tcBorders>
              <w:tl2br w:val="nil"/>
              <w:tr2bl w:val="nil"/>
            </w:tcBorders>
            <w:vAlign w:val="center"/>
          </w:tcPr>
          <w:p>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785" w:type="pct"/>
            <w:tcBorders>
              <w:tl2br w:val="nil"/>
              <w:tr2bl w:val="nil"/>
            </w:tcBorders>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4.405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vMerge w:val="restar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kern w:val="2"/>
                <w:sz w:val="21"/>
                <w:szCs w:val="21"/>
                <w:lang w:val="en-US" w:eastAsia="zh-CN" w:bidi="ar-SA"/>
              </w:rPr>
              <w:t>2#排气筒</w:t>
            </w:r>
          </w:p>
        </w:tc>
        <w:tc>
          <w:tcPr>
            <w:tcW w:w="54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vMerge w:val="restar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0.8</w:t>
            </w:r>
          </w:p>
        </w:tc>
        <w:tc>
          <w:tcPr>
            <w:tcW w:w="575" w:type="pct"/>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25000</w:t>
            </w:r>
          </w:p>
        </w:tc>
        <w:tc>
          <w:tcPr>
            <w:tcW w:w="542" w:type="pct"/>
            <w:vMerge w:val="restart"/>
            <w:tcBorders>
              <w:tl2br w:val="nil"/>
              <w:tr2bl w:val="nil"/>
            </w:tcBorders>
            <w:vAlign w:val="center"/>
          </w:tcPr>
          <w:p>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785" w:type="pct"/>
            <w:tcBorders>
              <w:tl2br w:val="nil"/>
              <w:tr2bl w:val="nil"/>
            </w:tcBorders>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3.9885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vMerge w:val="continue"/>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p>
        </w:tc>
        <w:tc>
          <w:tcPr>
            <w:tcW w:w="54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89" w:type="pct"/>
            <w:vMerge w:val="continue"/>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p>
        </w:tc>
        <w:tc>
          <w:tcPr>
            <w:tcW w:w="700" w:type="pct"/>
            <w:vMerge w:val="continue"/>
            <w:tcBorders>
              <w:tl2br w:val="nil"/>
              <w:tr2bl w:val="nil"/>
            </w:tcBorders>
            <w:vAlign w:val="center"/>
          </w:tcPr>
          <w:p>
            <w:pPr>
              <w:adjustRightInd w:val="0"/>
              <w:snapToGrid w:val="0"/>
              <w:jc w:val="center"/>
              <w:rPr>
                <w:rFonts w:hint="default"/>
                <w:color w:val="000000"/>
                <w:sz w:val="21"/>
                <w:szCs w:val="21"/>
                <w:lang w:val="en-US" w:eastAsia="zh-CN"/>
              </w:rPr>
            </w:pPr>
          </w:p>
        </w:tc>
        <w:tc>
          <w:tcPr>
            <w:tcW w:w="575" w:type="pct"/>
            <w:vMerge w:val="continue"/>
            <w:tcBorders>
              <w:tl2br w:val="nil"/>
              <w:tr2bl w:val="nil"/>
            </w:tcBorders>
            <w:vAlign w:val="center"/>
          </w:tcPr>
          <w:p>
            <w:pPr>
              <w:adjustRightInd w:val="0"/>
              <w:snapToGrid w:val="0"/>
              <w:jc w:val="center"/>
              <w:rPr>
                <w:rFonts w:hint="eastAsia" w:ascii="Times New Roman" w:hAnsi="Times New Roman" w:eastAsia="仿宋_GB2312" w:cs="Times New Roman"/>
                <w:color w:val="000000"/>
                <w:kern w:val="2"/>
                <w:sz w:val="21"/>
                <w:szCs w:val="21"/>
                <w:lang w:val="en-US" w:eastAsia="zh-CN" w:bidi="ar-SA"/>
              </w:rPr>
            </w:pPr>
          </w:p>
        </w:tc>
        <w:tc>
          <w:tcPr>
            <w:tcW w:w="542" w:type="pct"/>
            <w:vMerge w:val="continue"/>
            <w:tcBorders>
              <w:tl2br w:val="nil"/>
              <w:tr2bl w:val="nil"/>
            </w:tcBorders>
            <w:vAlign w:val="center"/>
          </w:tcPr>
          <w:p>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p>
        </w:tc>
        <w:tc>
          <w:tcPr>
            <w:tcW w:w="772" w:type="pct"/>
            <w:tcBorders>
              <w:tl2br w:val="nil"/>
              <w:tr2bl w:val="nil"/>
            </w:tcBorders>
            <w:vAlign w:val="center"/>
          </w:tcPr>
          <w:p>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85" w:type="pc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0.9557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vMerge w:val="restart"/>
            <w:tcBorders>
              <w:tl2br w:val="nil"/>
              <w:tr2bl w:val="nil"/>
            </w:tcBorders>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sz w:val="21"/>
                <w:szCs w:val="21"/>
                <w:lang w:val="en-US" w:eastAsia="zh-CN"/>
              </w:rPr>
              <w:t>3#排气筒</w:t>
            </w:r>
          </w:p>
        </w:tc>
        <w:tc>
          <w:tcPr>
            <w:tcW w:w="548"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vMerge w:val="restar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pPr>
              <w:adjustRightInd w:val="0"/>
              <w:snapToGrid w:val="0"/>
              <w:jc w:val="center"/>
              <w:rPr>
                <w:rFonts w:hint="eastAsia"/>
                <w:color w:val="000000"/>
                <w:sz w:val="21"/>
                <w:szCs w:val="21"/>
                <w:lang w:val="en-US" w:eastAsia="zh-CN"/>
              </w:rPr>
            </w:pPr>
            <w:r>
              <w:rPr>
                <w:rFonts w:hint="eastAsia"/>
                <w:color w:val="000000"/>
                <w:sz w:val="21"/>
                <w:szCs w:val="21"/>
                <w:lang w:val="en-US" w:eastAsia="zh-CN"/>
              </w:rPr>
              <w:t>0.8</w:t>
            </w:r>
          </w:p>
        </w:tc>
        <w:tc>
          <w:tcPr>
            <w:tcW w:w="575" w:type="pct"/>
            <w:vMerge w:val="restart"/>
            <w:tcBorders>
              <w:tl2br w:val="nil"/>
              <w:tr2bl w:val="nil"/>
            </w:tcBorders>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28071</w:t>
            </w:r>
          </w:p>
        </w:tc>
        <w:tc>
          <w:tcPr>
            <w:tcW w:w="542" w:type="pct"/>
            <w:vMerge w:val="restart"/>
            <w:tcBorders>
              <w:tl2br w:val="nil"/>
              <w:tr2bl w:val="nil"/>
            </w:tcBorders>
            <w:vAlign w:val="center"/>
          </w:tcPr>
          <w:p>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785" w:type="pct"/>
            <w:tcBorders>
              <w:tl2br w:val="nil"/>
              <w:tr2bl w:val="nil"/>
            </w:tcBorders>
            <w:vAlign w:val="center"/>
          </w:tcPr>
          <w:p>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2.3815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vMerge w:val="continue"/>
            <w:tcBorders>
              <w:tl2br w:val="nil"/>
              <w:tr2bl w:val="nil"/>
            </w:tcBorders>
            <w:vAlign w:val="center"/>
          </w:tcPr>
          <w:p>
            <w:pPr>
              <w:adjustRightInd w:val="0"/>
              <w:snapToGrid w:val="0"/>
              <w:jc w:val="center"/>
              <w:rPr>
                <w:rFonts w:hint="eastAsia" w:eastAsia="宋体" w:cs="Times New Roman"/>
                <w:color w:val="000000"/>
                <w:sz w:val="21"/>
                <w:szCs w:val="21"/>
                <w:lang w:val="en-US" w:eastAsia="zh-CN"/>
              </w:rPr>
            </w:pPr>
          </w:p>
        </w:tc>
        <w:tc>
          <w:tcPr>
            <w:tcW w:w="54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89" w:type="pct"/>
            <w:vMerge w:val="continue"/>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p>
        </w:tc>
        <w:tc>
          <w:tcPr>
            <w:tcW w:w="700" w:type="pct"/>
            <w:vMerge w:val="continue"/>
            <w:tcBorders>
              <w:tl2br w:val="nil"/>
              <w:tr2bl w:val="nil"/>
            </w:tcBorders>
            <w:vAlign w:val="center"/>
          </w:tcPr>
          <w:p>
            <w:pPr>
              <w:adjustRightInd w:val="0"/>
              <w:snapToGrid w:val="0"/>
              <w:jc w:val="center"/>
              <w:rPr>
                <w:rFonts w:hint="eastAsia"/>
                <w:color w:val="000000"/>
                <w:sz w:val="21"/>
                <w:szCs w:val="21"/>
                <w:lang w:val="en-US" w:eastAsia="zh-CN"/>
              </w:rPr>
            </w:pPr>
          </w:p>
        </w:tc>
        <w:tc>
          <w:tcPr>
            <w:tcW w:w="575" w:type="pct"/>
            <w:vMerge w:val="continue"/>
            <w:tcBorders>
              <w:tl2br w:val="nil"/>
              <w:tr2bl w:val="nil"/>
            </w:tcBorders>
            <w:vAlign w:val="center"/>
          </w:tcPr>
          <w:p>
            <w:pPr>
              <w:adjustRightInd w:val="0"/>
              <w:snapToGrid w:val="0"/>
              <w:jc w:val="center"/>
              <w:rPr>
                <w:rFonts w:hint="default"/>
                <w:color w:val="000000"/>
                <w:sz w:val="21"/>
                <w:szCs w:val="21"/>
                <w:lang w:val="en-US" w:eastAsia="zh-CN"/>
              </w:rPr>
            </w:pPr>
          </w:p>
        </w:tc>
        <w:tc>
          <w:tcPr>
            <w:tcW w:w="542" w:type="pct"/>
            <w:vMerge w:val="continue"/>
            <w:tcBorders>
              <w:tl2br w:val="nil"/>
              <w:tr2bl w:val="nil"/>
            </w:tcBorders>
            <w:vAlign w:val="center"/>
          </w:tcPr>
          <w:p>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772" w:type="pct"/>
            <w:tcBorders>
              <w:tl2br w:val="nil"/>
              <w:tr2bl w:val="nil"/>
            </w:tcBorders>
            <w:vAlign w:val="center"/>
          </w:tcPr>
          <w:p>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85" w:type="pc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0.8649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6" w:type="pct"/>
            <w:tcBorders>
              <w:tl2br w:val="nil"/>
              <w:tr2bl w:val="nil"/>
            </w:tcBorders>
            <w:vAlign w:val="center"/>
          </w:tcPr>
          <w:p>
            <w:pPr>
              <w:pStyle w:val="140"/>
              <w:adjustRightInd w:val="0"/>
              <w:snapToGrid w:val="0"/>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color w:val="000000"/>
                <w:sz w:val="21"/>
                <w:szCs w:val="21"/>
                <w:lang w:val="en-US" w:eastAsia="zh-CN"/>
              </w:rPr>
              <w:t>4#排气筒</w:t>
            </w:r>
          </w:p>
        </w:tc>
        <w:tc>
          <w:tcPr>
            <w:tcW w:w="54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0.5</w:t>
            </w:r>
          </w:p>
        </w:tc>
        <w:tc>
          <w:tcPr>
            <w:tcW w:w="575" w:type="pct"/>
            <w:tcBorders>
              <w:tl2br w:val="nil"/>
              <w:tr2bl w:val="nil"/>
            </w:tcBorders>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tl2br w:val="nil"/>
              <w:tr2bl w:val="nil"/>
            </w:tcBorders>
            <w:vAlign w:val="center"/>
          </w:tcPr>
          <w:p>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785" w:type="pct"/>
            <w:tcBorders>
              <w:tl2br w:val="nil"/>
              <w:tr2bl w:val="nil"/>
            </w:tcBorders>
            <w:vAlign w:val="center"/>
          </w:tcPr>
          <w:p>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0.1048</w:t>
            </w:r>
          </w:p>
        </w:tc>
      </w:tr>
    </w:tbl>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tbl>
      <w:tblPr>
        <w:tblStyle w:val="37"/>
        <w:tblpPr w:leftFromText="180" w:rightFromText="180" w:vertAnchor="text" w:horzAnchor="page" w:tblpX="1562" w:tblpY="301"/>
        <w:tblOverlap w:val="never"/>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593"/>
        <w:gridCol w:w="1493"/>
        <w:gridCol w:w="2914"/>
        <w:gridCol w:w="1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913" w:type="pct"/>
            <w:tcBorders>
              <w:tl2br w:val="nil"/>
              <w:tr2bl w:val="nil"/>
            </w:tcBorders>
            <w:vAlign w:val="center"/>
          </w:tcPr>
          <w:p>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862" w:type="pct"/>
            <w:tcBorders>
              <w:tl2br w:val="nil"/>
              <w:tr2bl w:val="nil"/>
            </w:tcBorders>
            <w:vAlign w:val="center"/>
          </w:tcPr>
          <w:p>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808" w:type="pct"/>
            <w:tcBorders>
              <w:tl2br w:val="nil"/>
              <w:tr2bl w:val="nil"/>
            </w:tcBorders>
            <w:vAlign w:val="center"/>
          </w:tcPr>
          <w:p>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577" w:type="pct"/>
            <w:tcBorders>
              <w:tl2br w:val="nil"/>
              <w:tr2bl w:val="nil"/>
            </w:tcBorders>
            <w:vAlign w:val="center"/>
          </w:tcPr>
          <w:p>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38" w:type="pct"/>
            <w:tcBorders>
              <w:tl2br w:val="nil"/>
              <w:tr2bl w:val="nil"/>
            </w:tcBorders>
            <w:vAlign w:val="center"/>
          </w:tcPr>
          <w:p>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3" w:type="pct"/>
            <w:tcBorders>
              <w:tl2br w:val="nil"/>
              <w:tr2bl w:val="nil"/>
            </w:tcBorders>
            <w:vAlign w:val="center"/>
          </w:tcPr>
          <w:p>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862"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129</w:t>
            </w:r>
          </w:p>
        </w:tc>
        <w:tc>
          <w:tcPr>
            <w:tcW w:w="808"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577"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0.20493</w:t>
            </w:r>
          </w:p>
        </w:tc>
        <w:tc>
          <w:tcPr>
            <w:tcW w:w="838"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3" w:type="pct"/>
            <w:vMerge w:val="restar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kern w:val="2"/>
                <w:sz w:val="21"/>
                <w:szCs w:val="21"/>
                <w:lang w:val="en-US" w:eastAsia="zh-CN" w:bidi="ar-SA"/>
              </w:rPr>
              <w:t>2#排气筒</w:t>
            </w:r>
          </w:p>
        </w:tc>
        <w:tc>
          <w:tcPr>
            <w:tcW w:w="862" w:type="pct"/>
            <w:vMerge w:val="restar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130</w:t>
            </w:r>
          </w:p>
        </w:tc>
        <w:tc>
          <w:tcPr>
            <w:tcW w:w="80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57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0.18304</w:t>
            </w:r>
          </w:p>
        </w:tc>
        <w:tc>
          <w:tcPr>
            <w:tcW w:w="838"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3" w:type="pct"/>
            <w:vMerge w:val="continue"/>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p>
        </w:tc>
        <w:tc>
          <w:tcPr>
            <w:tcW w:w="862" w:type="pct"/>
            <w:vMerge w:val="continue"/>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p>
        </w:tc>
        <w:tc>
          <w:tcPr>
            <w:tcW w:w="80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57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0.04386</w:t>
            </w:r>
          </w:p>
        </w:tc>
        <w:tc>
          <w:tcPr>
            <w:tcW w:w="838"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3" w:type="pct"/>
            <w:vMerge w:val="restart"/>
            <w:tcBorders>
              <w:tl2br w:val="nil"/>
              <w:tr2bl w:val="nil"/>
            </w:tcBorders>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sz w:val="21"/>
                <w:szCs w:val="21"/>
                <w:lang w:val="en-US" w:eastAsia="zh-CN"/>
              </w:rPr>
              <w:t>3#排气筒</w:t>
            </w:r>
          </w:p>
        </w:tc>
        <w:tc>
          <w:tcPr>
            <w:tcW w:w="862" w:type="pct"/>
            <w:vMerge w:val="restar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130</w:t>
            </w:r>
          </w:p>
        </w:tc>
        <w:tc>
          <w:tcPr>
            <w:tcW w:w="80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57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0.10871</w:t>
            </w:r>
          </w:p>
        </w:tc>
        <w:tc>
          <w:tcPr>
            <w:tcW w:w="838"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3" w:type="pct"/>
            <w:vMerge w:val="continue"/>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p>
        </w:tc>
        <w:tc>
          <w:tcPr>
            <w:tcW w:w="862" w:type="pct"/>
            <w:vMerge w:val="continue"/>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p>
        </w:tc>
        <w:tc>
          <w:tcPr>
            <w:tcW w:w="80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57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0.03948</w:t>
            </w:r>
          </w:p>
        </w:tc>
        <w:tc>
          <w:tcPr>
            <w:tcW w:w="838"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3" w:type="pct"/>
            <w:tcBorders>
              <w:tl2br w:val="nil"/>
              <w:tr2bl w:val="nil"/>
            </w:tcBorders>
            <w:vAlign w:val="center"/>
          </w:tcPr>
          <w:p>
            <w:pPr>
              <w:pStyle w:val="140"/>
              <w:adjustRightInd w:val="0"/>
              <w:snapToGrid w:val="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000000"/>
                <w:sz w:val="21"/>
                <w:szCs w:val="21"/>
                <w:lang w:val="en-US" w:eastAsia="zh-CN"/>
              </w:rPr>
              <w:t>4#排气筒</w:t>
            </w:r>
          </w:p>
        </w:tc>
        <w:tc>
          <w:tcPr>
            <w:tcW w:w="862" w:type="pct"/>
            <w:tcBorders>
              <w:tl2br w:val="nil"/>
              <w:tr2bl w:val="nil"/>
            </w:tcBorders>
            <w:vAlign w:val="center"/>
          </w:tcPr>
          <w:p>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118</w:t>
            </w:r>
          </w:p>
        </w:tc>
        <w:tc>
          <w:tcPr>
            <w:tcW w:w="808" w:type="pct"/>
            <w:tcBorders>
              <w:tl2br w:val="nil"/>
              <w:tr2bl w:val="nil"/>
            </w:tcBorders>
            <w:vAlign w:val="center"/>
          </w:tcPr>
          <w:p>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57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0.0054</w:t>
            </w:r>
          </w:p>
        </w:tc>
        <w:tc>
          <w:tcPr>
            <w:tcW w:w="838"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0.60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129</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0.20493</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bidi w:val="0"/>
        <w:rPr>
          <w:rFonts w:hint="eastAsia"/>
        </w:rPr>
      </w:pPr>
    </w:p>
    <w:p>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bookmarkStart w:id="143" w:name="OLE_LINK2"/>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pPr>
        <w:pStyle w:val="12"/>
        <w:adjustRightInd w:val="0"/>
        <w:snapToGrid w:val="0"/>
        <w:spacing w:line="500" w:lineRule="exact"/>
        <w:ind w:firstLine="480" w:firstLineChars="200"/>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130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0.18304</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挥发性有机物出现了最大落地浓度0.04386</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3</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pPr>
        <w:pStyle w:val="12"/>
        <w:adjustRightInd w:val="0"/>
        <w:snapToGrid w:val="0"/>
        <w:spacing w:line="500" w:lineRule="exact"/>
        <w:ind w:firstLine="480" w:firstLineChars="200"/>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3#排气筒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130</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0.20493</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挥发性有机物出现了最大落地浓度0.03948</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4</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4#排气筒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118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0.0054</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ascii="Times New Roman" w:hAnsi="Times New Roman" w:eastAsia="宋体" w:cs="Times New Roman"/>
          <w:b/>
          <w:color w:val="000000" w:themeColor="text1"/>
          <w14:textFill>
            <w14:solidFill>
              <w14:schemeClr w14:val="tx1"/>
            </w14:solidFill>
          </w14:textFill>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43"/>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4" w:name="_Toc32454"/>
      <w:bookmarkStart w:id="145" w:name="_Toc30419"/>
      <w:r>
        <w:rPr>
          <w:rFonts w:hint="eastAsia" w:ascii="Times New Roman" w:hAnsi="Times New Roman" w:eastAsia="宋体" w:cs="Times New Roman"/>
          <w:sz w:val="24"/>
          <w:szCs w:val="24"/>
        </w:rPr>
        <w:t>5 现有环境风险防控和应急措施差距分析</w:t>
      </w:r>
      <w:bookmarkEnd w:id="110"/>
      <w:bookmarkEnd w:id="144"/>
      <w:bookmarkEnd w:id="145"/>
    </w:p>
    <w:p>
      <w:pPr>
        <w:adjustRightInd w:val="0"/>
        <w:snapToGrid w:val="0"/>
        <w:spacing w:line="500" w:lineRule="exact"/>
        <w:ind w:firstLine="480" w:firstLineChars="200"/>
        <w:rPr>
          <w:rFonts w:ascii="宋体" w:hAnsi="宋体" w:eastAsia="宋体" w:cs="宋体"/>
        </w:rPr>
      </w:pPr>
      <w:bookmarkStart w:id="146"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7" w:name="_Toc27239"/>
      <w:bookmarkStart w:id="148" w:name="_Toc2496"/>
      <w:bookmarkStart w:id="149"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47"/>
      <w:bookmarkEnd w:id="148"/>
      <w:bookmarkEnd w:id="1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50"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 xml:space="preserve">表5-3 </w:t>
      </w:r>
      <w:r>
        <w:rPr>
          <w:rFonts w:hint="default" w:ascii="Times New Roman" w:hAnsi="Times New Roman" w:eastAsia="宋体" w:cs="Times New Roman"/>
          <w:b/>
          <w:highlight w:val="none"/>
        </w:rPr>
        <w:t>环境</w:t>
      </w:r>
      <w:r>
        <w:rPr>
          <w:rFonts w:hint="default" w:ascii="Times New Roman" w:hAnsi="Times New Roman" w:eastAsia="宋体" w:cs="Times New Roman"/>
          <w:b/>
          <w:highlight w:val="none"/>
        </w:rPr>
        <w:t>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油漆仓库、原料仓库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主管</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郑诗伟</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主管</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郑诗伟</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主管</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何建立</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bookmarkStart w:id="151" w:name="_Toc496887136"/>
            <w:bookmarkStart w:id="152" w:name="_Toc402776218"/>
            <w:bookmarkStart w:id="153" w:name="_Toc510092964"/>
            <w:bookmarkStart w:id="154" w:name="_Toc4920"/>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主管</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何建立</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徐荣林</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5" w:name="_Toc24558"/>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51"/>
      <w:bookmarkEnd w:id="152"/>
      <w:bookmarkEnd w:id="153"/>
      <w:bookmarkEnd w:id="154"/>
      <w:bookmarkEnd w:id="155"/>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112.5m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6" w:name="_Toc24990"/>
      <w:bookmarkStart w:id="157" w:name="_Toc14196"/>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56"/>
      <w:bookmarkEnd w:id="1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宜美爱家具（海安）有限公司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46"/>
      <w:bookmarkEnd w:id="150"/>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8" w:name="_Toc19935"/>
      <w:bookmarkStart w:id="159" w:name="_Toc14351"/>
      <w:bookmarkStart w:id="160" w:name="_Toc510092966"/>
      <w:bookmarkStart w:id="161" w:name="_Toc496887138"/>
      <w:bookmarkStart w:id="162" w:name="_Toc402776220"/>
      <w:bookmarkStart w:id="163" w:name="_Toc402776225"/>
      <w:bookmarkStart w:id="164" w:name="_Toc353379551"/>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58"/>
      <w:bookmarkEnd w:id="159"/>
      <w:bookmarkEnd w:id="160"/>
      <w:bookmarkEnd w:id="161"/>
      <w:bookmarkEnd w:id="1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5" w:name="_Toc496887139"/>
      <w:bookmarkStart w:id="166" w:name="_Toc29208"/>
      <w:bookmarkStart w:id="167" w:name="_Toc510092967"/>
      <w:bookmarkStart w:id="168" w:name="_Toc23361"/>
      <w:bookmarkStart w:id="169" w:name="_Toc402776221"/>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 xml:space="preserve">表5-6 </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雨水排口无监控</w:t>
            </w:r>
          </w:p>
        </w:tc>
        <w:tc>
          <w:tcPr>
            <w:tcW w:w="522"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70" w:name="_Toc402776222"/>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171" w:name="_Toc496887140"/>
      <w:bookmarkStart w:id="172" w:name="_Toc21425"/>
      <w:bookmarkStart w:id="173" w:name="_Toc31696"/>
      <w:bookmarkStart w:id="174" w:name="_Toc510092968"/>
      <w:r>
        <w:rPr>
          <w:rFonts w:hint="eastAsia" w:ascii="Times New Roman" w:hAnsi="Times New Roman" w:eastAsia="宋体" w:cs="Times New Roman"/>
          <w:color w:val="000000" w:themeColor="text1"/>
          <w:sz w:val="24"/>
          <w:szCs w:val="24"/>
          <w14:textFill>
            <w14:solidFill>
              <w14:schemeClr w14:val="tx1"/>
            </w14:solidFill>
          </w14:textFill>
        </w:rPr>
        <w:t>6 完善环境风险防控和应急措施的实施计划</w:t>
      </w:r>
      <w:bookmarkEnd w:id="170"/>
      <w:bookmarkEnd w:id="171"/>
      <w:bookmarkEnd w:id="172"/>
      <w:bookmarkEnd w:id="173"/>
      <w:bookmarkEnd w:id="174"/>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5" w:name="_Toc510092969"/>
      <w:bookmarkStart w:id="176" w:name="_Toc30219"/>
      <w:bookmarkStart w:id="177" w:name="_Toc1705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75"/>
      <w:bookmarkEnd w:id="176"/>
      <w:bookmarkEnd w:id="1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eastAsia="宋体" w:cs="Times New Roman"/>
                <w:sz w:val="21"/>
                <w:szCs w:val="21"/>
                <w:lang w:val="en-US" w:eastAsia="zh-CN"/>
              </w:rPr>
            </w:pPr>
            <w:bookmarkStart w:id="178" w:name="_Toc24534"/>
            <w:bookmarkStart w:id="179" w:name="_Toc510092970"/>
            <w:bookmarkStart w:id="180" w:name="_Toc402776224"/>
            <w:r>
              <w:rPr>
                <w:rFonts w:hint="eastAsia" w:eastAsia="宋体" w:cs="Times New Roman"/>
                <w:sz w:val="21"/>
                <w:szCs w:val="21"/>
                <w:lang w:val="en-US" w:eastAsia="zh-CN"/>
              </w:rPr>
              <w:t>1</w:t>
            </w:r>
          </w:p>
        </w:tc>
        <w:tc>
          <w:tcPr>
            <w:tcW w:w="1606" w:type="pct"/>
            <w:tcBorders>
              <w:tl2br w:val="nil"/>
              <w:tr2bl w:val="nil"/>
            </w:tcBorders>
            <w:vAlign w:val="center"/>
          </w:tcPr>
          <w:p>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雨水排口无监控视频</w:t>
            </w:r>
          </w:p>
        </w:tc>
        <w:tc>
          <w:tcPr>
            <w:tcW w:w="1849" w:type="pct"/>
            <w:tcBorders>
              <w:tl2br w:val="nil"/>
              <w:tr2bl w:val="nil"/>
            </w:tcBorders>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雨水排口设置监控视频</w:t>
            </w:r>
          </w:p>
        </w:tc>
        <w:tc>
          <w:tcPr>
            <w:tcW w:w="786"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2022年7月</w:t>
            </w:r>
          </w:p>
        </w:tc>
        <w:tc>
          <w:tcPr>
            <w:tcW w:w="443"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戴韦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2022年8月</w:t>
            </w:r>
          </w:p>
        </w:tc>
        <w:tc>
          <w:tcPr>
            <w:tcW w:w="443"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戴韦</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81" w:name="_Toc25535"/>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78"/>
      <w:bookmarkEnd w:id="179"/>
      <w:bookmarkEnd w:id="180"/>
      <w:bookmarkEnd w:id="1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11</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戴韦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12</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戴韦</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63"/>
    <w:bookmarkEnd w:id="164"/>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82" w:name="_Toc24013"/>
      <w:bookmarkStart w:id="183" w:name="_Toc12711"/>
      <w:bookmarkStart w:id="184" w:name="_Toc535516085"/>
      <w:bookmarkStart w:id="185" w:name="_Toc353379552"/>
      <w:r>
        <w:rPr>
          <w:rFonts w:hint="eastAsia" w:ascii="Times New Roman" w:hAnsi="Times New Roman" w:eastAsia="宋体" w:cs="Times New Roman"/>
          <w:sz w:val="24"/>
          <w:szCs w:val="24"/>
        </w:rPr>
        <w:t>7 企业突发环境事件风险等级</w:t>
      </w:r>
      <w:bookmarkEnd w:id="182"/>
      <w:bookmarkEnd w:id="183"/>
      <w:bookmarkEnd w:id="184"/>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86" w:name="_Toc510102127"/>
      <w:bookmarkStart w:id="187" w:name="_Toc534722043"/>
      <w:bookmarkStart w:id="188" w:name="_Toc1190"/>
      <w:bookmarkStart w:id="189" w:name="_Toc535516086"/>
      <w:bookmarkStart w:id="190" w:name="_Toc31961"/>
      <w:bookmarkStart w:id="191" w:name="_Toc8659"/>
      <w:r>
        <w:rPr>
          <w:rFonts w:hint="eastAsia" w:ascii="Times New Roman" w:hAnsi="Times New Roman" w:eastAsia="宋体" w:cs="Times New Roman"/>
          <w:color w:val="000000" w:themeColor="text1"/>
          <w:sz w:val="24"/>
          <w:szCs w:val="24"/>
          <w14:textFill>
            <w14:solidFill>
              <w14:schemeClr w14:val="tx1"/>
            </w14:solidFill>
          </w14:textFill>
        </w:rPr>
        <w:t xml:space="preserve">7.1 </w:t>
      </w:r>
      <w:bookmarkEnd w:id="186"/>
      <w:bookmarkEnd w:id="187"/>
      <w:bookmarkEnd w:id="188"/>
      <w:bookmarkEnd w:id="189"/>
      <w:bookmarkEnd w:id="190"/>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191"/>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92" w:name="_Toc3108"/>
      <w:r>
        <w:rPr>
          <w:rFonts w:hint="eastAsia" w:ascii="Times New Roman" w:hAnsi="Times New Roman" w:eastAsia="宋体" w:cs="Times New Roman"/>
          <w:color w:val="000000" w:themeColor="text1"/>
          <w14:textFill>
            <w14:solidFill>
              <w14:schemeClr w14:val="tx1"/>
            </w14:solidFill>
          </w14:textFill>
        </w:rPr>
        <w:t xml:space="preserve">7.1.1 </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192"/>
    </w:p>
    <w:p>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pPr>
        <w:pStyle w:val="5"/>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水性漆、固化剂、危废等</w:t>
      </w:r>
      <w:r>
        <w:rPr>
          <w:rFonts w:hint="default" w:eastAsia="宋体"/>
          <w:sz w:val="24"/>
        </w:rPr>
        <w:t xml:space="preserve">，计算情况见表 </w:t>
      </w:r>
      <w:r>
        <w:rPr>
          <w:rFonts w:hint="default" w:ascii="Times New Roman" w:eastAsia="宋体"/>
          <w:sz w:val="24"/>
        </w:rPr>
        <w:t>7-1</w:t>
      </w:r>
      <w:r>
        <w:rPr>
          <w:rFonts w:hint="default" w:eastAsia="宋体"/>
          <w:sz w:val="24"/>
        </w:rPr>
        <w:t>。</w:t>
      </w:r>
    </w:p>
    <w:p>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 xml:space="preserve"> 涉气环境风险物质Q值计</w:t>
      </w:r>
      <w:r>
        <w:rPr>
          <w:rFonts w:hint="default" w:ascii="Times New Roman" w:hAnsi="Times New Roman" w:eastAsia="宋体" w:cs="Times New Roman"/>
          <w:b/>
          <w:bCs/>
          <w:color w:val="auto"/>
        </w:rPr>
        <w:t>算表</w:t>
      </w:r>
    </w:p>
    <w:tbl>
      <w:tblPr>
        <w:tblStyle w:val="37"/>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油漆仓库</w:t>
            </w:r>
          </w:p>
        </w:tc>
        <w:tc>
          <w:tcPr>
            <w:tcW w:w="1538" w:type="dxa"/>
            <w:tcBorders>
              <w:tl2br w:val="nil"/>
              <w:tr2bl w:val="nil"/>
            </w:tcBorders>
            <w:vAlign w:val="center"/>
          </w:tcPr>
          <w:p>
            <w:pPr>
              <w:pStyle w:val="140"/>
              <w:spacing w:before="0"/>
              <w:ind w:left="0" w:leftChars="0" w:right="0" w:rightChars="0"/>
              <w:rPr>
                <w:rFonts w:hint="default"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水性白胶</w:t>
            </w:r>
          </w:p>
        </w:tc>
        <w:tc>
          <w:tcPr>
            <w:tcW w:w="1567"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0.1</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default"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水性底漆(双组份)</w:t>
            </w:r>
          </w:p>
        </w:tc>
        <w:tc>
          <w:tcPr>
            <w:tcW w:w="1567"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0.3</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default"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水性面漆（双组份）</w:t>
            </w:r>
          </w:p>
        </w:tc>
        <w:tc>
          <w:tcPr>
            <w:tcW w:w="1567"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1567"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0.1</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0.15</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0.15</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生产车间</w:t>
            </w:r>
          </w:p>
        </w:tc>
        <w:tc>
          <w:tcPr>
            <w:tcW w:w="1538"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水性白胶</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水性底漆(双组份)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0.01</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水性面漆（双组份）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0.01</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危废仓库</w:t>
            </w: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收集尘（漆尘）</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sz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废活性炭</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0.6</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废包装桶</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废过滤纤维</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0.5</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漆渣</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0.06</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zh-CN"/>
              </w:rPr>
              <w:t>废灯管</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废催化剂</w:t>
            </w:r>
          </w:p>
        </w:tc>
        <w:tc>
          <w:tcPr>
            <w:tcW w:w="1567" w:type="dxa"/>
            <w:tcBorders>
              <w:tl2br w:val="nil"/>
              <w:tr2bl w:val="nil"/>
            </w:tcBorders>
            <w:vAlign w:val="center"/>
          </w:tcPr>
          <w:p>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0.01</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ascii="Times New Roman"/>
                <w:sz w:val="21"/>
                <w:lang w:val="en-US" w:eastAsia="zh-CN"/>
              </w:rPr>
              <w:t>0.0304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=0.01+0.00022+0.0304=0.04062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93" w:name="_Toc818"/>
      <w:bookmarkStart w:id="194"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 xml:space="preserve"> 生产工艺过程与大气环境风险控制水平（M）评估</w:t>
      </w:r>
      <w:bookmarkEnd w:id="193"/>
    </w:p>
    <w:bookmarkEnd w:id="194"/>
    <w:p>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0</w:t>
      </w:r>
      <w:r>
        <w:rPr>
          <w:rFonts w:hint="default" w:eastAsia="宋体"/>
        </w:rPr>
        <w:t>分。</w:t>
      </w:r>
    </w:p>
    <w:p>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w:t>
      </w:r>
      <w:r>
        <w:rPr>
          <w:rFonts w:eastAsiaTheme="minorEastAsia"/>
          <w:b/>
          <w:color w:val="000000" w:themeColor="text1"/>
          <w:sz w:val="24"/>
          <w:szCs w:val="24"/>
          <w14:textFill>
            <w14:solidFill>
              <w14:schemeClr w14:val="tx1"/>
            </w14:solidFill>
          </w14:textFill>
        </w:rPr>
        <w:t xml:space="preserve"> </w:t>
      </w:r>
      <w:r>
        <w:rPr>
          <w:rFonts w:hint="eastAsia" w:eastAsiaTheme="minorEastAsia"/>
          <w:b/>
          <w:color w:val="000000" w:themeColor="text1"/>
          <w:sz w:val="24"/>
          <w:szCs w:val="24"/>
          <w:lang w:val="en-US" w:eastAsia="zh-CN"/>
          <w14:textFill>
            <w14:solidFill>
              <w14:schemeClr w14:val="tx1"/>
            </w14:solidFill>
          </w14:textFill>
        </w:rPr>
        <w:t>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0</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95" w:name="7.1.3大气环境风险受体敏感程度（E）评估"/>
      <w:bookmarkEnd w:id="195"/>
      <w:bookmarkStart w:id="196" w:name="_Toc12402"/>
      <w:bookmarkStart w:id="197"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 xml:space="preserve"> 大气环境风险受体敏感程度（E）评估</w:t>
      </w:r>
      <w:bookmarkEnd w:id="196"/>
    </w:p>
    <w:bookmarkEnd w:id="197"/>
    <w:p>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 xml:space="preserve">500 </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 xml:space="preserve">三种类型，分别以 </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 xml:space="preserve"> 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但企业周边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总人数1000人以上</w:t>
      </w:r>
      <w:r>
        <w:rPr>
          <w:rFonts w:eastAsia="宋体"/>
          <w:spacing w:val="-10"/>
          <w:highlight w:val="none"/>
        </w:rPr>
        <w:t>，因此公司大气环境风险受体为类型</w:t>
      </w:r>
      <w:r>
        <w:rPr>
          <w:rFonts w:ascii="Times New Roman" w:eastAsia="宋体"/>
          <w:spacing w:val="-10"/>
          <w:highlight w:val="none"/>
        </w:rPr>
        <w:t>1</w:t>
      </w:r>
      <w:r>
        <w:rPr>
          <w:rFonts w:eastAsia="宋体"/>
          <w:spacing w:val="-10"/>
          <w:highlight w:val="none"/>
        </w:rPr>
        <w:t>（</w:t>
      </w:r>
      <w:r>
        <w:rPr>
          <w:rFonts w:ascii="Times New Roman" w:eastAsia="宋体"/>
          <w:spacing w:val="-10"/>
          <w:highlight w:val="none"/>
        </w:rPr>
        <w:t>E1</w:t>
      </w:r>
      <w:r>
        <w:rPr>
          <w:rFonts w:eastAsia="宋体"/>
          <w:spacing w:val="-10"/>
          <w:highlight w:val="none"/>
        </w:rPr>
        <w:t>）。</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98" w:name="7.1.4突发大气环境事件风险等级确定"/>
      <w:bookmarkEnd w:id="198"/>
      <w:bookmarkStart w:id="199" w:name="_TOC_250018"/>
      <w:bookmarkEnd w:id="199"/>
      <w:bookmarkStart w:id="200" w:name="_Toc5160"/>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 xml:space="preserve"> 突发大气环境事件风险等级确定</w:t>
      </w:r>
      <w:bookmarkEnd w:id="200"/>
    </w:p>
    <w:p>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 xml:space="preserve">7-5 </w:t>
      </w:r>
      <w:r>
        <w:rPr>
          <w:rFonts w:eastAsia="宋体"/>
          <w:spacing w:val="-10"/>
        </w:rPr>
        <w:t>确定企业突发大气环境事件风险等级。</w:t>
      </w:r>
    </w:p>
    <w:p>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w:t>
      </w:r>
      <w:r>
        <w:rPr>
          <w:rFonts w:eastAsiaTheme="minorEastAsia"/>
          <w:b/>
          <w:color w:val="000000" w:themeColor="text1"/>
          <w:sz w:val="24"/>
          <w:szCs w:val="24"/>
          <w14:textFill>
            <w14:solidFill>
              <w14:schemeClr w14:val="tx1"/>
            </w14:solidFill>
          </w14:textFill>
        </w:rPr>
        <w:t xml:space="preserve"> </w:t>
      </w:r>
      <w:r>
        <w:rPr>
          <w:rFonts w:hint="eastAsia" w:eastAsiaTheme="minorEastAsia"/>
          <w:b/>
          <w:color w:val="000000" w:themeColor="text1"/>
          <w:sz w:val="24"/>
          <w:szCs w:val="24"/>
          <w:lang w:val="en-US" w:eastAsia="zh-CN"/>
          <w14:textFill>
            <w14:solidFill>
              <w14:schemeClr w14:val="tx1"/>
            </w14:solidFill>
          </w14:textFill>
        </w:rPr>
        <w:t>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vMerge w:val="continue"/>
            <w:tcBorders>
              <w:tl2br w:val="nil"/>
              <w:tr2bl w:val="nil"/>
            </w:tcBorders>
            <w:vAlign w:val="center"/>
          </w:tcPr>
          <w:p>
            <w:pPr>
              <w:jc w:val="center"/>
              <w:rPr>
                <w:sz w:val="2"/>
                <w:szCs w:val="2"/>
              </w:rPr>
            </w:pPr>
          </w:p>
        </w:tc>
        <w:tc>
          <w:tcPr>
            <w:tcW w:w="1259" w:type="dxa"/>
            <w:tcBorders>
              <w:tl2br w:val="nil"/>
              <w:tr2bl w:val="nil"/>
            </w:tcBorders>
            <w:vAlign w:val="center"/>
          </w:tcPr>
          <w:p>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pPr>
              <w:pStyle w:val="140"/>
              <w:spacing w:before="0"/>
              <w:ind w:left="0" w:right="0"/>
              <w:rPr>
                <w:b/>
                <w:sz w:val="21"/>
              </w:rPr>
            </w:pPr>
            <w:r>
              <w:rPr>
                <w:rFonts w:ascii="Times New Roman" w:eastAsia="Times New Roman"/>
                <w:b/>
                <w:sz w:val="21"/>
              </w:rPr>
              <w:t>M4</w:t>
            </w:r>
            <w:r>
              <w:rPr>
                <w:b/>
                <w:sz w:val="21"/>
              </w:rPr>
              <w:t>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较大</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重大</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pPr>
              <w:pStyle w:val="140"/>
              <w:spacing w:before="0"/>
              <w:ind w:left="0" w:right="0"/>
              <w:rPr>
                <w:sz w:val="21"/>
              </w:rPr>
            </w:pPr>
            <w:r>
              <w:rPr>
                <w:sz w:val="21"/>
              </w:rPr>
              <w:t>一般</w:t>
            </w:r>
          </w:p>
        </w:tc>
        <w:tc>
          <w:tcPr>
            <w:tcW w:w="1260" w:type="dxa"/>
            <w:tcBorders>
              <w:tl2br w:val="nil"/>
              <w:tr2bl w:val="nil"/>
            </w:tcBorders>
            <w:vAlign w:val="center"/>
          </w:tcPr>
          <w:p>
            <w:pPr>
              <w:pStyle w:val="140"/>
              <w:spacing w:before="0"/>
              <w:ind w:left="0" w:right="0"/>
              <w:rPr>
                <w:sz w:val="21"/>
              </w:rPr>
            </w:pPr>
            <w:r>
              <w:rPr>
                <w:sz w:val="21"/>
              </w:rPr>
              <w:t>较大</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较大</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重大</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pPr>
              <w:pStyle w:val="140"/>
              <w:spacing w:before="0"/>
              <w:ind w:left="0" w:right="0"/>
              <w:rPr>
                <w:sz w:val="21"/>
              </w:rPr>
            </w:pPr>
            <w:r>
              <w:rPr>
                <w:sz w:val="21"/>
              </w:rPr>
              <w:t>一般</w:t>
            </w:r>
          </w:p>
        </w:tc>
        <w:tc>
          <w:tcPr>
            <w:tcW w:w="1260" w:type="dxa"/>
            <w:tcBorders>
              <w:tl2br w:val="nil"/>
              <w:tr2bl w:val="nil"/>
            </w:tcBorders>
            <w:vAlign w:val="center"/>
          </w:tcPr>
          <w:p>
            <w:pPr>
              <w:pStyle w:val="140"/>
              <w:spacing w:before="0"/>
              <w:ind w:left="0" w:right="0"/>
              <w:rPr>
                <w:sz w:val="21"/>
              </w:rPr>
            </w:pPr>
            <w:r>
              <w:rPr>
                <w:sz w:val="21"/>
              </w:rPr>
              <w:t>一般</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较大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pPr>
              <w:pStyle w:val="140"/>
              <w:spacing w:before="0"/>
              <w:ind w:left="0" w:right="0"/>
              <w:rPr>
                <w:sz w:val="21"/>
              </w:rPr>
            </w:pPr>
            <w:r>
              <w:rPr>
                <w:sz w:val="21"/>
              </w:rPr>
              <w:t>一般</w:t>
            </w:r>
          </w:p>
        </w:tc>
        <w:tc>
          <w:tcPr>
            <w:tcW w:w="1260" w:type="dxa"/>
            <w:tcBorders>
              <w:tl2br w:val="nil"/>
              <w:tr2bl w:val="nil"/>
            </w:tcBorders>
            <w:vAlign w:val="center"/>
          </w:tcPr>
          <w:p>
            <w:pPr>
              <w:pStyle w:val="140"/>
              <w:spacing w:before="0"/>
              <w:ind w:left="0" w:right="0"/>
              <w:rPr>
                <w:sz w:val="21"/>
              </w:rPr>
            </w:pPr>
            <w:r>
              <w:rPr>
                <w:sz w:val="21"/>
              </w:rPr>
              <w:t>较大</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3"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0"/>
              <w:spacing w:before="0"/>
              <w:ind w:left="0" w:right="0"/>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pPr>
              <w:pStyle w:val="140"/>
              <w:spacing w:before="0"/>
              <w:ind w:left="0" w:right="0"/>
              <w:rPr>
                <w:sz w:val="21"/>
              </w:rPr>
            </w:pPr>
            <w:r>
              <w:rPr>
                <w:sz w:val="21"/>
              </w:rPr>
              <w:t>较大</w:t>
            </w:r>
          </w:p>
        </w:tc>
        <w:tc>
          <w:tcPr>
            <w:tcW w:w="1260" w:type="dxa"/>
            <w:tcBorders>
              <w:tl2br w:val="nil"/>
              <w:tr2bl w:val="nil"/>
            </w:tcBorders>
            <w:vAlign w:val="center"/>
          </w:tcPr>
          <w:p>
            <w:pPr>
              <w:pStyle w:val="140"/>
              <w:spacing w:before="0"/>
              <w:ind w:left="0" w:right="0"/>
              <w:rPr>
                <w:sz w:val="21"/>
              </w:rPr>
            </w:pPr>
            <w:r>
              <w:rPr>
                <w:sz w:val="21"/>
              </w:rPr>
              <w:t>较大</w:t>
            </w:r>
          </w:p>
        </w:tc>
        <w:tc>
          <w:tcPr>
            <w:tcW w:w="1259" w:type="dxa"/>
            <w:tcBorders>
              <w:tl2br w:val="nil"/>
              <w:tr2bl w:val="nil"/>
            </w:tcBorders>
            <w:vAlign w:val="center"/>
          </w:tcPr>
          <w:p>
            <w:pPr>
              <w:pStyle w:val="140"/>
              <w:spacing w:before="0"/>
              <w:ind w:left="0" w:right="0"/>
              <w:rPr>
                <w:sz w:val="21"/>
              </w:rPr>
            </w:pPr>
            <w:r>
              <w:rPr>
                <w:sz w:val="21"/>
              </w:rPr>
              <w:t>重大</w:t>
            </w:r>
          </w:p>
        </w:tc>
        <w:tc>
          <w:tcPr>
            <w:tcW w:w="1260" w:type="dxa"/>
            <w:tcBorders>
              <w:tl2br w:val="nil"/>
              <w:tr2bl w:val="nil"/>
            </w:tcBorders>
            <w:vAlign w:val="center"/>
          </w:tcPr>
          <w:p>
            <w:pPr>
              <w:pStyle w:val="140"/>
              <w:spacing w:before="0"/>
              <w:ind w:left="0" w:right="0"/>
              <w:rPr>
                <w:sz w:val="21"/>
              </w:rPr>
            </w:pPr>
            <w:r>
              <w:rPr>
                <w:sz w:val="21"/>
              </w:rPr>
              <w:t>重大</w:t>
            </w:r>
          </w:p>
        </w:tc>
      </w:tr>
    </w:tbl>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01" w:name="7.1.5突发大气环境事件风险等级表征"/>
      <w:bookmarkEnd w:id="201"/>
      <w:bookmarkStart w:id="202" w:name="_TOC_250017"/>
      <w:bookmarkEnd w:id="202"/>
      <w:bookmarkStart w:id="203"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 xml:space="preserve"> 突发大气环境事件风险等级表征</w:t>
      </w:r>
      <w:bookmarkEnd w:id="203"/>
    </w:p>
    <w:p>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pPr>
        <w:pStyle w:val="13"/>
        <w:numPr>
          <w:ilvl w:val="0"/>
          <w:numId w:val="5"/>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 xml:space="preserve">1 </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 xml:space="preserve">Q≥1 </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海安美延家居科技有限公司</w:t>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4" w:name="_TOC_250016"/>
      <w:bookmarkEnd w:id="204"/>
      <w:bookmarkStart w:id="205" w:name="7.2企业突发水环境事件风险等级"/>
      <w:bookmarkEnd w:id="205"/>
      <w:bookmarkStart w:id="206"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 xml:space="preserve"> 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06"/>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07" w:name="7.2.1涉水风险物质数量与临界量比值（Q）"/>
      <w:bookmarkEnd w:id="207"/>
      <w:bookmarkStart w:id="208" w:name="_Toc16147"/>
      <w:bookmarkStart w:id="209"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 xml:space="preserve">.1 </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08"/>
    </w:p>
    <w:bookmarkEnd w:id="209"/>
    <w:p>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水性漆、废活性炭等</w:t>
      </w:r>
      <w:r>
        <w:rPr>
          <w:rFonts w:eastAsia="宋体"/>
          <w:spacing w:val="-10"/>
        </w:rPr>
        <w:t xml:space="preserve">，计算结果见表 </w:t>
      </w:r>
      <w:r>
        <w:rPr>
          <w:rFonts w:ascii="Times New Roman" w:eastAsia="宋体"/>
          <w:spacing w:val="-10"/>
        </w:rPr>
        <w:t>7-6</w:t>
      </w:r>
      <w:r>
        <w:rPr>
          <w:rFonts w:eastAsia="宋体"/>
          <w:spacing w:val="-10"/>
        </w:rPr>
        <w:t>。</w:t>
      </w:r>
    </w:p>
    <w:p>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 xml:space="preserve"> 企业主要涉水风险物质Q值计算一览表</w:t>
      </w:r>
    </w:p>
    <w:tbl>
      <w:tblPr>
        <w:tblStyle w:val="37"/>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油漆仓库</w:t>
            </w:r>
          </w:p>
        </w:tc>
        <w:tc>
          <w:tcPr>
            <w:tcW w:w="1538" w:type="dxa"/>
            <w:tcBorders>
              <w:tl2br w:val="nil"/>
              <w:tr2bl w:val="nil"/>
            </w:tcBorders>
            <w:vAlign w:val="center"/>
          </w:tcPr>
          <w:p>
            <w:pPr>
              <w:pStyle w:val="140"/>
              <w:spacing w:before="0"/>
              <w:ind w:left="0" w:leftChars="0" w:right="0" w:rightChars="0"/>
              <w:rPr>
                <w:rFonts w:hint="default"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水性白胶</w:t>
            </w:r>
          </w:p>
        </w:tc>
        <w:tc>
          <w:tcPr>
            <w:tcW w:w="1567"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0.1</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default"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水性底漆(双组份)</w:t>
            </w:r>
          </w:p>
        </w:tc>
        <w:tc>
          <w:tcPr>
            <w:tcW w:w="1567"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0.3</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default"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水性面漆（双组份）</w:t>
            </w:r>
          </w:p>
        </w:tc>
        <w:tc>
          <w:tcPr>
            <w:tcW w:w="1567"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1567"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0.1</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0.15</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0.15</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生产车间</w:t>
            </w:r>
          </w:p>
        </w:tc>
        <w:tc>
          <w:tcPr>
            <w:tcW w:w="1538"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水性白胶</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水性底漆(双组份)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0.01</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水性面漆（双组份）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0.01</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固化剂</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spacing w:before="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水性面漆白漆(双组份)</w:t>
            </w:r>
          </w:p>
        </w:tc>
        <w:tc>
          <w:tcPr>
            <w:tcW w:w="1567"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0.005</w:t>
            </w:r>
          </w:p>
        </w:tc>
        <w:tc>
          <w:tcPr>
            <w:tcW w:w="1249" w:type="dxa"/>
            <w:tcBorders>
              <w:tl2br w:val="nil"/>
              <w:tr2bl w:val="nil"/>
            </w:tcBorders>
            <w:vAlign w:val="center"/>
          </w:tcPr>
          <w:p>
            <w:pPr>
              <w:pStyle w:val="140"/>
              <w:spacing w:before="0"/>
              <w:ind w:left="0" w:leftChars="0" w:right="0" w:rightChars="0"/>
              <w:rPr>
                <w:rFonts w:hint="eastAsia" w:ascii="Times New Roman" w:hAnsi="Times New Roman" w:eastAsia="宋体" w:cs="宋体"/>
                <w:b w:val="0"/>
                <w:bCs/>
                <w:kern w:val="2"/>
                <w:sz w:val="21"/>
                <w:szCs w:val="24"/>
                <w:lang w:val="en-US" w:eastAsia="zh-CN" w:bidi="ar-SA"/>
              </w:rPr>
            </w:pPr>
            <w:r>
              <w:rPr>
                <w:rFonts w:hint="eastAsia" w:ascii="Times New Roman" w:hAnsi="Times New Roman"/>
                <w:b w:val="0"/>
                <w:bCs/>
                <w:sz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危废仓库</w:t>
            </w: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收集尘（漆尘）</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sz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废包装桶</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0.2</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漆渣</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0.06</w:t>
            </w:r>
          </w:p>
        </w:tc>
        <w:tc>
          <w:tcPr>
            <w:tcW w:w="1249" w:type="dxa"/>
            <w:tcBorders>
              <w:tl2br w:val="nil"/>
              <w:tr2bl w:val="nil"/>
            </w:tcBorders>
            <w:vAlign w:val="center"/>
          </w:tcPr>
          <w:p>
            <w:pPr>
              <w:pStyle w:val="140"/>
              <w:spacing w:before="0"/>
              <w:ind w:left="0" w:leftChars="0" w:right="0" w:rightChars="0"/>
              <w:rPr>
                <w:rFonts w:hint="default"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default" w:ascii="Times New Roman" w:hAnsi="宋体" w:eastAsia="宋体" w:cs="宋体"/>
                <w:w w:val="100"/>
                <w:kern w:val="2"/>
                <w:sz w:val="21"/>
                <w:szCs w:val="24"/>
                <w:lang w:val="en-US" w:eastAsia="zh-CN" w:bidi="ar-SA"/>
              </w:rPr>
            </w:pPr>
            <w:r>
              <w:rPr>
                <w:rFonts w:hint="eastAsia" w:ascii="Times New Roman"/>
                <w:w w:val="100"/>
                <w:sz w:val="21"/>
                <w:lang w:val="en-US" w:eastAsia="zh-CN"/>
              </w:rPr>
              <w:t>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hint="eastAsia" w:eastAsia="宋体"/>
                <w:sz w:val="21"/>
                <w:szCs w:val="21"/>
                <w:lang w:val="en-US" w:eastAsia="zh-CN"/>
              </w:rPr>
            </w:pPr>
          </w:p>
        </w:tc>
        <w:tc>
          <w:tcPr>
            <w:tcW w:w="1538" w:type="dxa"/>
            <w:tcBorders>
              <w:tl2br w:val="nil"/>
              <w:tr2bl w:val="nil"/>
            </w:tcBorders>
            <w:vAlign w:val="center"/>
          </w:tcPr>
          <w:p>
            <w:pPr>
              <w:pStyle w:val="140"/>
              <w:ind w:left="0" w:leftChars="0" w:right="0" w:rightChars="0"/>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废催化剂</w:t>
            </w:r>
          </w:p>
        </w:tc>
        <w:tc>
          <w:tcPr>
            <w:tcW w:w="1567" w:type="dxa"/>
            <w:tcBorders>
              <w:tl2br w:val="nil"/>
              <w:tr2bl w:val="nil"/>
            </w:tcBorders>
            <w:vAlign w:val="center"/>
          </w:tcPr>
          <w:p>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0.01</w:t>
            </w:r>
          </w:p>
        </w:tc>
        <w:tc>
          <w:tcPr>
            <w:tcW w:w="1249" w:type="dxa"/>
            <w:tcBorders>
              <w:tl2br w:val="nil"/>
              <w:tr2bl w:val="nil"/>
            </w:tcBorders>
            <w:vAlign w:val="center"/>
          </w:tcPr>
          <w:p>
            <w:pPr>
              <w:pStyle w:val="140"/>
              <w:spacing w:before="0"/>
              <w:ind w:left="0" w:leftChars="0" w:right="0" w:rightChars="0"/>
              <w:rPr>
                <w:rFonts w:hint="eastAsia" w:ascii="Times New Roman" w:hAnsi="宋体" w:eastAsia="宋体" w:cs="宋体"/>
                <w:kern w:val="2"/>
                <w:sz w:val="21"/>
                <w:szCs w:val="24"/>
                <w:lang w:val="en-US" w:eastAsia="zh-CN" w:bidi="ar-SA"/>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0"/>
              <w:spacing w:before="0"/>
              <w:ind w:right="0" w:rightChars="0"/>
              <w:jc w:val="center"/>
              <w:rPr>
                <w:rFonts w:hint="eastAsia" w:ascii="Times New Roman" w:hAnsi="宋体" w:eastAsia="宋体" w:cs="宋体"/>
                <w:w w:val="100"/>
                <w:kern w:val="2"/>
                <w:sz w:val="21"/>
                <w:szCs w:val="24"/>
                <w:lang w:val="en-US" w:eastAsia="zh-CN" w:bidi="ar-SA"/>
              </w:rPr>
            </w:pPr>
            <w:r>
              <w:rPr>
                <w:rFonts w:hint="eastAsia" w:ascii="Times New Roman"/>
                <w:w w:val="100"/>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0.0166</w:t>
            </w:r>
          </w:p>
        </w:tc>
      </w:tr>
    </w:tbl>
    <w:p>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Q=0.01+0.00022+0.0166=0.02682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10" w:name="7.2.2生产工艺过程与水环境风险控制水平（M）评估"/>
      <w:bookmarkEnd w:id="210"/>
      <w:bookmarkStart w:id="211" w:name="_Toc3360"/>
      <w:bookmarkStart w:id="21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 xml:space="preserve"> 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11"/>
    </w:p>
    <w:bookmarkEnd w:id="212"/>
    <w:p>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0</w:t>
      </w:r>
      <w:r>
        <w:rPr>
          <w:rFonts w:eastAsia="宋体"/>
          <w:spacing w:val="-10"/>
        </w:rPr>
        <w:t>分。</w:t>
      </w:r>
    </w:p>
    <w:p>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 xml:space="preserve">①各个环境风险单元设防渗漏、防腐蚀、防淋溶、防流失措施； </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依托租赁厂区设置112.5</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keepNext/>
              <w:keepLines/>
              <w:outlineLvl w:val="9"/>
              <w:rPr>
                <w:rFonts w:hint="default"/>
                <w:lang w:val="en-US" w:eastAsia="zh-CN"/>
              </w:rPr>
            </w:pPr>
            <w:bookmarkStart w:id="21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13"/>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pPr>
        <w:pStyle w:val="13"/>
        <w:spacing w:before="8"/>
        <w:rPr>
          <w:sz w:val="12"/>
        </w:rPr>
      </w:pPr>
    </w:p>
    <w:p>
      <w:pPr>
        <w:spacing w:after="0"/>
        <w:rPr>
          <w:sz w:val="21"/>
        </w:rPr>
        <w:sectPr>
          <w:footerReference r:id="rId11" w:type="default"/>
          <w:pgSz w:w="16840" w:h="11910" w:orient="landscape"/>
          <w:pgMar w:top="1180" w:right="1800" w:bottom="1200" w:left="1520" w:header="882" w:footer="1017" w:gutter="0"/>
          <w:pgBorders>
            <w:top w:val="none" w:sz="0" w:space="0"/>
            <w:left w:val="none" w:sz="0" w:space="0"/>
            <w:bottom w:val="none" w:sz="0" w:space="0"/>
            <w:right w:val="none" w:sz="0" w:space="0"/>
          </w:pgBorders>
          <w:cols w:space="720" w:num="1"/>
        </w:sectPr>
      </w:pPr>
    </w:p>
    <w:p>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bookmarkStart w:id="225" w:name="_GoBack"/>
      <w:bookmarkEnd w:id="225"/>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8</w:t>
      </w:r>
      <w:r>
        <w:rPr>
          <w:rFonts w:hint="eastAsia" w:eastAsia="宋体"/>
          <w:spacing w:val="-10"/>
        </w:rPr>
        <w:t xml:space="preserve">分，企业环境风险及其控制水平为 </w:t>
      </w:r>
      <w:r>
        <w:rPr>
          <w:rFonts w:hint="eastAsia" w:ascii="Times New Roman" w:eastAsia="宋体"/>
          <w:spacing w:val="-10"/>
        </w:rPr>
        <w:t>M1</w:t>
      </w:r>
      <w:r>
        <w:rPr>
          <w:rFonts w:hint="eastAsia" w:eastAsia="宋体"/>
          <w:spacing w:val="-10"/>
        </w:rPr>
        <w:t>类水平。</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14" w:name="7.2.3水环境风险受体敏感程度（E）评估"/>
      <w:bookmarkEnd w:id="214"/>
      <w:bookmarkStart w:id="215" w:name="_Toc4249"/>
      <w:bookmarkStart w:id="216"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15"/>
    </w:p>
    <w:bookmarkEnd w:id="216"/>
    <w:p>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17" w:name="_Toc18805"/>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 xml:space="preserve"> 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pPr>
        <w:widowControl/>
        <w:adjustRightInd/>
        <w:snapToGrid/>
        <w:spacing w:line="240" w:lineRule="auto"/>
        <w:ind w:firstLine="0" w:firstLineChars="0"/>
        <w:jc w:val="center"/>
      </w:pPr>
      <w:r>
        <w:rPr>
          <w:rFonts w:hint="default" w:eastAsia="宋体"/>
          <w:lang w:val="en-US" w:eastAsia="zh-CN"/>
        </w:rPr>
        <w:t>表 7-1</w:t>
      </w:r>
      <w:r>
        <w:rPr>
          <w:rFonts w:hint="eastAsia" w:eastAsia="宋体"/>
          <w:lang w:val="en-US" w:eastAsia="zh-CN"/>
        </w:rPr>
        <w:t>0</w:t>
      </w:r>
      <w:r>
        <w:rPr>
          <w:rFonts w:hint="default" w:eastAsia="宋体"/>
          <w:lang w:val="en-US" w:eastAsia="zh-CN"/>
        </w:rPr>
        <w:t xml:space="preserve"> 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pPr>
              <w:jc w:val="center"/>
              <w:rPr>
                <w:sz w:val="2"/>
                <w:szCs w:val="2"/>
              </w:rPr>
            </w:pPr>
          </w:p>
        </w:tc>
        <w:tc>
          <w:tcPr>
            <w:tcW w:w="1114" w:type="pct"/>
            <w:vMerge w:val="continue"/>
            <w:tcBorders>
              <w:tl2br w:val="nil"/>
              <w:tr2bl w:val="nil"/>
            </w:tcBorders>
            <w:vAlign w:val="center"/>
          </w:tcPr>
          <w:p>
            <w:pPr>
              <w:jc w:val="center"/>
              <w:rPr>
                <w:sz w:val="2"/>
                <w:szCs w:val="2"/>
              </w:rPr>
            </w:pPr>
          </w:p>
        </w:tc>
        <w:tc>
          <w:tcPr>
            <w:tcW w:w="761" w:type="pct"/>
            <w:tcBorders>
              <w:tl2br w:val="nil"/>
              <w:tr2bl w:val="nil"/>
            </w:tcBorders>
            <w:vAlign w:val="center"/>
          </w:tcPr>
          <w:p>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pPr>
              <w:pStyle w:val="140"/>
              <w:spacing w:before="0"/>
              <w:ind w:left="0" w:right="0"/>
              <w:rPr>
                <w:b/>
                <w:sz w:val="21"/>
              </w:rPr>
            </w:pPr>
            <w:r>
              <w:rPr>
                <w:rFonts w:ascii="Times New Roman" w:eastAsia="Times New Roman"/>
                <w:b/>
                <w:sz w:val="21"/>
              </w:rPr>
              <w:t>M4</w:t>
            </w:r>
            <w:r>
              <w:rPr>
                <w:b/>
                <w:sz w:val="21"/>
              </w:rPr>
              <w:t>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pPr>
              <w:pStyle w:val="140"/>
              <w:spacing w:before="0"/>
              <w:ind w:left="0"/>
              <w:jc w:val="center"/>
              <w:rPr>
                <w:sz w:val="21"/>
              </w:rPr>
            </w:pPr>
            <w:r>
              <w:rPr>
                <w:spacing w:val="-18"/>
                <w:sz w:val="21"/>
              </w:rPr>
              <w:t xml:space="preserve">类型 </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较大</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重大</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pPr>
              <w:pStyle w:val="140"/>
              <w:spacing w:before="0"/>
              <w:ind w:left="0"/>
              <w:jc w:val="center"/>
              <w:rPr>
                <w:sz w:val="21"/>
              </w:rPr>
            </w:pPr>
            <w:r>
              <w:rPr>
                <w:spacing w:val="-18"/>
                <w:sz w:val="21"/>
              </w:rPr>
              <w:t xml:space="preserve">类型 </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pPr>
              <w:pStyle w:val="140"/>
              <w:spacing w:before="0"/>
              <w:ind w:left="0" w:right="0"/>
              <w:rPr>
                <w:sz w:val="21"/>
              </w:rPr>
            </w:pPr>
            <w:r>
              <w:rPr>
                <w:sz w:val="21"/>
              </w:rPr>
              <w:t>一般</w:t>
            </w:r>
          </w:p>
        </w:tc>
        <w:tc>
          <w:tcPr>
            <w:tcW w:w="762" w:type="pct"/>
            <w:tcBorders>
              <w:tl2br w:val="nil"/>
              <w:tr2bl w:val="nil"/>
            </w:tcBorders>
            <w:vAlign w:val="center"/>
          </w:tcPr>
          <w:p>
            <w:pPr>
              <w:pStyle w:val="140"/>
              <w:spacing w:before="0"/>
              <w:ind w:left="0" w:right="0"/>
              <w:rPr>
                <w:sz w:val="21"/>
              </w:rPr>
            </w:pPr>
            <w:r>
              <w:rPr>
                <w:sz w:val="21"/>
              </w:rPr>
              <w:t>较大</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较大</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重大</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pPr>
              <w:pStyle w:val="140"/>
              <w:spacing w:before="0"/>
              <w:ind w:left="0"/>
              <w:jc w:val="center"/>
              <w:rPr>
                <w:sz w:val="21"/>
              </w:rPr>
            </w:pPr>
            <w:r>
              <w:rPr>
                <w:spacing w:val="-18"/>
                <w:sz w:val="21"/>
              </w:rPr>
              <w:t xml:space="preserve">类型 </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pPr>
              <w:pStyle w:val="140"/>
              <w:spacing w:before="0"/>
              <w:ind w:left="0" w:right="0"/>
              <w:rPr>
                <w:sz w:val="21"/>
              </w:rPr>
            </w:pPr>
            <w:r>
              <w:rPr>
                <w:sz w:val="21"/>
              </w:rPr>
              <w:t>一般</w:t>
            </w:r>
          </w:p>
        </w:tc>
        <w:tc>
          <w:tcPr>
            <w:tcW w:w="762" w:type="pct"/>
            <w:tcBorders>
              <w:tl2br w:val="nil"/>
              <w:tr2bl w:val="nil"/>
            </w:tcBorders>
            <w:vAlign w:val="center"/>
          </w:tcPr>
          <w:p>
            <w:pPr>
              <w:pStyle w:val="140"/>
              <w:spacing w:before="0"/>
              <w:ind w:left="0" w:right="0"/>
              <w:rPr>
                <w:sz w:val="21"/>
              </w:rPr>
            </w:pPr>
            <w:r>
              <w:rPr>
                <w:sz w:val="21"/>
              </w:rPr>
              <w:t>一般</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较大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pPr>
              <w:pStyle w:val="140"/>
              <w:spacing w:before="0"/>
              <w:ind w:left="0" w:right="0"/>
              <w:rPr>
                <w:sz w:val="21"/>
              </w:rPr>
            </w:pPr>
            <w:r>
              <w:rPr>
                <w:sz w:val="21"/>
              </w:rPr>
              <w:t>一般</w:t>
            </w:r>
          </w:p>
        </w:tc>
        <w:tc>
          <w:tcPr>
            <w:tcW w:w="762" w:type="pct"/>
            <w:tcBorders>
              <w:tl2br w:val="nil"/>
              <w:tr2bl w:val="nil"/>
            </w:tcBorders>
            <w:vAlign w:val="center"/>
          </w:tcPr>
          <w:p>
            <w:pPr>
              <w:pStyle w:val="140"/>
              <w:spacing w:before="0"/>
              <w:ind w:left="0" w:right="0"/>
              <w:rPr>
                <w:sz w:val="21"/>
              </w:rPr>
            </w:pPr>
            <w:r>
              <w:rPr>
                <w:sz w:val="21"/>
              </w:rPr>
              <w:t>较大</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0"/>
              <w:spacing w:before="0"/>
              <w:ind w:left="0" w:right="0"/>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pPr>
              <w:pStyle w:val="140"/>
              <w:spacing w:before="0"/>
              <w:ind w:left="0" w:right="0"/>
              <w:rPr>
                <w:sz w:val="21"/>
              </w:rPr>
            </w:pPr>
            <w:r>
              <w:rPr>
                <w:sz w:val="21"/>
              </w:rPr>
              <w:t>较大</w:t>
            </w:r>
          </w:p>
        </w:tc>
        <w:tc>
          <w:tcPr>
            <w:tcW w:w="762" w:type="pct"/>
            <w:tcBorders>
              <w:tl2br w:val="nil"/>
              <w:tr2bl w:val="nil"/>
            </w:tcBorders>
            <w:vAlign w:val="center"/>
          </w:tcPr>
          <w:p>
            <w:pPr>
              <w:pStyle w:val="140"/>
              <w:spacing w:before="0"/>
              <w:ind w:left="0" w:right="0"/>
              <w:rPr>
                <w:sz w:val="21"/>
              </w:rPr>
            </w:pPr>
            <w:r>
              <w:rPr>
                <w:sz w:val="21"/>
              </w:rPr>
              <w:t>较大</w:t>
            </w:r>
          </w:p>
        </w:tc>
        <w:tc>
          <w:tcPr>
            <w:tcW w:w="761" w:type="pct"/>
            <w:tcBorders>
              <w:tl2br w:val="nil"/>
              <w:tr2bl w:val="nil"/>
            </w:tcBorders>
            <w:vAlign w:val="center"/>
          </w:tcPr>
          <w:p>
            <w:pPr>
              <w:pStyle w:val="140"/>
              <w:spacing w:before="0"/>
              <w:ind w:left="0" w:right="0"/>
              <w:rPr>
                <w:sz w:val="21"/>
              </w:rPr>
            </w:pPr>
            <w:r>
              <w:rPr>
                <w:sz w:val="21"/>
              </w:rPr>
              <w:t>重大</w:t>
            </w:r>
          </w:p>
        </w:tc>
        <w:tc>
          <w:tcPr>
            <w:tcW w:w="762" w:type="pct"/>
            <w:tcBorders>
              <w:tl2br w:val="nil"/>
              <w:tr2bl w:val="nil"/>
            </w:tcBorders>
            <w:vAlign w:val="center"/>
          </w:tcPr>
          <w:p>
            <w:pPr>
              <w:pStyle w:val="140"/>
              <w:spacing w:before="0"/>
              <w:ind w:left="0" w:right="0"/>
              <w:rPr>
                <w:sz w:val="21"/>
              </w:rPr>
            </w:pPr>
            <w:r>
              <w:rPr>
                <w:sz w:val="21"/>
              </w:rPr>
              <w:t>重大</w:t>
            </w:r>
          </w:p>
        </w:tc>
      </w:tr>
    </w:tbl>
    <w:p>
      <w:pPr>
        <w:widowControl/>
        <w:adjustRightInd/>
        <w:snapToGrid/>
        <w:spacing w:line="240" w:lineRule="auto"/>
        <w:ind w:firstLine="0" w:firstLineChars="0"/>
        <w:jc w:val="center"/>
      </w:pP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18" w:name="_Toc11255"/>
      <w:bookmarkStart w:id="219"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 xml:space="preserve"> 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18"/>
      <w:r>
        <w:rPr>
          <w:rFonts w:hint="eastAsia" w:ascii="Times New Roman" w:hAnsi="Times New Roman" w:eastAsia="宋体" w:cs="Times New Roman"/>
          <w:color w:val="000000" w:themeColor="text1"/>
          <w:lang w:val="en-US" w:eastAsia="zh-CN"/>
          <w14:textFill>
            <w14:solidFill>
              <w14:schemeClr w14:val="tx1"/>
            </w14:solidFill>
          </w14:textFill>
        </w:rPr>
        <w:t xml:space="preserve"> </w:t>
      </w:r>
    </w:p>
    <w:p>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 xml:space="preserve">环境事件风险等级表征分为两种情况： </w:t>
      </w:r>
    </w:p>
    <w:p>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（1）Q＜1，企业突发大气环境事件风险等级表示为“一般-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 xml:space="preserve">（Q0）”； </w:t>
      </w:r>
    </w:p>
    <w:p>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（2）Q≥1，企业突发大气环境事件风险等级表示为“环境风险等级-</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 xml:space="preserve">（Q 水平-M 类型-E 类型）”。 </w:t>
      </w:r>
    </w:p>
    <w:p>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海安美延家居科技有限公司</w:t>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19"/>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0" w:name="_Toc6943"/>
      <w:bookmarkStart w:id="221" w:name="_Toc535516089"/>
      <w:bookmarkStart w:id="222" w:name="_Toc534722046"/>
      <w:bookmarkStart w:id="223" w:name="_Toc16652"/>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 xml:space="preserve"> 风险等级调整</w:t>
      </w:r>
      <w:bookmarkEnd w:id="220"/>
      <w:bookmarkEnd w:id="221"/>
      <w:bookmarkEnd w:id="222"/>
      <w:bookmarkEnd w:id="2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24" w:name="_Hlk5802374"/>
      <w:r>
        <w:rPr>
          <w:rFonts w:hint="default" w:ascii="Times New Roman" w:hAnsi="Times New Roman" w:eastAsia="宋体" w:cs="Times New Roman"/>
          <w:b/>
        </w:rPr>
        <w:t>一般［一般-大气（Q0）+一般-水（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
    <w:bookmarkEnd w:id="2"/>
    <w:bookmarkEnd w:id="185"/>
    <w:p>
      <w:pPr>
        <w:rPr>
          <w:rFonts w:ascii="宋体" w:hAnsi="宋体" w:eastAsia="宋体" w:cs="宋体"/>
        </w:rPr>
      </w:pPr>
    </w:p>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619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3120;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2096;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0048;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海安美延家居科技有限公司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594B169E"/>
    <w:multiLevelType w:val="singleLevel"/>
    <w:tmpl w:val="594B169E"/>
    <w:lvl w:ilvl="0" w:tentative="0">
      <w:start w:val="2"/>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GU3ZWYxOTM5OTQ2ODMxODk5YTRkMWMxN2E5MDc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C123BA"/>
    <w:rsid w:val="03E05B99"/>
    <w:rsid w:val="03ED0B73"/>
    <w:rsid w:val="03F826EF"/>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144F13"/>
    <w:rsid w:val="06347FAA"/>
    <w:rsid w:val="06840B3B"/>
    <w:rsid w:val="0687353C"/>
    <w:rsid w:val="06A03611"/>
    <w:rsid w:val="06AD3DF6"/>
    <w:rsid w:val="06B548C2"/>
    <w:rsid w:val="06CB77F8"/>
    <w:rsid w:val="06D94A2A"/>
    <w:rsid w:val="07001C9F"/>
    <w:rsid w:val="07840838"/>
    <w:rsid w:val="07A6120A"/>
    <w:rsid w:val="07B635D8"/>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E37DAB"/>
    <w:rsid w:val="0E05432C"/>
    <w:rsid w:val="0E230A9C"/>
    <w:rsid w:val="0E3916B2"/>
    <w:rsid w:val="0E587898"/>
    <w:rsid w:val="0E624A26"/>
    <w:rsid w:val="0E966CBC"/>
    <w:rsid w:val="0F010813"/>
    <w:rsid w:val="0F5041E1"/>
    <w:rsid w:val="0F6578F8"/>
    <w:rsid w:val="0F741646"/>
    <w:rsid w:val="0F762A88"/>
    <w:rsid w:val="0F845151"/>
    <w:rsid w:val="0FA66F21"/>
    <w:rsid w:val="0FC55172"/>
    <w:rsid w:val="0FC84887"/>
    <w:rsid w:val="0FEC2D8E"/>
    <w:rsid w:val="0FF30FEA"/>
    <w:rsid w:val="10297BF6"/>
    <w:rsid w:val="10496292"/>
    <w:rsid w:val="105A4DF7"/>
    <w:rsid w:val="10E41AA8"/>
    <w:rsid w:val="10E50428"/>
    <w:rsid w:val="10F13271"/>
    <w:rsid w:val="110A4333"/>
    <w:rsid w:val="1118155D"/>
    <w:rsid w:val="11587417"/>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96747A"/>
    <w:rsid w:val="13A3130F"/>
    <w:rsid w:val="13E82F19"/>
    <w:rsid w:val="14010C77"/>
    <w:rsid w:val="140356B0"/>
    <w:rsid w:val="141D30BE"/>
    <w:rsid w:val="14587E57"/>
    <w:rsid w:val="14741441"/>
    <w:rsid w:val="14BB1C9F"/>
    <w:rsid w:val="15094C5D"/>
    <w:rsid w:val="15316317"/>
    <w:rsid w:val="155906E9"/>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EE4C4E"/>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9F6FC9"/>
    <w:rsid w:val="1ADD5F89"/>
    <w:rsid w:val="1AE2457F"/>
    <w:rsid w:val="1B284842"/>
    <w:rsid w:val="1B2D3FA1"/>
    <w:rsid w:val="1B761192"/>
    <w:rsid w:val="1BB644AB"/>
    <w:rsid w:val="1BD64C8E"/>
    <w:rsid w:val="1BE21A22"/>
    <w:rsid w:val="1BEF6945"/>
    <w:rsid w:val="1C314E69"/>
    <w:rsid w:val="1C526C57"/>
    <w:rsid w:val="1C89589E"/>
    <w:rsid w:val="1CAC2742"/>
    <w:rsid w:val="1CBA6476"/>
    <w:rsid w:val="1CE263F6"/>
    <w:rsid w:val="1CEB63B0"/>
    <w:rsid w:val="1D00452D"/>
    <w:rsid w:val="1D0C33F7"/>
    <w:rsid w:val="1D1C5869"/>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316401"/>
    <w:rsid w:val="20596293"/>
    <w:rsid w:val="207634F3"/>
    <w:rsid w:val="207E788B"/>
    <w:rsid w:val="20C77F50"/>
    <w:rsid w:val="20D672A3"/>
    <w:rsid w:val="20EF1DAA"/>
    <w:rsid w:val="20F8426A"/>
    <w:rsid w:val="20FA635E"/>
    <w:rsid w:val="214D78C2"/>
    <w:rsid w:val="21D13511"/>
    <w:rsid w:val="21F6317C"/>
    <w:rsid w:val="21FC43D6"/>
    <w:rsid w:val="2216596C"/>
    <w:rsid w:val="22203CF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BE6172"/>
    <w:rsid w:val="25DF6383"/>
    <w:rsid w:val="261B5D49"/>
    <w:rsid w:val="262D4128"/>
    <w:rsid w:val="26444377"/>
    <w:rsid w:val="264D084B"/>
    <w:rsid w:val="26582017"/>
    <w:rsid w:val="265D2253"/>
    <w:rsid w:val="2670658E"/>
    <w:rsid w:val="26806B74"/>
    <w:rsid w:val="268F36B5"/>
    <w:rsid w:val="26B11F2B"/>
    <w:rsid w:val="26D65E39"/>
    <w:rsid w:val="27040920"/>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8728DE"/>
    <w:rsid w:val="2DA4532F"/>
    <w:rsid w:val="2DBC7251"/>
    <w:rsid w:val="2DBF4931"/>
    <w:rsid w:val="2DF424CA"/>
    <w:rsid w:val="2DFC4B6C"/>
    <w:rsid w:val="2DFC5C0B"/>
    <w:rsid w:val="2E0E2C84"/>
    <w:rsid w:val="2E556993"/>
    <w:rsid w:val="2E59454D"/>
    <w:rsid w:val="2E8B30FF"/>
    <w:rsid w:val="2EAB2BF5"/>
    <w:rsid w:val="2EAD2E4C"/>
    <w:rsid w:val="2EAE3074"/>
    <w:rsid w:val="2EC24664"/>
    <w:rsid w:val="2EEA2C98"/>
    <w:rsid w:val="2EF02780"/>
    <w:rsid w:val="2F051999"/>
    <w:rsid w:val="2F0543B1"/>
    <w:rsid w:val="2F066B65"/>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E2A05"/>
    <w:rsid w:val="316664D7"/>
    <w:rsid w:val="316B7CCB"/>
    <w:rsid w:val="316D2FA8"/>
    <w:rsid w:val="31DB0C31"/>
    <w:rsid w:val="324C57A9"/>
    <w:rsid w:val="32614C75"/>
    <w:rsid w:val="32815CBA"/>
    <w:rsid w:val="32951F6D"/>
    <w:rsid w:val="32A6032C"/>
    <w:rsid w:val="32AC17D7"/>
    <w:rsid w:val="32C26BEC"/>
    <w:rsid w:val="33121F64"/>
    <w:rsid w:val="33143EED"/>
    <w:rsid w:val="337C4435"/>
    <w:rsid w:val="33880EEF"/>
    <w:rsid w:val="33902834"/>
    <w:rsid w:val="33C32C8F"/>
    <w:rsid w:val="33C75BC6"/>
    <w:rsid w:val="33F42EE9"/>
    <w:rsid w:val="33F74503"/>
    <w:rsid w:val="341772D9"/>
    <w:rsid w:val="343A01EC"/>
    <w:rsid w:val="34843873"/>
    <w:rsid w:val="34B06097"/>
    <w:rsid w:val="34D25746"/>
    <w:rsid w:val="3546112B"/>
    <w:rsid w:val="35501D28"/>
    <w:rsid w:val="35C0683A"/>
    <w:rsid w:val="35EC1514"/>
    <w:rsid w:val="363E0752"/>
    <w:rsid w:val="364361AA"/>
    <w:rsid w:val="3645702F"/>
    <w:rsid w:val="36585E53"/>
    <w:rsid w:val="366F6D31"/>
    <w:rsid w:val="36871C73"/>
    <w:rsid w:val="37016216"/>
    <w:rsid w:val="37055AD0"/>
    <w:rsid w:val="37121810"/>
    <w:rsid w:val="371E410C"/>
    <w:rsid w:val="3735522D"/>
    <w:rsid w:val="374F3DD7"/>
    <w:rsid w:val="375F706D"/>
    <w:rsid w:val="376932B2"/>
    <w:rsid w:val="376F0CE2"/>
    <w:rsid w:val="37844799"/>
    <w:rsid w:val="37905FFF"/>
    <w:rsid w:val="37AC4983"/>
    <w:rsid w:val="37AF432A"/>
    <w:rsid w:val="37B31F85"/>
    <w:rsid w:val="37E65331"/>
    <w:rsid w:val="3860298E"/>
    <w:rsid w:val="38863971"/>
    <w:rsid w:val="38923D3A"/>
    <w:rsid w:val="389D1318"/>
    <w:rsid w:val="38A504D3"/>
    <w:rsid w:val="38E5618A"/>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76F6"/>
    <w:rsid w:val="3C3E4D7A"/>
    <w:rsid w:val="3C53257C"/>
    <w:rsid w:val="3C6C64DA"/>
    <w:rsid w:val="3C723DB5"/>
    <w:rsid w:val="3CBE720A"/>
    <w:rsid w:val="3CBF3D1B"/>
    <w:rsid w:val="3CE14232"/>
    <w:rsid w:val="3CE300AA"/>
    <w:rsid w:val="3CFF0F0A"/>
    <w:rsid w:val="3D364D81"/>
    <w:rsid w:val="3D374A0B"/>
    <w:rsid w:val="3D572BF0"/>
    <w:rsid w:val="3D5F56B5"/>
    <w:rsid w:val="3DA83D0A"/>
    <w:rsid w:val="3DD20B6C"/>
    <w:rsid w:val="3DDD4B2B"/>
    <w:rsid w:val="3DE11D43"/>
    <w:rsid w:val="3E0A46F6"/>
    <w:rsid w:val="3E2231DF"/>
    <w:rsid w:val="3E3914AB"/>
    <w:rsid w:val="3E47171B"/>
    <w:rsid w:val="3E62523C"/>
    <w:rsid w:val="3E6560C0"/>
    <w:rsid w:val="3E790550"/>
    <w:rsid w:val="3E933053"/>
    <w:rsid w:val="3EB34B10"/>
    <w:rsid w:val="3EB97E84"/>
    <w:rsid w:val="3EC10D7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C854ED"/>
    <w:rsid w:val="40C92324"/>
    <w:rsid w:val="40F50ED0"/>
    <w:rsid w:val="40FC5E3E"/>
    <w:rsid w:val="40FF4477"/>
    <w:rsid w:val="412E6E5A"/>
    <w:rsid w:val="413F001C"/>
    <w:rsid w:val="4154495F"/>
    <w:rsid w:val="415C0B59"/>
    <w:rsid w:val="41834159"/>
    <w:rsid w:val="418A72E4"/>
    <w:rsid w:val="41A907FD"/>
    <w:rsid w:val="41C458B1"/>
    <w:rsid w:val="41D34D41"/>
    <w:rsid w:val="42167845"/>
    <w:rsid w:val="42341EC6"/>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A763AF"/>
    <w:rsid w:val="43B637EA"/>
    <w:rsid w:val="43CB3A74"/>
    <w:rsid w:val="43EA3450"/>
    <w:rsid w:val="43F3642E"/>
    <w:rsid w:val="44001119"/>
    <w:rsid w:val="445F7654"/>
    <w:rsid w:val="447F6556"/>
    <w:rsid w:val="449F1494"/>
    <w:rsid w:val="44AC3DE0"/>
    <w:rsid w:val="44CA7D5F"/>
    <w:rsid w:val="45111DC2"/>
    <w:rsid w:val="452303E7"/>
    <w:rsid w:val="45332881"/>
    <w:rsid w:val="45AD136E"/>
    <w:rsid w:val="45B217F4"/>
    <w:rsid w:val="460E66D2"/>
    <w:rsid w:val="461B516D"/>
    <w:rsid w:val="462C31F9"/>
    <w:rsid w:val="4633108F"/>
    <w:rsid w:val="463915B4"/>
    <w:rsid w:val="46676552"/>
    <w:rsid w:val="469E2915"/>
    <w:rsid w:val="46B73022"/>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9D2B6A"/>
    <w:rsid w:val="48AF1A2C"/>
    <w:rsid w:val="48C02F86"/>
    <w:rsid w:val="48C926EA"/>
    <w:rsid w:val="48DA1AF1"/>
    <w:rsid w:val="493966A3"/>
    <w:rsid w:val="49573279"/>
    <w:rsid w:val="495E5E4C"/>
    <w:rsid w:val="49BE68A4"/>
    <w:rsid w:val="49CA3159"/>
    <w:rsid w:val="49E54E4D"/>
    <w:rsid w:val="4A567E57"/>
    <w:rsid w:val="4A573A86"/>
    <w:rsid w:val="4AAB71D8"/>
    <w:rsid w:val="4ABA3692"/>
    <w:rsid w:val="4ABE09B1"/>
    <w:rsid w:val="4AC64C9B"/>
    <w:rsid w:val="4B000CAC"/>
    <w:rsid w:val="4B022A13"/>
    <w:rsid w:val="4B2B05A4"/>
    <w:rsid w:val="4B353CB6"/>
    <w:rsid w:val="4B467083"/>
    <w:rsid w:val="4B651038"/>
    <w:rsid w:val="4B6B75E9"/>
    <w:rsid w:val="4B7E47FB"/>
    <w:rsid w:val="4B7E4935"/>
    <w:rsid w:val="4B8054BF"/>
    <w:rsid w:val="4B885624"/>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C6DB8"/>
    <w:rsid w:val="4EC23EAE"/>
    <w:rsid w:val="4F192B86"/>
    <w:rsid w:val="4F1E3B41"/>
    <w:rsid w:val="4F1F0560"/>
    <w:rsid w:val="4F543C53"/>
    <w:rsid w:val="4F8B35E0"/>
    <w:rsid w:val="4F9E734F"/>
    <w:rsid w:val="4FA61BE4"/>
    <w:rsid w:val="4FD67DC7"/>
    <w:rsid w:val="500269F8"/>
    <w:rsid w:val="50267B2F"/>
    <w:rsid w:val="503B2047"/>
    <w:rsid w:val="505D17E0"/>
    <w:rsid w:val="50974C0C"/>
    <w:rsid w:val="509E7747"/>
    <w:rsid w:val="50A82BEE"/>
    <w:rsid w:val="50B53652"/>
    <w:rsid w:val="50B57780"/>
    <w:rsid w:val="50C51293"/>
    <w:rsid w:val="50CE4F37"/>
    <w:rsid w:val="512A2805"/>
    <w:rsid w:val="51340528"/>
    <w:rsid w:val="517133B1"/>
    <w:rsid w:val="51D5580D"/>
    <w:rsid w:val="521B7772"/>
    <w:rsid w:val="52251994"/>
    <w:rsid w:val="5233351C"/>
    <w:rsid w:val="52560348"/>
    <w:rsid w:val="527B077E"/>
    <w:rsid w:val="52A2743F"/>
    <w:rsid w:val="52AE24B8"/>
    <w:rsid w:val="52E3483D"/>
    <w:rsid w:val="531C02C3"/>
    <w:rsid w:val="531C21C9"/>
    <w:rsid w:val="532E28B8"/>
    <w:rsid w:val="533471AB"/>
    <w:rsid w:val="536B671A"/>
    <w:rsid w:val="53896791"/>
    <w:rsid w:val="53A01641"/>
    <w:rsid w:val="53A47420"/>
    <w:rsid w:val="53B5288A"/>
    <w:rsid w:val="53BA18F2"/>
    <w:rsid w:val="53D732AC"/>
    <w:rsid w:val="53E95170"/>
    <w:rsid w:val="54013224"/>
    <w:rsid w:val="54082164"/>
    <w:rsid w:val="54396A35"/>
    <w:rsid w:val="543C34A3"/>
    <w:rsid w:val="54493A26"/>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C6470"/>
    <w:rsid w:val="56904833"/>
    <w:rsid w:val="56B47A9C"/>
    <w:rsid w:val="56C03C97"/>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B1519A6"/>
    <w:rsid w:val="5B173022"/>
    <w:rsid w:val="5B2A102F"/>
    <w:rsid w:val="5B380D01"/>
    <w:rsid w:val="5B3C35EA"/>
    <w:rsid w:val="5B4218D9"/>
    <w:rsid w:val="5B761406"/>
    <w:rsid w:val="5B963C33"/>
    <w:rsid w:val="5BA71510"/>
    <w:rsid w:val="5BC61520"/>
    <w:rsid w:val="5C084598"/>
    <w:rsid w:val="5C144FF2"/>
    <w:rsid w:val="5C23541B"/>
    <w:rsid w:val="5C4872F9"/>
    <w:rsid w:val="5C4E5D1A"/>
    <w:rsid w:val="5C5141BF"/>
    <w:rsid w:val="5C665E30"/>
    <w:rsid w:val="5C74248A"/>
    <w:rsid w:val="5C7D7C2D"/>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6B51A4"/>
    <w:rsid w:val="5F7A5E4D"/>
    <w:rsid w:val="5F8E34E5"/>
    <w:rsid w:val="5FB3346D"/>
    <w:rsid w:val="5FF00D08"/>
    <w:rsid w:val="60066A9A"/>
    <w:rsid w:val="60A64894"/>
    <w:rsid w:val="60D3730C"/>
    <w:rsid w:val="60E102C1"/>
    <w:rsid w:val="61067614"/>
    <w:rsid w:val="61101775"/>
    <w:rsid w:val="61262D0F"/>
    <w:rsid w:val="61280BDB"/>
    <w:rsid w:val="61291238"/>
    <w:rsid w:val="613520D4"/>
    <w:rsid w:val="616426A1"/>
    <w:rsid w:val="61AC794F"/>
    <w:rsid w:val="61BA1757"/>
    <w:rsid w:val="61C15914"/>
    <w:rsid w:val="61F424AA"/>
    <w:rsid w:val="626F57F2"/>
    <w:rsid w:val="62715800"/>
    <w:rsid w:val="627B35CE"/>
    <w:rsid w:val="629E4E86"/>
    <w:rsid w:val="62A17DFA"/>
    <w:rsid w:val="62C82302"/>
    <w:rsid w:val="62EC6198"/>
    <w:rsid w:val="630436AD"/>
    <w:rsid w:val="634E2D1B"/>
    <w:rsid w:val="63566A2B"/>
    <w:rsid w:val="636B4B11"/>
    <w:rsid w:val="637C5F97"/>
    <w:rsid w:val="638124D2"/>
    <w:rsid w:val="63A252D2"/>
    <w:rsid w:val="63A66DE8"/>
    <w:rsid w:val="63BE647A"/>
    <w:rsid w:val="6403539E"/>
    <w:rsid w:val="64043A7E"/>
    <w:rsid w:val="642304BF"/>
    <w:rsid w:val="64252C77"/>
    <w:rsid w:val="64253428"/>
    <w:rsid w:val="64474FAC"/>
    <w:rsid w:val="646E14B1"/>
    <w:rsid w:val="647913D5"/>
    <w:rsid w:val="648C1BAD"/>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AB5C05"/>
    <w:rsid w:val="69C908E1"/>
    <w:rsid w:val="69D86E8B"/>
    <w:rsid w:val="69DD1C9D"/>
    <w:rsid w:val="69F92A6F"/>
    <w:rsid w:val="6A072B7C"/>
    <w:rsid w:val="6A4B7F5F"/>
    <w:rsid w:val="6A541948"/>
    <w:rsid w:val="6A797AD4"/>
    <w:rsid w:val="6A97297F"/>
    <w:rsid w:val="6AAA7CC8"/>
    <w:rsid w:val="6ACF0B94"/>
    <w:rsid w:val="6AD101E9"/>
    <w:rsid w:val="6B1804B8"/>
    <w:rsid w:val="6B3D6358"/>
    <w:rsid w:val="6B4B64EA"/>
    <w:rsid w:val="6B5F7C7C"/>
    <w:rsid w:val="6B61569E"/>
    <w:rsid w:val="6B7E7510"/>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C6247"/>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10469C6"/>
    <w:rsid w:val="710D0D68"/>
    <w:rsid w:val="713F1B87"/>
    <w:rsid w:val="7140267B"/>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F088B"/>
    <w:rsid w:val="73EC3B7D"/>
    <w:rsid w:val="740976D0"/>
    <w:rsid w:val="74251108"/>
    <w:rsid w:val="74777A6A"/>
    <w:rsid w:val="747A44A0"/>
    <w:rsid w:val="74E85D51"/>
    <w:rsid w:val="74E96A98"/>
    <w:rsid w:val="75002292"/>
    <w:rsid w:val="751579F6"/>
    <w:rsid w:val="753462A4"/>
    <w:rsid w:val="753A73E9"/>
    <w:rsid w:val="753C13D3"/>
    <w:rsid w:val="755E792B"/>
    <w:rsid w:val="75701E2F"/>
    <w:rsid w:val="758D59FD"/>
    <w:rsid w:val="75932CCC"/>
    <w:rsid w:val="759467DB"/>
    <w:rsid w:val="75A63893"/>
    <w:rsid w:val="75D73501"/>
    <w:rsid w:val="75FD6817"/>
    <w:rsid w:val="76206054"/>
    <w:rsid w:val="762E2976"/>
    <w:rsid w:val="764A5060"/>
    <w:rsid w:val="765448FD"/>
    <w:rsid w:val="76666500"/>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BB6C09"/>
    <w:rsid w:val="7BD66CE1"/>
    <w:rsid w:val="7BF2699E"/>
    <w:rsid w:val="7C2B3097"/>
    <w:rsid w:val="7C6E5087"/>
    <w:rsid w:val="7C73640D"/>
    <w:rsid w:val="7C925305"/>
    <w:rsid w:val="7CA213E1"/>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49462</Words>
  <Characters>58871</Characters>
  <Lines>392</Lines>
  <Paragraphs>110</Paragraphs>
  <TotalTime>6</TotalTime>
  <ScaleCrop>false</ScaleCrop>
  <LinksUpToDate>false</LinksUpToDate>
  <CharactersWithSpaces>59345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A 信创环保（环评、验收、许可证）</cp:lastModifiedBy>
  <cp:lastPrinted>2021-01-08T10:46:00Z</cp:lastPrinted>
  <dcterms:modified xsi:type="dcterms:W3CDTF">2022-06-09T08:08:25Z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862A5C7819714E9D881F45EF53CDDAA9</vt:lpwstr>
  </property>
  <property fmtid="{D5CDD505-2E9C-101B-9397-08002B2CF9AE}" pid="4" name="KSOSaveFontToCloudKey">
    <vt:lpwstr>438787626_cloud</vt:lpwstr>
  </property>
</Properties>
</file>