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XHJJ</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w:t>
      </w:r>
      <w:r>
        <w:rPr>
          <w:rFonts w:hint="eastAsia" w:eastAsia="宋体" w:cs="Times New Roman"/>
          <w:b w:val="0"/>
          <w:bCs/>
          <w:sz w:val="28"/>
          <w:szCs w:val="28"/>
          <w:lang w:val="en-US" w:eastAsia="zh-CN"/>
        </w:rPr>
        <w:t>第二版</w:t>
      </w:r>
      <w:r>
        <w:rPr>
          <w:rFonts w:hint="default" w:ascii="Times New Roman" w:hAnsi="Times New Roman" w:eastAsia="宋体" w:cs="Times New Roman"/>
          <w:b w:val="0"/>
          <w:bCs/>
          <w:sz w:val="28"/>
          <w:szCs w:val="28"/>
          <w:lang w:val="en-US" w:eastAsia="zh-CN"/>
        </w:rPr>
        <w:t>）</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海安鑫恒家具有限公司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海安鑫恒家具有限公司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hAns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hAnsi="宋体" w:eastAsia="宋体" w:cs="宋体"/>
          <w:sz w:val="32"/>
          <w:szCs w:val="22"/>
          <w:lang w:val="en-US" w:eastAsia="zh-CN" w:bidi="zh-CN"/>
        </w:rPr>
        <w:t xml:space="preserve">8 </w:t>
      </w:r>
      <w:r>
        <w:rPr>
          <w:rFonts w:hint="eastAsia" w:ascii="宋体" w:hAnsi="宋体" w:eastAsia="宋体" w:cs="宋体"/>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eastAsia" w:ascii="Times New Roman" w:hAnsi="Times New Roman" w:cs="Times New Roman"/>
          <w:i w:val="0"/>
          <w:iCs w:val="0"/>
          <w:sz w:val="24"/>
          <w:szCs w:val="24"/>
          <w:lang w:val="en-US" w:eastAsia="zh-CN"/>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海安鑫恒家具有限公司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鑫恒家具</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17</w:t>
      </w:r>
      <w:r>
        <w:rPr>
          <w:rFonts w:eastAsia="宋体"/>
          <w:bCs/>
          <w:color w:val="auto"/>
          <w:highlight w:val="none"/>
        </w:rPr>
        <w:t>年</w:t>
      </w:r>
      <w:r>
        <w:rPr>
          <w:rFonts w:hint="eastAsia" w:eastAsia="宋体"/>
          <w:bCs/>
          <w:color w:val="auto"/>
          <w:highlight w:val="none"/>
          <w:lang w:val="en-US" w:eastAsia="zh-CN"/>
        </w:rPr>
        <w:t>5</w:t>
      </w:r>
      <w:r>
        <w:rPr>
          <w:rFonts w:eastAsia="宋体"/>
          <w:bCs/>
          <w:color w:val="auto"/>
          <w:highlight w:val="none"/>
        </w:rPr>
        <w:t>月，</w:t>
      </w:r>
      <w:r>
        <w:rPr>
          <w:rFonts w:eastAsia="宋体"/>
          <w:color w:val="auto"/>
          <w:kern w:val="18"/>
          <w:highlight w:val="none"/>
        </w:rPr>
        <w:t>位于</w:t>
      </w:r>
      <w:r>
        <w:rPr>
          <w:rFonts w:hint="eastAsia" w:eastAsia="宋体"/>
          <w:color w:val="auto"/>
          <w:kern w:val="18"/>
          <w:highlight w:val="none"/>
          <w:lang w:eastAsia="zh-CN"/>
        </w:rPr>
        <w:t>海安市李堡镇富庄村12组</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color w:val="auto"/>
          <w:kern w:val="0"/>
          <w:sz w:val="24"/>
          <w:szCs w:val="24"/>
          <w:highlight w:val="none"/>
          <w:lang w:val="en-US" w:eastAsia="zh-CN"/>
        </w:rPr>
        <w:t>实木家具生产、销售</w:t>
      </w:r>
      <w:r>
        <w:rPr>
          <w:rFonts w:hint="eastAsia" w:eastAsia="宋体"/>
          <w:bCs/>
          <w:color w:val="auto"/>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cs="Times New Roman" w:eastAsiaTheme="minorEastAsia"/>
          <w:kern w:val="0"/>
          <w:sz w:val="24"/>
          <w:szCs w:val="24"/>
          <w:highlight w:val="none"/>
          <w:lang w:val="en-US" w:eastAsia="zh-CN"/>
        </w:rPr>
        <w:t>鑫恒家具</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10</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编制《</w:t>
      </w:r>
      <w:r>
        <w:rPr>
          <w:rFonts w:hint="eastAsia" w:cs="Times New Roman" w:eastAsiaTheme="minorEastAsia"/>
          <w:kern w:val="0"/>
          <w:sz w:val="24"/>
          <w:szCs w:val="24"/>
          <w:highlight w:val="none"/>
          <w:lang w:eastAsia="zh-CN"/>
        </w:rPr>
        <w:t>海安鑫恒家具有限公司</w:t>
      </w:r>
      <w:r>
        <w:rPr>
          <w:rFonts w:hint="eastAsia" w:cs="Times New Roman" w:eastAsiaTheme="minorEastAsia"/>
          <w:kern w:val="0"/>
          <w:sz w:val="24"/>
          <w:szCs w:val="24"/>
          <w:highlight w:val="none"/>
          <w:lang w:val="en-US" w:eastAsia="zh-CN"/>
        </w:rPr>
        <w:t>实木家具加工</w:t>
      </w:r>
      <w:r>
        <w:rPr>
          <w:rFonts w:hint="eastAsia" w:cs="Times New Roman" w:eastAsiaTheme="minorEastAsia"/>
          <w:kern w:val="0"/>
          <w:sz w:val="24"/>
          <w:szCs w:val="24"/>
          <w:highlight w:val="none"/>
          <w:lang w:eastAsia="zh-CN"/>
        </w:rPr>
        <w:t>项目环境影响评价报告表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10</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31</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市行政审批局</w:t>
      </w:r>
      <w:r>
        <w:rPr>
          <w:rFonts w:hint="eastAsia" w:cs="Times New Roman" w:eastAsiaTheme="minorEastAsia"/>
          <w:kern w:val="0"/>
          <w:sz w:val="24"/>
          <w:szCs w:val="24"/>
          <w:highlight w:val="none"/>
          <w:lang w:eastAsia="zh-CN"/>
        </w:rPr>
        <w:t>审批（海</w:t>
      </w:r>
      <w:r>
        <w:rPr>
          <w:rFonts w:hint="eastAsia" w:cs="Times New Roman" w:eastAsiaTheme="minorEastAsia"/>
          <w:kern w:val="0"/>
          <w:sz w:val="24"/>
          <w:szCs w:val="24"/>
          <w:highlight w:val="none"/>
          <w:lang w:val="en-US" w:eastAsia="zh-CN"/>
        </w:rPr>
        <w:t>行审</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18</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451</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鑫恒家具</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kern w:val="0"/>
          <w:sz w:val="24"/>
          <w:szCs w:val="24"/>
          <w:highlight w:val="none"/>
          <w:lang w:val="en-US" w:eastAsia="zh-CN"/>
        </w:rPr>
        <w:t>实木家具1000套</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50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cs="Times New Roman" w:eastAsiaTheme="minorEastAsia"/>
          <w:color w:val="auto"/>
          <w:kern w:val="0"/>
          <w:sz w:val="24"/>
          <w:szCs w:val="24"/>
          <w:highlight w:val="none"/>
          <w:lang w:val="en-US" w:eastAsia="zh-CN"/>
        </w:rPr>
        <w:t>鑫恒家具</w:t>
      </w:r>
      <w:r>
        <w:rPr>
          <w:rFonts w:hint="eastAsia" w:ascii="Times New Roman" w:hAnsi="Times New Roman" w:cs="Times New Roman" w:eastAsiaTheme="minorEastAsia"/>
          <w:color w:val="auto"/>
          <w:kern w:val="0"/>
          <w:sz w:val="24"/>
          <w:szCs w:val="24"/>
          <w:highlight w:val="none"/>
          <w:lang w:val="en-US" w:eastAsia="zh-CN"/>
        </w:rPr>
        <w:t>于201</w:t>
      </w:r>
      <w:r>
        <w:rPr>
          <w:rFonts w:hint="eastAsia" w:cs="Times New Roman" w:eastAsiaTheme="minorEastAsia"/>
          <w:color w:val="auto"/>
          <w:kern w:val="0"/>
          <w:sz w:val="24"/>
          <w:szCs w:val="24"/>
          <w:highlight w:val="none"/>
          <w:lang w:val="en-US" w:eastAsia="zh-CN"/>
        </w:rPr>
        <w:t>9</w:t>
      </w:r>
      <w:r>
        <w:rPr>
          <w:rFonts w:hint="eastAsia" w:ascii="Times New Roman" w:hAnsi="Times New Roman" w:cs="Times New Roman" w:eastAsiaTheme="minorEastAsia"/>
          <w:color w:val="auto"/>
          <w:kern w:val="0"/>
          <w:sz w:val="24"/>
          <w:szCs w:val="24"/>
          <w:highlight w:val="none"/>
          <w:lang w:val="en-US" w:eastAsia="zh-CN"/>
        </w:rPr>
        <w:t>年</w:t>
      </w:r>
      <w:r>
        <w:rPr>
          <w:rFonts w:hint="eastAsia" w:cs="Times New Roman" w:eastAsiaTheme="minorEastAsia"/>
          <w:color w:val="auto"/>
          <w:kern w:val="0"/>
          <w:sz w:val="24"/>
          <w:szCs w:val="24"/>
          <w:highlight w:val="none"/>
          <w:lang w:val="en-US" w:eastAsia="zh-CN"/>
        </w:rPr>
        <w:t>1</w:t>
      </w:r>
      <w:r>
        <w:rPr>
          <w:rFonts w:hint="eastAsia" w:ascii="Times New Roman" w:hAnsi="Times New Roman" w:cs="Times New Roman" w:eastAsiaTheme="minorEastAsia"/>
          <w:color w:val="auto"/>
          <w:kern w:val="0"/>
          <w:sz w:val="24"/>
          <w:szCs w:val="24"/>
          <w:highlight w:val="none"/>
          <w:lang w:val="en-US" w:eastAsia="zh-CN"/>
        </w:rPr>
        <w:t>月编制了《</w:t>
      </w:r>
      <w:r>
        <w:rPr>
          <w:rFonts w:hint="eastAsia" w:cs="Times New Roman" w:eastAsiaTheme="minorEastAsia"/>
          <w:color w:val="auto"/>
          <w:kern w:val="0"/>
          <w:sz w:val="24"/>
          <w:szCs w:val="24"/>
          <w:highlight w:val="none"/>
          <w:lang w:val="en-US" w:eastAsia="zh-CN"/>
        </w:rPr>
        <w:t>海安鑫恒家具有限公司</w:t>
      </w:r>
      <w:r>
        <w:rPr>
          <w:rFonts w:hint="eastAsia" w:ascii="Times New Roman" w:hAnsi="Times New Roman" w:cs="Times New Roman" w:eastAsiaTheme="minorEastAsia"/>
          <w:color w:val="auto"/>
          <w:kern w:val="0"/>
          <w:sz w:val="24"/>
          <w:szCs w:val="24"/>
          <w:highlight w:val="none"/>
          <w:lang w:val="en-US" w:eastAsia="zh-CN"/>
        </w:rPr>
        <w:t>突发环境事件应急预案》，因应急预案有效性到期，</w:t>
      </w:r>
      <w:r>
        <w:rPr>
          <w:rFonts w:hint="eastAsia" w:cs="Times New Roman" w:eastAsiaTheme="minorEastAsia"/>
          <w:color w:val="auto"/>
          <w:kern w:val="0"/>
          <w:sz w:val="24"/>
          <w:szCs w:val="24"/>
          <w:highlight w:val="none"/>
          <w:lang w:val="en-US" w:eastAsia="zh-CN"/>
        </w:rPr>
        <w:t>鑫恒家具</w:t>
      </w:r>
      <w:r>
        <w:rPr>
          <w:rFonts w:hint="eastAsia" w:ascii="Times New Roman" w:hAnsi="Times New Roman" w:cs="Times New Roman" w:eastAsiaTheme="minorEastAsia"/>
          <w:color w:val="auto"/>
          <w:kern w:val="0"/>
          <w:sz w:val="24"/>
          <w:szCs w:val="24"/>
          <w:highlight w:val="none"/>
          <w:lang w:val="en-US" w:eastAsia="zh-CN"/>
        </w:rPr>
        <w:t>家具委托南通</w:t>
      </w:r>
      <w:r>
        <w:rPr>
          <w:rFonts w:hint="eastAsia" w:cs="Times New Roman" w:eastAsiaTheme="minorEastAsia"/>
          <w:color w:val="auto"/>
          <w:kern w:val="0"/>
          <w:sz w:val="24"/>
          <w:szCs w:val="24"/>
          <w:highlight w:val="none"/>
          <w:lang w:val="en-US" w:eastAsia="zh-CN"/>
        </w:rPr>
        <w:t>久蓝</w:t>
      </w:r>
      <w:r>
        <w:rPr>
          <w:rFonts w:hint="eastAsia" w:ascii="Times New Roman" w:hAnsi="Times New Roman" w:cs="Times New Roman" w:eastAsiaTheme="minorEastAsia"/>
          <w:color w:val="auto"/>
          <w:kern w:val="0"/>
          <w:sz w:val="24"/>
          <w:szCs w:val="24"/>
          <w:highlight w:val="none"/>
          <w:lang w:val="en-US" w:eastAsia="zh-CN"/>
        </w:rPr>
        <w:t>环保科技有限公司修编了此次的应急预案。</w:t>
      </w:r>
    </w:p>
    <w:bookmarkEnd w:id="4"/>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（7）《中华人民共和国噪声污染防治法》（国家主席令</w:t>
      </w:r>
      <w:r>
        <w:rPr>
          <w:rFonts w:hint="eastAsia" w:eastAsia="宋体"/>
          <w:lang w:val="en-US" w:eastAsia="zh-CN"/>
        </w:rPr>
        <w:t>104</w:t>
      </w:r>
      <w:r>
        <w:rPr>
          <w:rFonts w:eastAsia="宋体"/>
        </w:rPr>
        <w:t>号，20</w:t>
      </w:r>
      <w:r>
        <w:rPr>
          <w:rFonts w:hint="eastAsia" w:eastAsia="宋体"/>
          <w:lang w:val="en-US" w:eastAsia="zh-CN"/>
        </w:rPr>
        <w:t>22</w:t>
      </w:r>
      <w:r>
        <w:rPr>
          <w:rFonts w:eastAsia="宋体"/>
        </w:rPr>
        <w:t>年</w:t>
      </w:r>
      <w:r>
        <w:rPr>
          <w:rFonts w:hint="eastAsia" w:eastAsia="宋体"/>
          <w:lang w:val="en-US" w:eastAsia="zh-CN"/>
        </w:rPr>
        <w:t>6</w:t>
      </w:r>
      <w:r>
        <w:rPr>
          <w:rFonts w:eastAsia="宋体"/>
        </w:rPr>
        <w:t>月</w:t>
      </w:r>
      <w:r>
        <w:rPr>
          <w:rFonts w:hint="eastAsia" w:eastAsia="宋体"/>
          <w:lang w:val="en-US" w:eastAsia="zh-CN"/>
        </w:rPr>
        <w:t>5</w:t>
      </w:r>
      <w:r>
        <w:rPr>
          <w:rFonts w:eastAsia="宋体"/>
        </w:rPr>
        <w:t>日修改）；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rPr>
        <w:t>化学物质</w:t>
      </w:r>
      <w:r>
        <w:rPr>
          <w:rFonts w:eastAsia="宋体"/>
        </w:rPr>
        <w:t>目录》（2015版）；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w:t>
      </w:r>
      <w:r>
        <w:rPr>
          <w:rFonts w:hint="eastAsia" w:eastAsia="宋体"/>
          <w:lang w:val="en-US" w:eastAsia="zh-CN"/>
        </w:rPr>
        <w:t>2020年版</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3846"/>
      <w:bookmarkStart w:id="12" w:name="_Toc512608511"/>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kern w:val="0"/>
          <w:sz w:val="24"/>
          <w:szCs w:val="24"/>
          <w:highlight w:val="yellow"/>
        </w:rPr>
      </w:pPr>
      <w:r>
        <w:rPr>
          <w:rFonts w:hint="default" w:ascii="Times New Roman" w:hAnsi="Times New Roman" w:eastAsia="宋体" w:cs="Times New Roman"/>
          <w:highlight w:val="none"/>
        </w:rPr>
        <w:t>(</w:t>
      </w:r>
      <w:r>
        <w:rPr>
          <w:rFonts w:hint="default" w:ascii="Times New Roman" w:hAnsi="Times New Roman" w:cs="Times New Roman" w:eastAsiaTheme="minorEastAsia"/>
          <w:kern w:val="0"/>
          <w:sz w:val="24"/>
          <w:szCs w:val="24"/>
          <w:highlight w:val="none"/>
        </w:rPr>
        <w:t>1)《</w:t>
      </w:r>
      <w:r>
        <w:rPr>
          <w:rFonts w:hint="eastAsia" w:cs="Times New Roman" w:eastAsiaTheme="minorEastAsia"/>
          <w:kern w:val="0"/>
          <w:sz w:val="24"/>
          <w:szCs w:val="24"/>
          <w:highlight w:val="none"/>
          <w:lang w:eastAsia="zh-CN"/>
        </w:rPr>
        <w:t>海安鑫恒家具有限公司</w:t>
      </w:r>
      <w:r>
        <w:rPr>
          <w:rFonts w:hint="eastAsia" w:cs="Times New Roman" w:eastAsiaTheme="minorEastAsia"/>
          <w:kern w:val="0"/>
          <w:sz w:val="24"/>
          <w:szCs w:val="24"/>
          <w:highlight w:val="none"/>
          <w:lang w:val="en-US" w:eastAsia="zh-CN"/>
        </w:rPr>
        <w:t>实木家具加工</w:t>
      </w:r>
      <w:r>
        <w:rPr>
          <w:rFonts w:hint="eastAsia" w:ascii="Times New Roman" w:hAnsi="Times New Roman" w:cs="Times New Roman" w:eastAsiaTheme="minorEastAsia"/>
          <w:kern w:val="0"/>
          <w:sz w:val="24"/>
          <w:szCs w:val="24"/>
          <w:highlight w:val="none"/>
          <w:lang w:eastAsia="zh-CN"/>
        </w:rPr>
        <w:t>项目</w:t>
      </w:r>
      <w:r>
        <w:rPr>
          <w:rFonts w:hint="default" w:ascii="Times New Roman" w:hAnsi="Times New Roman" w:cs="Times New Roman" w:eastAsiaTheme="minorEastAsia"/>
          <w:kern w:val="0"/>
          <w:sz w:val="24"/>
          <w:szCs w:val="24"/>
          <w:highlight w:val="none"/>
        </w:rPr>
        <w:t>环境影响报告表》（201</w:t>
      </w:r>
      <w:r>
        <w:rPr>
          <w:rFonts w:hint="eastAsia" w:cs="Times New Roman" w:eastAsiaTheme="minorEastAsia"/>
          <w:kern w:val="0"/>
          <w:sz w:val="24"/>
          <w:szCs w:val="24"/>
          <w:highlight w:val="none"/>
          <w:lang w:val="en-US" w:eastAsia="zh-CN"/>
        </w:rPr>
        <w:t>8</w:t>
      </w:r>
      <w:r>
        <w:rPr>
          <w:rFonts w:hint="default" w:ascii="Times New Roman" w:hAnsi="Times New Roman" w:cs="Times New Roman" w:eastAsiaTheme="minorEastAsia"/>
          <w:kern w:val="0"/>
          <w:sz w:val="24"/>
          <w:szCs w:val="24"/>
          <w:highlight w:val="none"/>
        </w:rPr>
        <w:t>年</w:t>
      </w:r>
      <w:r>
        <w:rPr>
          <w:rFonts w:hint="eastAsia" w:cs="Times New Roman" w:eastAsiaTheme="minorEastAsia"/>
          <w:kern w:val="0"/>
          <w:sz w:val="24"/>
          <w:szCs w:val="24"/>
          <w:highlight w:val="none"/>
          <w:lang w:val="en-US" w:eastAsia="zh-CN"/>
        </w:rPr>
        <w:t>10</w:t>
      </w:r>
      <w:r>
        <w:rPr>
          <w:rFonts w:hint="default" w:ascii="Times New Roman" w:hAnsi="Times New Roman" w:cs="Times New Roman" w:eastAsiaTheme="minorEastAsia"/>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highlight w:val="yellow"/>
        </w:rPr>
      </w:pPr>
      <w:r>
        <w:rPr>
          <w:rFonts w:hint="default" w:ascii="Times New Roman" w:hAnsi="Times New Roman" w:cs="Times New Roman" w:eastAsiaTheme="minorEastAsia"/>
          <w:kern w:val="0"/>
          <w:sz w:val="24"/>
          <w:szCs w:val="24"/>
          <w:highlight w:val="none"/>
        </w:rPr>
        <w:t>(2)《关于</w:t>
      </w:r>
      <w:r>
        <w:rPr>
          <w:rFonts w:hint="eastAsia" w:cs="Times New Roman" w:eastAsiaTheme="minorEastAsia"/>
          <w:kern w:val="0"/>
          <w:sz w:val="24"/>
          <w:szCs w:val="24"/>
          <w:highlight w:val="none"/>
          <w:lang w:eastAsia="zh-CN"/>
        </w:rPr>
        <w:t>海安鑫恒家具有限公司</w:t>
      </w:r>
      <w:r>
        <w:rPr>
          <w:rFonts w:hint="eastAsia" w:cs="Times New Roman" w:eastAsiaTheme="minorEastAsia"/>
          <w:kern w:val="0"/>
          <w:sz w:val="24"/>
          <w:szCs w:val="24"/>
          <w:highlight w:val="none"/>
          <w:lang w:val="en-US" w:eastAsia="zh-CN"/>
        </w:rPr>
        <w:t>实木家具加工</w:t>
      </w:r>
      <w:r>
        <w:rPr>
          <w:rFonts w:hint="eastAsia" w:ascii="Times New Roman" w:hAnsi="Times New Roman" w:cs="Times New Roman" w:eastAsiaTheme="minorEastAsia"/>
          <w:kern w:val="0"/>
          <w:sz w:val="24"/>
          <w:szCs w:val="24"/>
          <w:highlight w:val="none"/>
          <w:lang w:eastAsia="zh-CN"/>
        </w:rPr>
        <w:t>项目</w:t>
      </w:r>
      <w:r>
        <w:rPr>
          <w:rFonts w:hint="default" w:ascii="Times New Roman" w:hAnsi="Times New Roman" w:cs="Times New Roman" w:eastAsiaTheme="minorEastAsia"/>
          <w:kern w:val="0"/>
          <w:sz w:val="24"/>
          <w:szCs w:val="24"/>
          <w:highlight w:val="none"/>
        </w:rPr>
        <w:t>环境影响报告表的批复》（海安</w:t>
      </w:r>
      <w:r>
        <w:rPr>
          <w:rFonts w:hint="eastAsia" w:cs="Times New Roman" w:eastAsiaTheme="minorEastAsia"/>
          <w:kern w:val="0"/>
          <w:sz w:val="24"/>
          <w:szCs w:val="24"/>
          <w:highlight w:val="none"/>
          <w:lang w:val="en-US" w:eastAsia="zh-CN"/>
        </w:rPr>
        <w:t>市行政审批</w:t>
      </w:r>
      <w:r>
        <w:rPr>
          <w:rFonts w:hint="default" w:ascii="Times New Roman" w:hAnsi="Times New Roman" w:cs="Times New Roman" w:eastAsiaTheme="minorEastAsia"/>
          <w:kern w:val="0"/>
          <w:sz w:val="24"/>
          <w:szCs w:val="24"/>
          <w:highlight w:val="none"/>
        </w:rPr>
        <w:t>局，</w:t>
      </w:r>
      <w:r>
        <w:rPr>
          <w:rFonts w:hint="eastAsia" w:ascii="Times New Roman" w:hAnsi="Times New Roman" w:cs="Times New Roman" w:eastAsiaTheme="minorEastAsia"/>
          <w:kern w:val="0"/>
          <w:sz w:val="24"/>
          <w:szCs w:val="24"/>
          <w:highlight w:val="none"/>
          <w:lang w:val="en-US" w:eastAsia="zh-CN"/>
        </w:rPr>
        <w:t>海</w:t>
      </w:r>
      <w:r>
        <w:rPr>
          <w:rFonts w:hint="eastAsia" w:cs="Times New Roman" w:eastAsiaTheme="minorEastAsia"/>
          <w:kern w:val="0"/>
          <w:sz w:val="24"/>
          <w:szCs w:val="24"/>
          <w:highlight w:val="none"/>
          <w:lang w:val="en-US" w:eastAsia="zh-CN"/>
        </w:rPr>
        <w:t>行审</w:t>
      </w:r>
      <w:r>
        <w:rPr>
          <w:rFonts w:hint="eastAsia" w:ascii="Times New Roman" w:hAnsi="Times New Roman"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val="en-US" w:eastAsia="zh-CN"/>
        </w:rPr>
        <w:t>18</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451</w:t>
      </w:r>
      <w:r>
        <w:rPr>
          <w:rFonts w:hint="eastAsia" w:ascii="Times New Roman" w:hAnsi="Times New Roman" w:cs="Times New Roman" w:eastAsiaTheme="minorEastAsia"/>
          <w:kern w:val="0"/>
          <w:sz w:val="24"/>
          <w:szCs w:val="24"/>
          <w:highlight w:val="none"/>
          <w:lang w:val="en-US" w:eastAsia="zh-CN"/>
        </w:rPr>
        <w:t>号</w:t>
      </w:r>
      <w:r>
        <w:rPr>
          <w:rFonts w:hint="default" w:ascii="Times New Roman" w:hAnsi="Times New Roman" w:cs="Times New Roman" w:eastAsiaTheme="minorEastAsia"/>
          <w:kern w:val="0"/>
          <w:sz w:val="24"/>
          <w:szCs w:val="24"/>
          <w:highlight w:val="none"/>
        </w:rPr>
        <w:t>，20</w:t>
      </w:r>
      <w:r>
        <w:rPr>
          <w:rFonts w:hint="eastAsia" w:cs="Times New Roman" w:eastAsiaTheme="minorEastAsia"/>
          <w:kern w:val="0"/>
          <w:sz w:val="24"/>
          <w:szCs w:val="24"/>
          <w:highlight w:val="none"/>
          <w:lang w:val="en-US" w:eastAsia="zh-CN"/>
        </w:rPr>
        <w:t>18</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10</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31</w:t>
      </w:r>
      <w:r>
        <w:rPr>
          <w:rFonts w:hint="default" w:ascii="Times New Roman" w:hAnsi="Times New Roman" w:cs="Times New Roman" w:eastAsiaTheme="minorEastAsia"/>
          <w:kern w:val="0"/>
          <w:sz w:val="24"/>
          <w:szCs w:val="24"/>
          <w:highlight w:val="none"/>
        </w:rPr>
        <w:t>）</w:t>
      </w:r>
      <w:r>
        <w:rPr>
          <w:rFonts w:hint="default" w:ascii="Times New Roman" w:hAnsi="Times New Roman" w:eastAsia="宋体" w:cs="Times New Roman"/>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海安鑫恒家具有限公司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海安鑫恒家具有限公司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5507990" cy="4432935"/>
            <wp:effectExtent l="0" t="0" r="16510" b="571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11" cstate="print"/>
                    <a:srcRect/>
                    <a:stretch>
                      <a:fillRect/>
                    </a:stretch>
                  </pic:blipFill>
                  <pic:spPr>
                    <a:xfrm>
                      <a:off x="0" y="0"/>
                      <a:ext cx="5507990" cy="4432935"/>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海安鑫恒家具有限公司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17</w:t>
      </w:r>
      <w:r>
        <w:rPr>
          <w:rFonts w:hint="eastAsia" w:eastAsia="宋体"/>
          <w:bCs/>
          <w:color w:val="000000"/>
          <w:highlight w:val="none"/>
          <w:lang w:eastAsia="zh-CN"/>
        </w:rPr>
        <w:t>年</w:t>
      </w:r>
      <w:r>
        <w:rPr>
          <w:rFonts w:hint="eastAsia" w:eastAsia="宋体"/>
          <w:bCs/>
          <w:color w:val="000000"/>
          <w:highlight w:val="none"/>
          <w:lang w:val="en-US" w:eastAsia="zh-CN"/>
        </w:rPr>
        <w:t>5</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海安市李堡镇富庄村12组</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color w:val="auto"/>
          <w:kern w:val="0"/>
          <w:sz w:val="24"/>
          <w:szCs w:val="24"/>
          <w:highlight w:val="none"/>
          <w:lang w:val="en-US" w:eastAsia="zh-CN"/>
        </w:rPr>
        <w:t>实木</w:t>
      </w:r>
      <w:r>
        <w:rPr>
          <w:rFonts w:hint="eastAsia" w:ascii="Times New Roman" w:hAnsi="Times New Roman" w:cs="Times New Roman" w:eastAsiaTheme="minorEastAsia"/>
          <w:color w:val="auto"/>
          <w:kern w:val="0"/>
          <w:sz w:val="24"/>
          <w:szCs w:val="24"/>
          <w:highlight w:val="none"/>
          <w:lang w:val="en-US" w:eastAsia="zh-CN"/>
        </w:rPr>
        <w:t>家具制造</w:t>
      </w:r>
      <w:r>
        <w:rPr>
          <w:rFonts w:eastAsia="宋体"/>
          <w:bCs/>
          <w:color w:val="000000"/>
          <w:highlight w:val="none"/>
        </w:rPr>
        <w:t>的企业。</w:t>
      </w:r>
      <w:r>
        <w:rPr>
          <w:rFonts w:hint="eastAsia" w:eastAsia="宋体"/>
          <w:bCs/>
          <w:color w:val="000000"/>
          <w:highlight w:val="none"/>
          <w:lang w:eastAsia="zh-CN"/>
        </w:rPr>
        <w:t>海安鑫恒家具有限公司</w:t>
      </w:r>
      <w:r>
        <w:rPr>
          <w:rFonts w:eastAsia="宋体"/>
          <w:bCs/>
          <w:color w:val="000000"/>
          <w:highlight w:val="none"/>
        </w:rPr>
        <w:t>投资</w:t>
      </w:r>
      <w:r>
        <w:rPr>
          <w:rFonts w:hint="eastAsia" w:eastAsia="宋体"/>
          <w:bCs/>
          <w:color w:val="000000"/>
          <w:highlight w:val="none"/>
          <w:lang w:val="en-US" w:eastAsia="zh-CN"/>
        </w:rPr>
        <w:t>5000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鑫恒家具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5184平方米</w:t>
      </w:r>
      <w:r>
        <w:rPr>
          <w:rFonts w:hint="default" w:ascii="Times New Roman" w:hAnsi="Times New Roman" w:cs="Times New Roman" w:eastAsiaTheme="minorEastAsia"/>
          <w:kern w:val="0"/>
          <w:sz w:val="24"/>
          <w:szCs w:val="24"/>
          <w:highlight w:val="none"/>
        </w:rPr>
        <w:t>，</w:t>
      </w:r>
      <w:r>
        <w:rPr>
          <w:rFonts w:eastAsia="宋体"/>
          <w:bCs/>
          <w:color w:val="000000"/>
          <w:highlight w:val="none"/>
        </w:rPr>
        <w:t>，职工</w:t>
      </w:r>
      <w:r>
        <w:rPr>
          <w:rFonts w:hint="eastAsia" w:eastAsia="宋体"/>
          <w:bCs/>
          <w:color w:val="000000"/>
          <w:highlight w:val="none"/>
          <w:lang w:val="en-US" w:eastAsia="zh-CN"/>
        </w:rPr>
        <w:t>50</w:t>
      </w:r>
      <w:r>
        <w:rPr>
          <w:rFonts w:eastAsia="宋体"/>
          <w:bCs/>
          <w:color w:val="000000"/>
          <w:highlight w:val="none"/>
        </w:rPr>
        <w:t>人，一班8h工作制，年工作300天。</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鑫恒家具</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海安鑫恒家具有限公司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海安市李堡镇富庄村12组</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海安李堡镇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李堡镇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祝风池</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富庄村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default" w:ascii="Times New Roman" w:hAnsi="Times New Roman" w:cs="Times New Roman"/>
                <w:sz w:val="21"/>
                <w:szCs w:val="21"/>
              </w:rPr>
              <w:t>91320621MA1P2T423E</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2266</w:t>
            </w:r>
            <w:r>
              <w:rPr>
                <w:rFonts w:hint="eastAsia" w:ascii="Times New Roman" w:eastAsia="宋体" w:cs="Times New Roman"/>
                <w:sz w:val="21"/>
                <w:szCs w:val="21"/>
                <w:highlight w:val="none"/>
                <w:lang w:val="en-US" w:eastAsia="zh-CN"/>
              </w:rPr>
              <w:t>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50</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5184</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木料</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C2</w:t>
            </w:r>
            <w:r>
              <w:rPr>
                <w:rFonts w:hint="eastAsia" w:ascii="Times New Roman" w:eastAsia="宋体" w:cs="Times New Roman"/>
                <w:sz w:val="21"/>
                <w:szCs w:val="21"/>
                <w:highlight w:val="none"/>
                <w:lang w:val="en-US" w:eastAsia="zh-CN"/>
              </w:rPr>
              <w:t>110木质家具制造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120.68334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祝风池</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32.54808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18221697375</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2017.5</w:t>
            </w:r>
          </w:p>
        </w:tc>
        <w:tc>
          <w:tcPr>
            <w:tcW w:w="20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eastAsia="zh-CN"/>
              </w:rPr>
              <w:t>2</w:t>
            </w:r>
            <w:r>
              <w:rPr>
                <w:rFonts w:hint="eastAsia" w:ascii="Times New Roman" w:eastAsia="宋体" w:cs="Times New Roman"/>
                <w:sz w:val="21"/>
                <w:szCs w:val="21"/>
                <w:highlight w:val="none"/>
                <w:lang w:val="en-US" w:eastAsia="zh-CN"/>
              </w:rPr>
              <w:t>018.12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公司具体环评情况见表3-2。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表3-2 环评情况</w:t>
      </w:r>
    </w:p>
    <w:tbl>
      <w:tblPr>
        <w:tblStyle w:val="37"/>
        <w:tblW w:w="48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4"/>
        <w:gridCol w:w="2184"/>
        <w:gridCol w:w="2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1" w:hRule="atLeast"/>
          <w:tblHeader/>
          <w:jc w:val="center"/>
        </w:trPr>
        <w:tc>
          <w:tcPr>
            <w:tcW w:w="2426"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3"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环评批复情况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234"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339"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海安鑫恒家具有限公司实木家具加工项目</w:t>
            </w:r>
          </w:p>
        </w:tc>
        <w:tc>
          <w:tcPr>
            <w:tcW w:w="1234" w:type="pct"/>
            <w:tcBorders>
              <w:tl2br w:val="nil"/>
              <w:tr2bl w:val="nil"/>
            </w:tcBorders>
            <w:shd w:val="clear" w:color="auto" w:fill="auto"/>
            <w:vAlign w:val="center"/>
          </w:tcPr>
          <w:p>
            <w:pPr>
              <w:widowControl/>
              <w:adjustRightInd w:val="0"/>
              <w:snapToGrid w:val="0"/>
              <w:jc w:val="center"/>
              <w:rPr>
                <w:rFonts w:eastAsia="宋体"/>
                <w:sz w:val="21"/>
                <w:szCs w:val="21"/>
                <w:highlight w:val="yellow"/>
              </w:rPr>
            </w:pPr>
            <w:r>
              <w:rPr>
                <w:rFonts w:eastAsia="宋体"/>
                <w:sz w:val="21"/>
                <w:szCs w:val="21"/>
                <w:highlight w:val="none"/>
              </w:rPr>
              <w:t>海安</w:t>
            </w:r>
            <w:r>
              <w:rPr>
                <w:rFonts w:hint="eastAsia" w:eastAsia="宋体"/>
                <w:sz w:val="21"/>
                <w:szCs w:val="21"/>
                <w:highlight w:val="none"/>
                <w:lang w:val="en-US" w:eastAsia="zh-CN"/>
              </w:rPr>
              <w:t>市行政审批</w:t>
            </w:r>
            <w:r>
              <w:rPr>
                <w:rFonts w:eastAsia="宋体"/>
                <w:sz w:val="21"/>
                <w:szCs w:val="21"/>
                <w:highlight w:val="none"/>
              </w:rPr>
              <w:t>局</w:t>
            </w:r>
          </w:p>
        </w:tc>
        <w:tc>
          <w:tcPr>
            <w:tcW w:w="1339"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yellow"/>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w:t>
            </w:r>
            <w:r>
              <w:rPr>
                <w:rFonts w:hint="eastAsia" w:eastAsia="宋体"/>
                <w:sz w:val="21"/>
                <w:szCs w:val="21"/>
                <w:highlight w:val="none"/>
                <w:lang w:eastAsia="zh-CN"/>
              </w:rPr>
              <w:t>[20</w:t>
            </w:r>
            <w:r>
              <w:rPr>
                <w:rFonts w:hint="eastAsia" w:eastAsia="宋体"/>
                <w:sz w:val="21"/>
                <w:szCs w:val="21"/>
                <w:highlight w:val="none"/>
                <w:lang w:val="en-US" w:eastAsia="zh-CN"/>
              </w:rPr>
              <w:t>18</w:t>
            </w:r>
            <w:r>
              <w:rPr>
                <w:rFonts w:hint="eastAsia" w:eastAsia="宋体"/>
                <w:sz w:val="21"/>
                <w:szCs w:val="21"/>
                <w:highlight w:val="none"/>
                <w:lang w:eastAsia="zh-CN"/>
              </w:rPr>
              <w:t>]</w:t>
            </w:r>
            <w:r>
              <w:rPr>
                <w:rFonts w:hint="eastAsia" w:eastAsia="宋体"/>
                <w:sz w:val="21"/>
                <w:szCs w:val="21"/>
                <w:highlight w:val="none"/>
                <w:lang w:val="en-US" w:eastAsia="zh-CN"/>
              </w:rPr>
              <w:t>451</w:t>
            </w:r>
            <w:r>
              <w:rPr>
                <w:rFonts w:hint="eastAsia" w:eastAsia="宋体"/>
                <w:sz w:val="21"/>
                <w:szCs w:val="21"/>
                <w:highlight w:val="none"/>
                <w:lang w:eastAsia="zh-CN"/>
              </w:rPr>
              <w:t>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highlight w:val="yellow"/>
        </w:rPr>
      </w:pPr>
      <w:bookmarkStart w:id="20" w:name="_Toc496887104"/>
      <w:bookmarkStart w:id="21" w:name="_Toc510092931"/>
      <w:bookmarkStart w:id="22" w:name="_Toc16237"/>
      <w:r>
        <w:rPr>
          <w:rFonts w:hint="default" w:ascii="Times New Roman" w:hAnsi="Times New Roman" w:eastAsia="宋体" w:cs="Times New Roman"/>
        </w:rPr>
        <w:t>3.1.2</w:t>
      </w:r>
      <w:r>
        <w:rPr>
          <w:rFonts w:hint="default" w:ascii="Times New Roman" w:hAnsi="Times New Roman" w:eastAsia="宋体" w:cs="Times New Roman"/>
          <w:highlight w:val="none"/>
        </w:rPr>
        <w:t>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李堡镇</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蒋庄河</w:t>
      </w:r>
      <w:r>
        <w:rPr>
          <w:rFonts w:eastAsia="宋体"/>
        </w:rPr>
        <w:t>、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496887105"/>
      <w:bookmarkStart w:id="25" w:name="_Toc510092932"/>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鑫恒家具</w:t>
      </w:r>
      <w:r>
        <w:rPr>
          <w:rFonts w:ascii="Times New Roman" w:hAnsi="Times New Roman" w:eastAsia="宋体" w:cs="Times New Roman"/>
          <w:szCs w:val="24"/>
        </w:rPr>
        <w:t>所在地区域大气、</w:t>
      </w:r>
      <w:r>
        <w:rPr>
          <w:rFonts w:hint="eastAsia" w:ascii="Times New Roman" w:hAnsi="Times New Roman" w:eastAsia="宋体" w:cs="Times New Roman"/>
          <w:szCs w:val="24"/>
          <w:lang w:val="en-US" w:eastAsia="zh-CN"/>
        </w:rPr>
        <w:t>水、声</w:t>
      </w:r>
      <w:r>
        <w:rPr>
          <w:rFonts w:ascii="Times New Roman" w:hAnsi="Times New Roman" w:eastAsia="宋体" w:cs="Times New Roman"/>
          <w:szCs w:val="24"/>
        </w:rPr>
        <w:t>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鑫恒家具</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adjustRightInd w:val="0"/>
              <w:snapToGrid w:val="0"/>
              <w:jc w:val="center"/>
              <w:rPr>
                <w:rFonts w:eastAsia="宋体"/>
                <w:b/>
                <w:sz w:val="21"/>
                <w:szCs w:val="21"/>
              </w:rPr>
            </w:pPr>
            <w:r>
              <w:rPr>
                <w:rFonts w:eastAsia="宋体"/>
                <w:b/>
                <w:sz w:val="21"/>
                <w:szCs w:val="21"/>
              </w:rPr>
              <w:t>环境要素</w:t>
            </w:r>
          </w:p>
        </w:tc>
        <w:tc>
          <w:tcPr>
            <w:tcW w:w="6095" w:type="dxa"/>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eastAsia="宋体"/>
                <w:sz w:val="21"/>
                <w:szCs w:val="21"/>
              </w:rPr>
            </w:pPr>
            <w:r>
              <w:rPr>
                <w:rFonts w:eastAsia="宋体"/>
                <w:sz w:val="21"/>
                <w:szCs w:val="21"/>
              </w:rPr>
              <w:t>空气环境</w:t>
            </w:r>
          </w:p>
        </w:tc>
        <w:tc>
          <w:tcPr>
            <w:tcW w:w="1605" w:type="dxa"/>
            <w:vAlign w:val="center"/>
          </w:tcPr>
          <w:p>
            <w:pPr>
              <w:adjustRightInd w:val="0"/>
              <w:snapToGrid w:val="0"/>
              <w:jc w:val="center"/>
              <w:rPr>
                <w:rFonts w:eastAsia="宋体"/>
                <w:sz w:val="21"/>
                <w:szCs w:val="21"/>
              </w:rPr>
            </w:pPr>
            <w:r>
              <w:rPr>
                <w:rFonts w:eastAsia="宋体"/>
                <w:sz w:val="21"/>
                <w:szCs w:val="21"/>
              </w:rPr>
              <w:t>所在区域</w:t>
            </w:r>
          </w:p>
        </w:tc>
        <w:tc>
          <w:tcPr>
            <w:tcW w:w="6095" w:type="dxa"/>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eastAsia="宋体"/>
                <w:sz w:val="21"/>
                <w:szCs w:val="21"/>
              </w:rPr>
            </w:pPr>
            <w:r>
              <w:rPr>
                <w:rFonts w:eastAsia="宋体"/>
                <w:sz w:val="21"/>
                <w:szCs w:val="21"/>
              </w:rPr>
              <w:t>水环境</w:t>
            </w:r>
          </w:p>
        </w:tc>
        <w:tc>
          <w:tcPr>
            <w:tcW w:w="1605" w:type="dxa"/>
            <w:vAlign w:val="center"/>
          </w:tcPr>
          <w:p>
            <w:pPr>
              <w:adjustRightInd w:val="0"/>
              <w:snapToGrid w:val="0"/>
              <w:jc w:val="center"/>
              <w:rPr>
                <w:rFonts w:eastAsia="宋体"/>
                <w:sz w:val="21"/>
                <w:szCs w:val="21"/>
              </w:rPr>
            </w:pPr>
            <w:r>
              <w:rPr>
                <w:rFonts w:hint="eastAsia" w:eastAsia="宋体"/>
                <w:sz w:val="21"/>
                <w:szCs w:val="21"/>
                <w:lang w:val="en-US" w:eastAsia="zh-CN"/>
              </w:rPr>
              <w:t>丁堡河</w:t>
            </w:r>
          </w:p>
        </w:tc>
        <w:tc>
          <w:tcPr>
            <w:tcW w:w="6095" w:type="dxa"/>
            <w:vMerge w:val="restart"/>
            <w:vAlign w:val="center"/>
          </w:tcPr>
          <w:p>
            <w:pPr>
              <w:adjustRightInd w:val="0"/>
              <w:snapToGrid w:val="0"/>
              <w:jc w:val="left"/>
              <w:rPr>
                <w:rFonts w:eastAsia="宋体"/>
                <w:sz w:val="21"/>
                <w:szCs w:val="21"/>
              </w:rPr>
            </w:pPr>
            <w:r>
              <w:rPr>
                <w:rFonts w:eastAsia="宋体"/>
                <w:sz w:val="21"/>
                <w:szCs w:val="21"/>
              </w:rPr>
              <w:t>《地表水环境质量标准》（GB 3838-2002）</w:t>
            </w:r>
            <w:r>
              <w:rPr>
                <w:rFonts w:hint="eastAsia" w:eastAsia="宋体"/>
                <w:sz w:val="21"/>
                <w:szCs w:val="21"/>
              </w:rPr>
              <w:t>Ⅲ</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北凌河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蒋庄河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红旗河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bottom w:val="single" w:color="auto" w:sz="12" w:space="0"/>
            </w:tcBorders>
            <w:vAlign w:val="center"/>
          </w:tcPr>
          <w:p>
            <w:pPr>
              <w:adjustRightInd w:val="0"/>
              <w:snapToGrid w:val="0"/>
              <w:jc w:val="center"/>
              <w:rPr>
                <w:rFonts w:eastAsia="宋体"/>
                <w:sz w:val="21"/>
                <w:szCs w:val="21"/>
              </w:rPr>
            </w:pPr>
            <w:r>
              <w:rPr>
                <w:rFonts w:hint="eastAsia" w:eastAsia="宋体"/>
                <w:sz w:val="21"/>
                <w:szCs w:val="21"/>
                <w:lang w:val="en-US" w:eastAsia="zh-CN"/>
              </w:rPr>
              <w:t>声</w:t>
            </w:r>
            <w:r>
              <w:rPr>
                <w:rFonts w:eastAsia="宋体"/>
                <w:sz w:val="21"/>
                <w:szCs w:val="21"/>
              </w:rPr>
              <w:t>环境</w:t>
            </w:r>
          </w:p>
        </w:tc>
        <w:tc>
          <w:tcPr>
            <w:tcW w:w="1605" w:type="dxa"/>
            <w:tcBorders>
              <w:bottom w:val="single" w:color="auto" w:sz="12" w:space="0"/>
            </w:tcBorders>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tcBorders>
              <w:bottom w:val="single" w:color="auto" w:sz="12" w:space="0"/>
            </w:tcBorders>
            <w:vAlign w:val="center"/>
          </w:tcPr>
          <w:p>
            <w:pPr>
              <w:adjustRightInd w:val="0"/>
              <w:snapToGrid w:val="0"/>
              <w:jc w:val="left"/>
              <w:rPr>
                <w:rFonts w:eastAsia="宋体"/>
                <w:sz w:val="21"/>
                <w:szCs w:val="21"/>
              </w:rPr>
            </w:pPr>
            <w:r>
              <w:rPr>
                <w:rFonts w:eastAsia="宋体"/>
                <w:sz w:val="21"/>
                <w:szCs w:val="21"/>
              </w:rPr>
              <w:t>《</w:t>
            </w:r>
            <w:r>
              <w:rPr>
                <w:rFonts w:hint="eastAsia" w:eastAsia="宋体"/>
                <w:sz w:val="21"/>
                <w:szCs w:val="21"/>
                <w:lang w:val="en-US" w:eastAsia="zh-CN"/>
              </w:rPr>
              <w:t>声</w:t>
            </w:r>
            <w:r>
              <w:rPr>
                <w:rFonts w:eastAsia="宋体"/>
                <w:sz w:val="21"/>
                <w:szCs w:val="21"/>
              </w:rPr>
              <w:t>环境质量标准》（GB</w:t>
            </w:r>
            <w:r>
              <w:rPr>
                <w:rFonts w:hint="eastAsia" w:eastAsia="宋体"/>
                <w:sz w:val="21"/>
                <w:szCs w:val="21"/>
                <w:lang w:val="en-US" w:eastAsia="zh-CN"/>
              </w:rPr>
              <w:t xml:space="preserve"> 3096-2008</w:t>
            </w:r>
            <w:r>
              <w:rPr>
                <w:rFonts w:eastAsia="宋体"/>
                <w:sz w:val="21"/>
                <w:szCs w:val="21"/>
              </w:rPr>
              <w:t>）</w:t>
            </w:r>
            <w:r>
              <w:rPr>
                <w:rFonts w:hint="eastAsia" w:eastAsia="宋体"/>
                <w:sz w:val="21"/>
                <w:szCs w:val="21"/>
                <w:lang w:val="en-US" w:eastAsia="zh-CN"/>
              </w:rPr>
              <w:t>3</w:t>
            </w:r>
            <w:r>
              <w:rPr>
                <w:rFonts w:eastAsia="宋体"/>
                <w:sz w:val="21"/>
                <w:szCs w:val="21"/>
              </w:rPr>
              <w:t>类标准</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21</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30</w:t>
      </w:r>
      <w:r>
        <w:rPr>
          <w:rFonts w:eastAsia="宋体"/>
        </w:rPr>
        <w:t>微克/立方米、</w:t>
      </w:r>
      <w:r>
        <w:rPr>
          <w:rFonts w:hint="eastAsia" w:eastAsia="宋体"/>
          <w:lang w:val="en-US" w:eastAsia="zh-CN"/>
        </w:rPr>
        <w:t>45</w:t>
      </w:r>
      <w:r>
        <w:rPr>
          <w:rFonts w:eastAsia="宋体"/>
        </w:rPr>
        <w:t>微克/立方米、</w:t>
      </w:r>
      <w:r>
        <w:rPr>
          <w:rFonts w:hint="eastAsia" w:eastAsia="宋体"/>
          <w:lang w:val="en-US" w:eastAsia="zh-CN"/>
        </w:rPr>
        <w:t>6</w:t>
      </w:r>
      <w:r>
        <w:rPr>
          <w:rFonts w:eastAsia="宋体"/>
        </w:rPr>
        <w:t>微克/立方米、</w:t>
      </w:r>
      <w:r>
        <w:rPr>
          <w:rFonts w:hint="eastAsia" w:eastAsia="宋体"/>
          <w:lang w:val="en-US" w:eastAsia="zh-CN"/>
        </w:rPr>
        <w:t>26</w:t>
      </w:r>
      <w:r>
        <w:rPr>
          <w:rFonts w:eastAsia="宋体"/>
        </w:rPr>
        <w:t>微克/立方米、</w:t>
      </w:r>
      <w:r>
        <w:rPr>
          <w:rFonts w:hint="eastAsia" w:eastAsia="宋体"/>
          <w:lang w:val="en-US" w:eastAsia="zh-CN"/>
        </w:rPr>
        <w:t>1.0</w:t>
      </w:r>
      <w:r>
        <w:rPr>
          <w:rFonts w:eastAsia="宋体"/>
        </w:rPr>
        <w:t>毫克/立方米和</w:t>
      </w:r>
      <w:r>
        <w:rPr>
          <w:rFonts w:hint="eastAsia" w:eastAsia="宋体"/>
          <w:lang w:val="en-US" w:eastAsia="zh-CN"/>
        </w:rPr>
        <w:t>156</w:t>
      </w:r>
      <w:r>
        <w:rPr>
          <w:rFonts w:eastAsia="宋体"/>
        </w:rPr>
        <w:t>微克/立方米。与20</w:t>
      </w:r>
      <w:r>
        <w:rPr>
          <w:rFonts w:hint="eastAsia" w:eastAsia="宋体"/>
          <w:lang w:val="en-US" w:eastAsia="zh-CN"/>
        </w:rPr>
        <w:t>20</w:t>
      </w:r>
      <w:r>
        <w:rPr>
          <w:rFonts w:eastAsia="宋体"/>
        </w:rPr>
        <w:t>年相比，</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、SO</w:t>
      </w:r>
      <w:r>
        <w:rPr>
          <w:rFonts w:eastAsia="宋体"/>
          <w:vertAlign w:val="subscript"/>
        </w:rPr>
        <w:t>2</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CO第95百分位数浓度均有下降</w:t>
      </w:r>
      <w:r>
        <w:rPr>
          <w:rFonts w:eastAsia="宋体"/>
        </w:rPr>
        <w:t>浓度均有下降，降幅分别为</w:t>
      </w:r>
      <w:r>
        <w:rPr>
          <w:rFonts w:hint="eastAsia" w:eastAsia="宋体"/>
          <w:lang w:val="en-US" w:eastAsia="zh-CN"/>
        </w:rPr>
        <w:t>11.8</w:t>
      </w:r>
      <w:r>
        <w:rPr>
          <w:rFonts w:eastAsia="宋体"/>
        </w:rPr>
        <w:t>%、</w:t>
      </w:r>
      <w:r>
        <w:rPr>
          <w:rFonts w:hint="eastAsia" w:eastAsia="宋体"/>
          <w:lang w:val="en-US" w:eastAsia="zh-CN"/>
        </w:rPr>
        <w:t>2.2%、33.3</w:t>
      </w:r>
      <w:r>
        <w:rPr>
          <w:rFonts w:eastAsia="宋体"/>
        </w:rPr>
        <w:t>%、</w:t>
      </w:r>
      <w:r>
        <w:rPr>
          <w:rFonts w:hint="eastAsia" w:eastAsia="宋体"/>
          <w:lang w:val="en-US" w:eastAsia="zh-CN"/>
        </w:rPr>
        <w:t>3.7</w:t>
      </w:r>
      <w:r>
        <w:rPr>
          <w:rFonts w:eastAsia="宋体"/>
        </w:rPr>
        <w:t>%和</w:t>
      </w:r>
      <w:r>
        <w:rPr>
          <w:rFonts w:hint="eastAsia" w:eastAsia="宋体"/>
          <w:lang w:val="en-US" w:eastAsia="zh-CN"/>
        </w:rPr>
        <w:t>9.1</w:t>
      </w:r>
      <w:r>
        <w:rPr>
          <w:rFonts w:eastAsia="宋体"/>
        </w:rPr>
        <w:t>%；O</w:t>
      </w:r>
      <w:r>
        <w:rPr>
          <w:rFonts w:eastAsia="宋体"/>
          <w:vertAlign w:val="subscript"/>
        </w:rPr>
        <w:t>3</w:t>
      </w:r>
      <w:r>
        <w:rPr>
          <w:rFonts w:hint="eastAsia" w:eastAsia="宋体"/>
          <w:vertAlign w:val="baseline"/>
          <w:lang w:val="en-US" w:eastAsia="zh-CN"/>
        </w:rPr>
        <w:t>第90百分位数浓度</w:t>
      </w:r>
      <w:r>
        <w:rPr>
          <w:rFonts w:eastAsia="宋体"/>
        </w:rPr>
        <w:t>浓度上升</w:t>
      </w:r>
      <w:r>
        <w:rPr>
          <w:rFonts w:hint="eastAsia" w:eastAsia="宋体"/>
          <w:lang w:val="en-US" w:eastAsia="zh-CN"/>
        </w:rPr>
        <w:t>5.4</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20</w:t>
      </w:r>
      <w:r>
        <w:rPr>
          <w:rFonts w:hint="eastAsia" w:eastAsia="宋体"/>
          <w:lang w:val="en-US" w:eastAsia="zh-CN"/>
        </w:rPr>
        <w:t>21</w:t>
      </w:r>
      <w:r>
        <w:rPr>
          <w:rFonts w:eastAsia="宋体"/>
        </w:rPr>
        <w:t>年，按照省政府发布的《江苏省重污染天气应急预案》，我市共发布</w:t>
      </w:r>
      <w:r>
        <w:rPr>
          <w:rFonts w:hint="eastAsia" w:eastAsia="宋体"/>
          <w:lang w:val="en-US" w:eastAsia="zh-CN"/>
        </w:rPr>
        <w:t>1</w:t>
      </w:r>
      <w:r>
        <w:rPr>
          <w:rFonts w:eastAsia="宋体"/>
        </w:rPr>
        <w:t>次黄色预警，预警天数</w:t>
      </w:r>
      <w:r>
        <w:rPr>
          <w:rFonts w:hint="eastAsia" w:eastAsia="宋体"/>
          <w:lang w:val="en-US" w:eastAsia="zh-CN"/>
        </w:rPr>
        <w:t>2</w:t>
      </w:r>
      <w:r>
        <w:rPr>
          <w:rFonts w:eastAsia="宋体"/>
        </w:rPr>
        <w:t>天</w:t>
      </w:r>
      <w:r>
        <w:rPr>
          <w:rFonts w:hint="eastAsia" w:eastAsia="宋体"/>
          <w:lang w:eastAsia="zh-CN"/>
        </w:rPr>
        <w:t>，</w:t>
      </w:r>
      <w:r>
        <w:rPr>
          <w:rFonts w:hint="eastAsia" w:eastAsia="宋体"/>
          <w:lang w:val="en-US" w:eastAsia="zh-CN"/>
        </w:rPr>
        <w:t>比2020年减少20天。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w:t>
      </w:r>
      <w:r>
        <w:rPr>
          <w:rFonts w:hint="eastAsia" w:eastAsia="宋体"/>
        </w:rPr>
        <w:t>栟茶运河、北凌河、如泰运河、通启运河、通扬运河水质为Ⅲ至Ⅳ类，主要污染物指标为总磷。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21</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w:t>
      </w:r>
      <w:r>
        <w:rPr>
          <w:rFonts w:hint="eastAsia" w:eastAsia="宋体"/>
          <w:lang w:val="en-US" w:eastAsia="zh-CN"/>
        </w:rPr>
        <w:t>1</w:t>
      </w:r>
      <w:r>
        <w:rPr>
          <w:rFonts w:eastAsia="宋体"/>
        </w:rPr>
        <w:t>年度南通市环境质量公报》可知，</w:t>
      </w:r>
      <w:r>
        <w:rPr>
          <w:rFonts w:hint="eastAsia" w:eastAsia="宋体"/>
        </w:rPr>
        <w:t>我市24个土壤省级风险监控点土壤环境质量较好，均低于相应风险筛选值，其中有4个点位土壤轻度碱化，占比16.6%，其余点位土壤未出现酸化或碱化。</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w:t>
      </w:r>
      <w:r>
        <w:rPr>
          <w:rFonts w:hint="eastAsia" w:eastAsia="宋体" w:cs="Times New Roman"/>
          <w:lang w:val="en-US" w:eastAsia="zh-CN"/>
        </w:rPr>
        <w:t>1</w:t>
      </w:r>
      <w:r>
        <w:rPr>
          <w:rFonts w:ascii="Times New Roman" w:hAnsi="Times New Roman" w:eastAsia="宋体" w:cs="Times New Roman"/>
          <w:lang w:val="en-US" w:eastAsia="zh-CN"/>
        </w:rPr>
        <w:t>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w:t>
      </w:r>
      <w:r>
        <w:rPr>
          <w:rFonts w:hint="eastAsia" w:eastAsia="宋体" w:cs="Times New Roman"/>
          <w:lang w:val="en-US" w:eastAsia="zh-CN"/>
        </w:rPr>
        <w:t>30.32</w:t>
      </w:r>
      <w:r>
        <w:rPr>
          <w:rFonts w:hint="default" w:ascii="Times New Roman" w:hAnsi="Times New Roman" w:eastAsia="宋体" w:cs="Times New Roman"/>
          <w:lang w:val="en-US" w:eastAsia="zh-CN"/>
        </w:rPr>
        <w:t>，植被覆盖指数为</w:t>
      </w:r>
      <w:r>
        <w:rPr>
          <w:rFonts w:hint="eastAsia" w:eastAsia="宋体" w:cs="Times New Roman"/>
          <w:lang w:val="en-US" w:eastAsia="zh-CN"/>
        </w:rPr>
        <w:t>74.47</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w:t>
      </w:r>
      <w:r>
        <w:rPr>
          <w:rFonts w:hint="eastAsia" w:eastAsia="宋体" w:cs="Times New Roman"/>
          <w:lang w:val="en-US" w:eastAsia="zh-CN"/>
        </w:rPr>
        <w:t>80.92</w:t>
      </w:r>
      <w:r>
        <w:rPr>
          <w:rFonts w:hint="default" w:ascii="Times New Roman" w:hAnsi="Times New Roman" w:eastAsia="宋体" w:cs="Times New Roman"/>
          <w:lang w:val="en-US" w:eastAsia="zh-CN"/>
        </w:rPr>
        <w:t>，土地胁迫指数为</w:t>
      </w:r>
      <w:r>
        <w:rPr>
          <w:rFonts w:hint="eastAsia" w:eastAsia="宋体" w:cs="Times New Roman"/>
          <w:lang w:val="en-US" w:eastAsia="zh-CN"/>
        </w:rPr>
        <w:t>6.43</w:t>
      </w:r>
      <w:r>
        <w:rPr>
          <w:rFonts w:hint="default" w:ascii="Times New Roman" w:hAnsi="Times New Roman" w:eastAsia="宋体" w:cs="Times New Roman"/>
          <w:lang w:val="en-US" w:eastAsia="zh-CN"/>
        </w:rPr>
        <w:t>，污染负荷指数</w:t>
      </w:r>
      <w:r>
        <w:rPr>
          <w:rFonts w:hint="eastAsia" w:eastAsia="宋体" w:cs="Times New Roman"/>
          <w:lang w:val="en-US" w:eastAsia="zh-CN"/>
        </w:rPr>
        <w:t>0.61</w:t>
      </w:r>
      <w:r>
        <w:rPr>
          <w:rFonts w:hint="default" w:ascii="Times New Roman" w:hAnsi="Times New Roman" w:eastAsia="宋体" w:cs="Times New Roman"/>
          <w:lang w:val="en-US" w:eastAsia="zh-CN"/>
        </w:rPr>
        <w:t>。按照《生态环境质量评价技术规范》（HJ/T192-2015），全市生态环境状况指数为65.</w:t>
      </w:r>
      <w:r>
        <w:rPr>
          <w:rFonts w:hint="eastAsia" w:eastAsia="宋体" w:cs="Times New Roman"/>
          <w:lang w:val="en-US" w:eastAsia="zh-CN"/>
        </w:rPr>
        <w:t>34</w:t>
      </w:r>
      <w:r>
        <w:rPr>
          <w:rFonts w:hint="default" w:ascii="Times New Roman" w:hAnsi="Times New Roman" w:eastAsia="宋体" w:cs="Times New Roman"/>
          <w:lang w:val="en-US" w:eastAsia="zh-CN"/>
        </w:rPr>
        <w:t>，处于良好状态。四县（市）、通州区、海门区生态环境状况指数分别为：海安66.</w:t>
      </w:r>
      <w:r>
        <w:rPr>
          <w:rFonts w:hint="eastAsia" w:eastAsia="宋体" w:cs="Times New Roman"/>
          <w:lang w:val="en-US" w:eastAsia="zh-CN"/>
        </w:rPr>
        <w:t>87</w:t>
      </w:r>
      <w:r>
        <w:rPr>
          <w:rFonts w:hint="default" w:ascii="Times New Roman" w:hAnsi="Times New Roman" w:eastAsia="宋体" w:cs="Times New Roman"/>
          <w:lang w:val="en-US" w:eastAsia="zh-CN"/>
        </w:rPr>
        <w:t>、如皋66.</w:t>
      </w:r>
      <w:r>
        <w:rPr>
          <w:rFonts w:hint="eastAsia" w:eastAsia="宋体" w:cs="Times New Roman"/>
          <w:lang w:val="en-US" w:eastAsia="zh-CN"/>
        </w:rPr>
        <w:t>23</w:t>
      </w:r>
      <w:r>
        <w:rPr>
          <w:rFonts w:hint="default" w:ascii="Times New Roman" w:hAnsi="Times New Roman" w:eastAsia="宋体" w:cs="Times New Roman"/>
          <w:lang w:val="en-US" w:eastAsia="zh-CN"/>
        </w:rPr>
        <w:t>、如东66.</w:t>
      </w:r>
      <w:r>
        <w:rPr>
          <w:rFonts w:hint="eastAsia" w:eastAsia="宋体" w:cs="Times New Roman"/>
          <w:lang w:val="en-US" w:eastAsia="zh-CN"/>
        </w:rPr>
        <w:t>91</w:t>
      </w:r>
      <w:r>
        <w:rPr>
          <w:rFonts w:hint="default" w:ascii="Times New Roman" w:hAnsi="Times New Roman" w:eastAsia="宋体" w:cs="Times New Roman"/>
          <w:lang w:val="en-US" w:eastAsia="zh-CN"/>
        </w:rPr>
        <w:t>、启东65.</w:t>
      </w:r>
      <w:r>
        <w:rPr>
          <w:rFonts w:hint="eastAsia" w:eastAsia="宋体" w:cs="Times New Roman"/>
          <w:lang w:val="en-US" w:eastAsia="zh-CN"/>
        </w:rPr>
        <w:t>42</w:t>
      </w:r>
      <w:r>
        <w:rPr>
          <w:rFonts w:hint="default" w:ascii="Times New Roman" w:hAnsi="Times New Roman" w:eastAsia="宋体" w:cs="Times New Roman"/>
          <w:lang w:val="en-US" w:eastAsia="zh-CN"/>
        </w:rPr>
        <w:t>、通州63.</w:t>
      </w:r>
      <w:r>
        <w:rPr>
          <w:rFonts w:hint="eastAsia" w:eastAsia="宋体" w:cs="Times New Roman"/>
          <w:lang w:val="en-US" w:eastAsia="zh-CN"/>
        </w:rPr>
        <w:t>62</w:t>
      </w:r>
      <w:r>
        <w:rPr>
          <w:rFonts w:hint="default" w:ascii="Times New Roman" w:hAnsi="Times New Roman" w:eastAsia="宋体" w:cs="Times New Roman"/>
          <w:lang w:val="en-US" w:eastAsia="zh-CN"/>
        </w:rPr>
        <w:t>、海门63.</w:t>
      </w:r>
      <w:r>
        <w:rPr>
          <w:rFonts w:hint="eastAsia" w:eastAsia="宋体" w:cs="Times New Roman"/>
          <w:lang w:val="en-US" w:eastAsia="zh-CN"/>
        </w:rPr>
        <w:t>03</w:t>
      </w:r>
      <w:r>
        <w:rPr>
          <w:rFonts w:hint="default" w:ascii="Times New Roman" w:hAnsi="Times New Roman" w:eastAsia="宋体" w:cs="Times New Roman"/>
          <w:lang w:val="en-US" w:eastAsia="zh-CN"/>
        </w:rPr>
        <w:t>，均处于良好状态。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鑫恒家具</w:t>
      </w:r>
      <w:r>
        <w:rPr>
          <w:rFonts w:hint="default" w:ascii="Times New Roman" w:hAnsi="Times New Roman" w:eastAsia="宋体" w:cs="Times New Roman"/>
        </w:rPr>
        <w:t>位于</w:t>
      </w:r>
      <w:r>
        <w:rPr>
          <w:rFonts w:hint="eastAsia" w:eastAsia="宋体" w:cs="Times New Roman"/>
          <w:lang w:eastAsia="zh-CN"/>
        </w:rPr>
        <w:t>海安市李堡镇富庄村12组</w:t>
      </w:r>
      <w:r>
        <w:rPr>
          <w:rFonts w:hint="default" w:ascii="Times New Roman" w:hAnsi="Times New Roman" w:eastAsia="宋体" w:cs="Times New Roman"/>
        </w:rPr>
        <w:t>，</w:t>
      </w:r>
      <w:r>
        <w:rPr>
          <w:rFonts w:hint="eastAsia" w:eastAsia="宋体" w:cs="Times New Roman"/>
          <w:lang w:eastAsia="zh-CN"/>
        </w:rPr>
        <w:t>鑫恒家具</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企业周边5公里范围内大气环境风险受体情况见表3-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鑫恒家具</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富庄村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江海雅苑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1000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w:t>
            </w:r>
            <w:r>
              <w:rPr>
                <w:rFonts w:hint="default" w:ascii="Times New Roman" w:hAnsi="Times New Roman" w:eastAsia="宋体" w:cs="Times New Roman"/>
                <w:color w:val="000000"/>
                <w:kern w:val="0"/>
                <w:sz w:val="21"/>
                <w:szCs w:val="21"/>
                <w:vertAlign w:val="baseline"/>
                <w:lang w:val="en-US" w:eastAsia="zh-CN" w:bidi="ar-SA"/>
              </w:rPr>
              <w:t>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1300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4</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杨庄村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w:t>
            </w: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1600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5</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李堡镇中心幼儿园</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2000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6</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李堡镇中心小学</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2300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1000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7</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李堡镇初级中学</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2500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1200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8</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李堡中心医院</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2600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9</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李堡中学</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2700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1500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10</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李灶村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11</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三里村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12</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安平村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13</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光明村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14</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园墩村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15</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大凌村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16</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农机站村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3000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约600人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17</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凌河村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18</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团结村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19</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周庄村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3900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20</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尚海花苑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1200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21</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东西村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1900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22</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锦盛花苑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1500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23</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美丽新城</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2000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1800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24</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堡西村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25</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包场村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26</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腰灶村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NWN</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27</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缪庄村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754</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28</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曹码村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1700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29</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杭庄村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30</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蒋庄村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31</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曹园村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32</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东风村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许洋村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2900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34</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腰郭村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35</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林蚕村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4000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大场村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4600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37</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南洋村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38</w:t>
            </w:r>
          </w:p>
        </w:tc>
        <w:tc>
          <w:tcPr>
            <w:tcW w:w="192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牛庄村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4500</w:t>
            </w:r>
          </w:p>
        </w:tc>
        <w:tc>
          <w:tcPr>
            <w:tcW w:w="135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39</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中凌村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40</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西凌村</w:t>
            </w:r>
          </w:p>
        </w:tc>
        <w:tc>
          <w:tcPr>
            <w:tcW w:w="115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41</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丁所村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3700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42</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新联村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43</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陈湾村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3500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44</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堡河村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3100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45</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姚庄村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46</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徐家村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47</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树园村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2500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新坝村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49</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范堑村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3600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50</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双凌村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SES</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51</w:t>
            </w:r>
          </w:p>
        </w:tc>
        <w:tc>
          <w:tcPr>
            <w:tcW w:w="192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向阳村</w:t>
            </w:r>
          </w:p>
        </w:tc>
        <w:tc>
          <w:tcPr>
            <w:tcW w:w="1155"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1900</w:t>
            </w:r>
          </w:p>
        </w:tc>
        <w:tc>
          <w:tcPr>
            <w:tcW w:w="1350"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约</w:t>
            </w:r>
            <w:r>
              <w:rPr>
                <w:rFonts w:hint="eastAsia" w:ascii="Times New Roman" w:hAnsi="Times New Roman" w:eastAsia="宋体" w:cs="Times New Roman"/>
                <w:color w:val="000000"/>
                <w:kern w:val="0"/>
                <w:sz w:val="21"/>
                <w:szCs w:val="21"/>
                <w:vertAlign w:val="baseline"/>
                <w:lang w:val="en-US" w:eastAsia="zh-CN" w:bidi="ar-SA"/>
              </w:rPr>
              <w:t>600</w:t>
            </w:r>
            <w:r>
              <w:rPr>
                <w:rFonts w:hint="default" w:ascii="Times New Roman" w:hAnsi="Times New Roman" w:eastAsia="宋体" w:cs="Times New Roman"/>
                <w:color w:val="000000"/>
                <w:kern w:val="0"/>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29100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bookmarkStart w:id="28" w:name="_Toc510092935"/>
      <w:bookmarkStart w:id="29" w:name="_Toc24780"/>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eastAsia" w:eastAsia="宋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val="en-US" w:eastAsia="zh-CN"/>
          <w14:textFill>
            <w14:solidFill>
              <w14:schemeClr w14:val="tx1"/>
            </w14:solidFill>
          </w14:textFill>
        </w:rPr>
        <w:t>鑫恒</w:t>
      </w:r>
      <w:r>
        <w:rPr>
          <w:rFonts w:hint="eastAsia" w:eastAsia="宋体" w:cs="Times New Roman"/>
          <w:b/>
          <w:bCs/>
          <w:color w:val="000000" w:themeColor="text1"/>
          <w:highlight w:val="none"/>
          <w:lang w:eastAsia="zh-CN"/>
          <w14:textFill>
            <w14:solidFill>
              <w14:schemeClr w14:val="tx1"/>
            </w14:solidFill>
          </w14:textFill>
        </w:rPr>
        <w:t>家具</w:t>
      </w:r>
      <w:r>
        <w:rPr>
          <w:rFonts w:hint="default" w:ascii="Times New Roman" w:hAnsi="Times New Roman" w:eastAsia="宋体" w:cs="Times New Roman"/>
          <w:b/>
          <w:bCs/>
          <w:color w:val="000000" w:themeColor="text1"/>
          <w:highlight w:val="none"/>
          <w14:textFill>
            <w14:solidFill>
              <w14:schemeClr w14:val="tx1"/>
            </w14:solidFill>
          </w14:textFill>
        </w:rPr>
        <w:t>周边5</w:t>
      </w:r>
      <w:r>
        <w:rPr>
          <w:rFonts w:hint="eastAsia" w:eastAsia="宋体" w:cs="Times New Roman"/>
          <w:b/>
          <w:bCs/>
          <w:color w:val="000000" w:themeColor="text1"/>
          <w:highlight w:val="none"/>
          <w:lang w:val="en-US" w:eastAsia="zh-CN"/>
          <w14:textFill>
            <w14:solidFill>
              <w14:schemeClr w14:val="tx1"/>
            </w14:solidFill>
          </w14:textFill>
        </w:rPr>
        <w:t>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pPr w:leftFromText="180" w:rightFromText="180" w:vertAnchor="text" w:horzAnchor="page" w:tblpX="1371" w:tblpY="573"/>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105"/>
        <w:gridCol w:w="832"/>
        <w:gridCol w:w="1064"/>
        <w:gridCol w:w="155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序号</w:t>
            </w: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企业</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距离</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联系人</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联系方式</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w:t>
            </w: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李富科技发展园</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20</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李荣</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13951384818</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约300人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2</w:t>
            </w:r>
          </w:p>
        </w:tc>
        <w:tc>
          <w:tcPr>
            <w:tcW w:w="410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富庄村</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300</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约600人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2"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总计人数</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约900人</w:t>
            </w:r>
          </w:p>
        </w:tc>
      </w:tr>
    </w:tbl>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p>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鑫恒家具</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color w:val="000000" w:themeColor="text1"/>
          <w:lang w:val="en-US" w:eastAsia="zh-CN"/>
          <w14:textFill>
            <w14:solidFill>
              <w14:schemeClr w14:val="tx1"/>
            </w14:solidFill>
          </w14:textFill>
        </w:rPr>
        <w:t>无水环境风险受体</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rPr>
          <w:rFonts w:hint="default" w:ascii="Times New Roman" w:hAnsi="Times New Roman" w:eastAsia="宋体" w:cs="Times New Roman"/>
        </w:rPr>
      </w:pPr>
      <w:bookmarkStart w:id="30" w:name="_Toc510595810"/>
      <w:bookmarkStart w:id="31" w:name="_Toc511134772"/>
      <w:bookmarkStart w:id="32" w:name="_Toc499034389"/>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蒋庄河、丁堡河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5</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5</w:t>
      </w:r>
      <w:r>
        <w:rPr>
          <w:rFonts w:hint="default" w:ascii="Times New Roman" w:hAnsi="Times New Roman" w:eastAsia="宋体" w:cs="Times New Roman"/>
          <w:b/>
          <w:bCs/>
        </w:rPr>
        <w:t xml:space="preserve"> 公司周边水环境敏感目标（10公里）</w:t>
      </w:r>
    </w:p>
    <w:tbl>
      <w:tblPr>
        <w:tblStyle w:val="37"/>
        <w:tblW w:w="51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98"/>
        <w:gridCol w:w="734"/>
        <w:gridCol w:w="1033"/>
        <w:gridCol w:w="577"/>
        <w:gridCol w:w="3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0"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5"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sz w:val="21"/>
                <w:szCs w:val="21"/>
                <w:highlight w:val="none"/>
                <w:lang w:val="en-US"/>
              </w:rPr>
            </w:pPr>
            <w:r>
              <w:rPr>
                <w:rFonts w:hint="eastAsia" w:cs="Times New Roman"/>
                <w:color w:val="auto"/>
                <w:kern w:val="44"/>
                <w:sz w:val="21"/>
                <w:szCs w:val="21"/>
                <w:highlight w:val="none"/>
                <w:lang w:val="en-US" w:eastAsia="zh-CN"/>
              </w:rPr>
              <w:t>红旗河</w:t>
            </w:r>
          </w:p>
        </w:tc>
        <w:tc>
          <w:tcPr>
            <w:tcW w:w="390" w:type="pct"/>
            <w:tcBorders>
              <w:tl2br w:val="nil"/>
              <w:tr2bl w:val="nil"/>
            </w:tcBorders>
            <w:vAlign w:val="center"/>
          </w:tcPr>
          <w:p>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N</w:t>
            </w:r>
          </w:p>
        </w:tc>
        <w:tc>
          <w:tcPr>
            <w:tcW w:w="549" w:type="pct"/>
            <w:tcBorders>
              <w:tl2br w:val="nil"/>
              <w:tr2bl w:val="nil"/>
            </w:tcBorders>
            <w:vAlign w:val="center"/>
          </w:tcPr>
          <w:p>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150</w:t>
            </w:r>
          </w:p>
        </w:tc>
        <w:tc>
          <w:tcPr>
            <w:tcW w:w="307"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bidi="ar-SA"/>
              </w:rPr>
              <w:t>小河</w:t>
            </w:r>
          </w:p>
        </w:tc>
        <w:tc>
          <w:tcPr>
            <w:tcW w:w="1945" w:type="pct"/>
            <w:vMerge w:val="restart"/>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eastAsia="宋体" w:cs="Times New Roman"/>
                <w:bCs/>
                <w:sz w:val="21"/>
                <w:szCs w:val="21"/>
                <w:highlight w:val="none"/>
                <w:lang w:val="en-US"/>
              </w:rPr>
              <w:t>Ⅲ</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color w:val="auto"/>
                <w:kern w:val="44"/>
                <w:sz w:val="21"/>
                <w:szCs w:val="21"/>
                <w:highlight w:val="none"/>
                <w:lang w:val="en-US" w:eastAsia="zh-CN"/>
              </w:rPr>
            </w:pPr>
            <w:r>
              <w:rPr>
                <w:rFonts w:hint="eastAsia" w:cs="Times New Roman"/>
                <w:color w:val="auto"/>
                <w:kern w:val="44"/>
                <w:sz w:val="21"/>
                <w:szCs w:val="21"/>
                <w:highlight w:val="none"/>
                <w:lang w:val="en-US" w:eastAsia="zh-CN"/>
              </w:rPr>
              <w:t>蒋庄河</w:t>
            </w:r>
          </w:p>
        </w:tc>
        <w:tc>
          <w:tcPr>
            <w:tcW w:w="390" w:type="pct"/>
            <w:tcBorders>
              <w:tl2br w:val="nil"/>
              <w:tr2bl w:val="nil"/>
            </w:tcBorders>
            <w:vAlign w:val="center"/>
          </w:tcPr>
          <w:p>
            <w:pPr>
              <w:pStyle w:val="14"/>
              <w:spacing w:after="0"/>
              <w:ind w:left="0" w:leftChars="0"/>
              <w:jc w:val="center"/>
              <w:rPr>
                <w:rFonts w:hint="eastAsia" w:ascii="Times New Roman" w:hAnsi="Times New Roman"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S</w:t>
            </w:r>
          </w:p>
        </w:tc>
        <w:tc>
          <w:tcPr>
            <w:tcW w:w="549" w:type="pct"/>
            <w:tcBorders>
              <w:tl2br w:val="nil"/>
              <w:tr2bl w:val="nil"/>
            </w:tcBorders>
            <w:vAlign w:val="center"/>
          </w:tcPr>
          <w:p>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320</w:t>
            </w:r>
          </w:p>
        </w:tc>
        <w:tc>
          <w:tcPr>
            <w:tcW w:w="307"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vMerge w:val="continue"/>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tcBorders>
              <w:tl2br w:val="nil"/>
              <w:tr2bl w:val="nil"/>
            </w:tcBorders>
            <w:vAlign w:val="center"/>
          </w:tcPr>
          <w:p>
            <w:pPr>
              <w:pStyle w:val="251"/>
              <w:keepNext w:val="0"/>
              <w:tabs>
                <w:tab w:val="left" w:pos="1400"/>
              </w:tabs>
              <w:autoSpaceDE/>
              <w:autoSpaceDN/>
              <w:spacing w:line="240" w:lineRule="auto"/>
              <w:rPr>
                <w:rFonts w:hint="default" w:cs="Times New Roman"/>
                <w:color w:val="auto"/>
                <w:kern w:val="44"/>
                <w:sz w:val="21"/>
                <w:szCs w:val="21"/>
                <w:highlight w:val="none"/>
                <w:lang w:val="en-US" w:eastAsia="zh-CN"/>
              </w:rPr>
            </w:pPr>
            <w:bookmarkStart w:id="34" w:name="_Toc4967"/>
            <w:r>
              <w:rPr>
                <w:rFonts w:hint="eastAsia" w:cs="Times New Roman"/>
                <w:color w:val="auto"/>
                <w:kern w:val="44"/>
                <w:sz w:val="21"/>
                <w:szCs w:val="21"/>
                <w:highlight w:val="none"/>
                <w:lang w:val="en-US" w:eastAsia="zh-CN"/>
              </w:rPr>
              <w:t>丁堡河</w:t>
            </w:r>
          </w:p>
        </w:tc>
        <w:tc>
          <w:tcPr>
            <w:tcW w:w="390" w:type="pct"/>
            <w:tcBorders>
              <w:tl2br w:val="nil"/>
              <w:tr2bl w:val="nil"/>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E</w:t>
            </w:r>
          </w:p>
        </w:tc>
        <w:tc>
          <w:tcPr>
            <w:tcW w:w="549" w:type="pct"/>
            <w:tcBorders>
              <w:tl2br w:val="nil"/>
              <w:tr2bl w:val="nil"/>
            </w:tcBorders>
            <w:vAlign w:val="center"/>
          </w:tcPr>
          <w:p>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1150</w:t>
            </w:r>
          </w:p>
        </w:tc>
        <w:tc>
          <w:tcPr>
            <w:tcW w:w="307" w:type="pct"/>
            <w:tcBorders>
              <w:tl2br w:val="nil"/>
              <w:tr2bl w:val="nil"/>
            </w:tcBorders>
            <w:vAlign w:val="center"/>
          </w:tcPr>
          <w:p>
            <w:pPr>
              <w:widowControl/>
              <w:adjustRightInd w:val="0"/>
              <w:snapToGrid w:val="0"/>
              <w:jc w:val="center"/>
              <w:rPr>
                <w:rFonts w:hint="default"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vMerge w:val="continue"/>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451631652"/>
      <w:bookmarkStart w:id="36" w:name="_Toc1211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-6</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-6</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pPr w:leftFromText="180" w:rightFromText="180" w:vertAnchor="text" w:horzAnchor="page" w:tblpX="1345" w:tblpY="457"/>
        <w:tblOverlap w:val="never"/>
        <w:tblW w:w="100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04"/>
        <w:gridCol w:w="2580"/>
        <w:gridCol w:w="1005"/>
        <w:gridCol w:w="1050"/>
        <w:gridCol w:w="1125"/>
        <w:gridCol w:w="1110"/>
        <w:gridCol w:w="1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1304"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258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100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年用量</w:t>
            </w:r>
          </w:p>
        </w:tc>
        <w:tc>
          <w:tcPr>
            <w:tcW w:w="105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p>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w:t>
            </w:r>
          </w:p>
        </w:tc>
        <w:tc>
          <w:tcPr>
            <w:tcW w:w="1125"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1185" w:type="dxa"/>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p>
        </w:tc>
        <w:tc>
          <w:tcPr>
            <w:tcW w:w="1304"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木材</w:t>
            </w:r>
          </w:p>
        </w:tc>
        <w:tc>
          <w:tcPr>
            <w:tcW w:w="258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00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470m</w:t>
            </w:r>
            <w:r>
              <w:rPr>
                <w:rFonts w:hint="eastAsia" w:ascii="Times New Roman" w:hAnsi="Times New Roman" w:eastAsia="宋体" w:cs="Times New Roman"/>
                <w:color w:val="auto"/>
                <w:sz w:val="21"/>
                <w:szCs w:val="21"/>
                <w:highlight w:val="none"/>
                <w:vertAlign w:val="superscript"/>
                <w:lang w:val="en-US" w:eastAsia="zh-CN"/>
              </w:rPr>
              <w:t>3</w:t>
            </w:r>
          </w:p>
        </w:tc>
        <w:tc>
          <w:tcPr>
            <w:tcW w:w="105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p>
        </w:tc>
        <w:tc>
          <w:tcPr>
            <w:tcW w:w="1125"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板材</w:t>
            </w:r>
          </w:p>
        </w:tc>
        <w:tc>
          <w:tcPr>
            <w:tcW w:w="2580" w:type="dxa"/>
            <w:vAlign w:val="center"/>
          </w:tcPr>
          <w:p>
            <w:pPr>
              <w:keepNext w:val="0"/>
              <w:keepLines w:val="0"/>
              <w:widowControl/>
              <w:suppressLineNumbers w:val="0"/>
              <w:jc w:val="center"/>
              <w:rPr>
                <w:rFonts w:hint="eastAsia"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2440mm</w:t>
            </w:r>
            <w:r>
              <w:rPr>
                <w:rFonts w:hint="default" w:ascii="Times New Roman" w:hAnsi="Times New Roman" w:eastAsia="宋体" w:cs="Times New Roman"/>
                <w:color w:val="000000"/>
                <w:spacing w:val="0"/>
                <w:w w:val="100"/>
                <w:position w:val="0"/>
                <w:sz w:val="21"/>
                <w:szCs w:val="21"/>
                <w:lang w:val="en-US" w:eastAsia="zh-CN"/>
              </w:rPr>
              <w:t>×</w:t>
            </w:r>
            <w:r>
              <w:rPr>
                <w:rFonts w:hint="eastAsia" w:ascii="Times New Roman" w:hAnsi="Times New Roman" w:eastAsia="宋体" w:cs="Times New Roman"/>
                <w:color w:val="000000"/>
                <w:spacing w:val="0"/>
                <w:w w:val="100"/>
                <w:position w:val="0"/>
                <w:sz w:val="21"/>
                <w:szCs w:val="21"/>
                <w:lang w:val="en-US" w:eastAsia="zh-CN"/>
              </w:rPr>
              <w:t>1220mm</w:t>
            </w:r>
          </w:p>
          <w:p>
            <w:pPr>
              <w:keepNext w:val="0"/>
              <w:keepLines w:val="0"/>
              <w:widowControl/>
              <w:suppressLineNumbers w:val="0"/>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厚度不定</w:t>
            </w:r>
          </w:p>
        </w:tc>
        <w:tc>
          <w:tcPr>
            <w:tcW w:w="100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550m</w:t>
            </w:r>
            <w:r>
              <w:rPr>
                <w:rFonts w:hint="eastAsia" w:ascii="Times New Roman" w:hAnsi="Times New Roman" w:eastAsia="宋体" w:cs="Times New Roman"/>
                <w:color w:val="auto"/>
                <w:sz w:val="21"/>
                <w:szCs w:val="21"/>
                <w:highlight w:val="none"/>
                <w:vertAlign w:val="superscript"/>
                <w:lang w:val="en-US" w:eastAsia="zh-CN"/>
              </w:rPr>
              <w:t>3</w:t>
            </w:r>
          </w:p>
        </w:tc>
        <w:tc>
          <w:tcPr>
            <w:tcW w:w="105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50m</w:t>
            </w:r>
            <w:r>
              <w:rPr>
                <w:rFonts w:hint="eastAsia" w:ascii="Times New Roman" w:hAnsi="Times New Roman" w:eastAsia="宋体" w:cs="Times New Roman"/>
                <w:color w:val="auto"/>
                <w:sz w:val="21"/>
                <w:szCs w:val="21"/>
                <w:highlight w:val="none"/>
                <w:vertAlign w:val="superscript"/>
                <w:lang w:val="en-US" w:eastAsia="zh-CN"/>
              </w:rPr>
              <w:t>3</w:t>
            </w:r>
          </w:p>
        </w:tc>
        <w:tc>
          <w:tcPr>
            <w:tcW w:w="112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木皮</w:t>
            </w:r>
          </w:p>
        </w:tc>
        <w:tc>
          <w:tcPr>
            <w:tcW w:w="2580" w:type="dxa"/>
            <w:vAlign w:val="center"/>
          </w:tcPr>
          <w:p>
            <w:pPr>
              <w:keepNext w:val="0"/>
              <w:keepLines w:val="0"/>
              <w:widowControl/>
              <w:suppressLineNumbers w:val="0"/>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00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3万m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/a</w:t>
            </w:r>
          </w:p>
        </w:tc>
        <w:tc>
          <w:tcPr>
            <w:tcW w:w="105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3000m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/a</w:t>
            </w:r>
          </w:p>
        </w:tc>
        <w:tc>
          <w:tcPr>
            <w:tcW w:w="1125" w:type="dxa"/>
            <w:vAlign w:val="center"/>
          </w:tcPr>
          <w:p>
            <w:pPr>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散装</w:t>
            </w:r>
          </w:p>
        </w:tc>
        <w:tc>
          <w:tcPr>
            <w:tcW w:w="1110"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辅料</w:t>
            </w:r>
          </w:p>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五金件</w:t>
            </w:r>
          </w:p>
        </w:tc>
        <w:tc>
          <w:tcPr>
            <w:tcW w:w="2580" w:type="dxa"/>
            <w:vAlign w:val="center"/>
          </w:tcPr>
          <w:p>
            <w:pPr>
              <w:spacing w:line="240" w:lineRule="auto"/>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通用性螺母、螺丝等</w:t>
            </w:r>
          </w:p>
        </w:tc>
        <w:tc>
          <w:tcPr>
            <w:tcW w:w="1005"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5t</w:t>
            </w:r>
          </w:p>
        </w:tc>
        <w:tc>
          <w:tcPr>
            <w:tcW w:w="105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0.5t</w:t>
            </w:r>
          </w:p>
        </w:tc>
        <w:tc>
          <w:tcPr>
            <w:tcW w:w="1125" w:type="dxa"/>
            <w:vAlign w:val="center"/>
          </w:tcPr>
          <w:p>
            <w:pPr>
              <w:jc w:val="center"/>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箱装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color w:val="auto"/>
                <w:sz w:val="21"/>
                <w:szCs w:val="21"/>
                <w:highlight w:val="none"/>
              </w:rPr>
              <w:t>白乳胶</w:t>
            </w:r>
          </w:p>
        </w:tc>
        <w:tc>
          <w:tcPr>
            <w:tcW w:w="258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聚醋酸乙烯树脂40%，醋酸乙烯酯单体（0.5%，水）55.5%，引发剂（过硫酸铵）0.85%，聚乙烯醇（乳化剂）2.5%，碳酸氢钠0.65%</w:t>
            </w:r>
          </w:p>
        </w:tc>
        <w:tc>
          <w:tcPr>
            <w:tcW w:w="100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3.6t</w:t>
            </w:r>
          </w:p>
        </w:tc>
        <w:tc>
          <w:tcPr>
            <w:tcW w:w="105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0.36t</w:t>
            </w:r>
          </w:p>
        </w:tc>
        <w:tc>
          <w:tcPr>
            <w:tcW w:w="1125"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0kg/桶装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白乳胶固化剂</w:t>
            </w:r>
          </w:p>
        </w:tc>
        <w:tc>
          <w:tcPr>
            <w:tcW w:w="258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多亚甲基多异氰酸酯50~60%，二异氰酸酯45~50%，挥发份约1%</w:t>
            </w:r>
          </w:p>
        </w:tc>
        <w:tc>
          <w:tcPr>
            <w:tcW w:w="100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0.24t</w:t>
            </w:r>
          </w:p>
        </w:tc>
        <w:tc>
          <w:tcPr>
            <w:tcW w:w="105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0.02t</w:t>
            </w:r>
          </w:p>
        </w:tc>
        <w:tc>
          <w:tcPr>
            <w:tcW w:w="1125" w:type="dxa"/>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桶装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adjustRightInd w:val="0"/>
              <w:snapToGrid w:val="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海绵</w:t>
            </w:r>
          </w:p>
        </w:tc>
        <w:tc>
          <w:tcPr>
            <w:tcW w:w="2580" w:type="dxa"/>
            <w:vAlign w:val="center"/>
          </w:tcPr>
          <w:p>
            <w:pPr>
              <w:adjustRightInd w:val="0"/>
              <w:snapToGrid w:val="0"/>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005" w:type="dxa"/>
            <w:vAlign w:val="center"/>
          </w:tcPr>
          <w:p>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1t</w:t>
            </w:r>
          </w:p>
        </w:tc>
        <w:tc>
          <w:tcPr>
            <w:tcW w:w="105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1125" w:type="dxa"/>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304" w:type="dxa"/>
            <w:vAlign w:val="center"/>
          </w:tcPr>
          <w:p>
            <w:pPr>
              <w:adjustRightInd w:val="0"/>
              <w:snapToGrid w:val="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包装材料</w:t>
            </w:r>
          </w:p>
        </w:tc>
        <w:tc>
          <w:tcPr>
            <w:tcW w:w="2580" w:type="dxa"/>
            <w:vAlign w:val="center"/>
          </w:tcPr>
          <w:p>
            <w:pPr>
              <w:adjustRightInd w:val="0"/>
              <w:snapToGrid w:val="0"/>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005" w:type="dxa"/>
            <w:vAlign w:val="center"/>
          </w:tcPr>
          <w:p>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6t</w:t>
            </w:r>
          </w:p>
        </w:tc>
        <w:tc>
          <w:tcPr>
            <w:tcW w:w="1050"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0.6t</w:t>
            </w:r>
          </w:p>
        </w:tc>
        <w:tc>
          <w:tcPr>
            <w:tcW w:w="1125" w:type="dxa"/>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185"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1304"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家具</w:t>
            </w:r>
          </w:p>
        </w:tc>
        <w:tc>
          <w:tcPr>
            <w:tcW w:w="258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茶几、沙发、电视柜、餐桌、床、衣柜、书桌等</w:t>
            </w:r>
          </w:p>
        </w:tc>
        <w:tc>
          <w:tcPr>
            <w:tcW w:w="100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1000套</w:t>
            </w:r>
          </w:p>
        </w:tc>
        <w:tc>
          <w:tcPr>
            <w:tcW w:w="105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100套</w:t>
            </w:r>
          </w:p>
        </w:tc>
        <w:tc>
          <w:tcPr>
            <w:tcW w:w="112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185"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1304"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p>
        </w:tc>
        <w:tc>
          <w:tcPr>
            <w:tcW w:w="258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00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05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12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85" w:type="dxa"/>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废水</w:t>
            </w:r>
          </w:p>
        </w:tc>
        <w:tc>
          <w:tcPr>
            <w:tcW w:w="1304" w:type="dxa"/>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w:t>
            </w:r>
            <w:r>
              <w:rPr>
                <w:rFonts w:hint="eastAsia" w:ascii="Times New Roman" w:hAnsi="Times New Roman" w:eastAsia="宋体"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rPr>
              <w:t>水处理设施</w:t>
            </w:r>
          </w:p>
        </w:tc>
        <w:tc>
          <w:tcPr>
            <w:tcW w:w="258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COD、</w:t>
            </w:r>
            <w:r>
              <w:rPr>
                <w:rFonts w:hint="eastAsia" w:ascii="Times New Roman" w:hAnsi="Times New Roman" w:eastAsia="宋体" w:cs="Times New Roman"/>
                <w:b w:val="0"/>
                <w:bCs/>
                <w:color w:val="auto"/>
                <w:kern w:val="2"/>
                <w:sz w:val="21"/>
                <w:szCs w:val="21"/>
                <w:highlight w:val="none"/>
                <w:lang w:val="en-US" w:eastAsia="zh-CN" w:bidi="ar-SA"/>
              </w:rPr>
              <w:t>SS、</w:t>
            </w:r>
            <w:r>
              <w:rPr>
                <w:rFonts w:hint="default" w:ascii="Times New Roman" w:hAnsi="Times New Roman" w:eastAsia="宋体" w:cs="Times New Roman"/>
                <w:b w:val="0"/>
                <w:bCs/>
                <w:color w:val="auto"/>
                <w:kern w:val="2"/>
                <w:sz w:val="21"/>
                <w:szCs w:val="21"/>
                <w:highlight w:val="none"/>
                <w:lang w:val="en-US" w:eastAsia="zh-CN" w:bidi="ar-SA"/>
              </w:rPr>
              <w:t>氨氮、总磷、</w:t>
            </w:r>
            <w:r>
              <w:rPr>
                <w:rFonts w:hint="eastAsia" w:ascii="Times New Roman" w:hAnsi="Times New Roman" w:eastAsia="宋体" w:cs="Times New Roman"/>
                <w:b w:val="0"/>
                <w:bCs/>
                <w:color w:val="auto"/>
                <w:kern w:val="2"/>
                <w:sz w:val="21"/>
                <w:szCs w:val="21"/>
                <w:highlight w:val="none"/>
                <w:lang w:val="en-US" w:eastAsia="zh-CN" w:bidi="ar-SA"/>
              </w:rPr>
              <w:t>pH</w:t>
            </w:r>
          </w:p>
        </w:tc>
        <w:tc>
          <w:tcPr>
            <w:tcW w:w="100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05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12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85"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危废</w:t>
            </w:r>
          </w:p>
        </w:tc>
        <w:tc>
          <w:tcPr>
            <w:tcW w:w="1304"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包装</w:t>
            </w:r>
            <w:r>
              <w:rPr>
                <w:rFonts w:hint="default" w:ascii="Times New Roman" w:hAnsi="Times New Roman" w:eastAsia="宋体" w:cs="Times New Roman"/>
                <w:color w:val="auto"/>
                <w:sz w:val="21"/>
                <w:szCs w:val="21"/>
                <w:highlight w:val="none"/>
              </w:rPr>
              <w:t>桶</w:t>
            </w:r>
          </w:p>
        </w:tc>
        <w:tc>
          <w:tcPr>
            <w:tcW w:w="2580" w:type="dxa"/>
            <w:vAlign w:val="center"/>
          </w:tcPr>
          <w:p>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胶水、漆等</w:t>
            </w:r>
          </w:p>
        </w:tc>
        <w:tc>
          <w:tcPr>
            <w:tcW w:w="1005"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0.12t</w:t>
            </w:r>
          </w:p>
        </w:tc>
        <w:tc>
          <w:tcPr>
            <w:tcW w:w="105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0.02t</w:t>
            </w:r>
          </w:p>
        </w:tc>
        <w:tc>
          <w:tcPr>
            <w:tcW w:w="1125" w:type="dxa"/>
            <w:vAlign w:val="center"/>
          </w:tcPr>
          <w:p>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1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185"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bl>
    <w:p>
      <w:pPr>
        <w:snapToGrid w:val="0"/>
        <w:spacing w:line="500" w:lineRule="exact"/>
        <w:jc w:val="center"/>
        <w:rPr>
          <w:rFonts w:hint="eastAsia"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5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85"/>
        <w:gridCol w:w="1945"/>
        <w:gridCol w:w="3762"/>
        <w:gridCol w:w="1131"/>
        <w:gridCol w:w="2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44"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975"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主要成份/化学式</w:t>
            </w:r>
          </w:p>
        </w:tc>
        <w:tc>
          <w:tcPr>
            <w:tcW w:w="1886"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c>
          <w:tcPr>
            <w:tcW w:w="56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燃烧爆炸性</w:t>
            </w:r>
          </w:p>
        </w:tc>
        <w:tc>
          <w:tcPr>
            <w:tcW w:w="1026"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544" w:type="pct"/>
            <w:vMerge w:val="restart"/>
            <w:shd w:val="clear" w:color="auto" w:fill="auto"/>
            <w:vAlign w:val="center"/>
          </w:tcPr>
          <w:p>
            <w:pPr>
              <w:spacing w:line="240" w:lineRule="auto"/>
              <w:jc w:val="center"/>
              <w:rPr>
                <w:rFonts w:hint="default" w:ascii="Times New Roman" w:hAnsi="Times New Roman" w:eastAsia="宋体" w:cs="Times New Roman"/>
                <w:b w:val="0"/>
                <w:bCs/>
                <w:color w:val="auto"/>
                <w:spacing w:val="4"/>
                <w:kern w:val="0"/>
                <w:sz w:val="21"/>
                <w:szCs w:val="21"/>
                <w:highlight w:val="none"/>
                <w:lang w:val="zh-CN" w:eastAsia="zh-CN" w:bidi="ar-SA"/>
              </w:rPr>
            </w:pPr>
            <w:r>
              <w:rPr>
                <w:rFonts w:hint="default" w:ascii="Times New Roman" w:hAnsi="Times New Roman" w:eastAsia="宋体" w:cs="Times New Roman"/>
                <w:b w:val="0"/>
                <w:bCs/>
                <w:color w:val="auto"/>
                <w:sz w:val="21"/>
                <w:szCs w:val="21"/>
                <w:highlight w:val="none"/>
              </w:rPr>
              <w:t>白乳胶</w:t>
            </w:r>
          </w:p>
        </w:tc>
        <w:tc>
          <w:tcPr>
            <w:tcW w:w="975" w:type="pct"/>
            <w:shd w:val="clear" w:color="auto" w:fill="auto"/>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聚</w:t>
            </w:r>
            <w:r>
              <w:rPr>
                <w:rFonts w:hint="eastAsia" w:ascii="Times New Roman" w:hAnsi="Times New Roman" w:eastAsia="宋体" w:cs="Times New Roman"/>
                <w:color w:val="auto"/>
                <w:sz w:val="21"/>
                <w:szCs w:val="21"/>
                <w:highlight w:val="none"/>
                <w:lang w:val="en-US" w:eastAsia="zh-CN"/>
              </w:rPr>
              <w:t>乙</w:t>
            </w:r>
            <w:r>
              <w:rPr>
                <w:rFonts w:hint="default" w:ascii="Times New Roman" w:hAnsi="Times New Roman" w:eastAsia="宋体" w:cs="Times New Roman"/>
                <w:color w:val="auto"/>
                <w:sz w:val="21"/>
                <w:szCs w:val="21"/>
                <w:highlight w:val="none"/>
              </w:rPr>
              <w:t>酸乙烯</w:t>
            </w:r>
            <w:r>
              <w:rPr>
                <w:rFonts w:hint="default" w:ascii="Times New Roman" w:hAnsi="Times New Roman" w:eastAsia="宋体" w:cs="Times New Roman"/>
                <w:color w:val="auto"/>
                <w:sz w:val="21"/>
                <w:szCs w:val="21"/>
                <w:highlight w:val="none"/>
                <w:lang w:val="en-US"/>
              </w:rPr>
              <w:t>酯</w:t>
            </w:r>
          </w:p>
        </w:tc>
        <w:tc>
          <w:tcPr>
            <w:tcW w:w="1886" w:type="pct"/>
            <w:shd w:val="clear" w:color="auto" w:fill="auto"/>
            <w:vAlign w:val="center"/>
          </w:tcPr>
          <w:p>
            <w:pPr>
              <w:adjustRightInd w:val="0"/>
              <w:snapToGrid w:val="0"/>
              <w:spacing w:line="240" w:lineRule="auto"/>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醚味，无色易燃液体，熔点-93.2℃，沸点72.2℃，相对密度0.9317，闪点（开杯）-1℃。与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"http://www.ichemistry.cn/chemistry/64-17-5.htm"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乙醇</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混溶，能溶于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"http://www.ichemistry.cn/chemistry/60-29-7.htm"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乙醚</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等有机溶剂，不溶于</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"http://www.ichemistry.cn/chemistry/7732-18-5.htm"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第3.2类中闪点易燃液体</w:t>
            </w:r>
          </w:p>
        </w:tc>
        <w:tc>
          <w:tcPr>
            <w:tcW w:w="1026"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LD50：2900 mg/kg(大鼠经口)；2500 mg/kg(兔经皮)</w:t>
            </w:r>
            <w:r>
              <w:rPr>
                <w:rFonts w:hint="default" w:ascii="Times New Roman" w:hAnsi="Times New Roman" w:eastAsia="宋体" w:cs="Times New Roman"/>
                <w:bCs/>
                <w:color w:val="auto"/>
                <w:sz w:val="21"/>
                <w:szCs w:val="21"/>
                <w:highlight w:val="none"/>
              </w:rPr>
              <w:br w:type="textWrapping"/>
            </w:r>
            <w:r>
              <w:rPr>
                <w:rFonts w:hint="default" w:ascii="Times New Roman" w:hAnsi="Times New Roman" w:eastAsia="宋体" w:cs="Times New Roman"/>
                <w:bCs/>
                <w:color w:val="auto"/>
                <w:sz w:val="21"/>
                <w:szCs w:val="21"/>
                <w:highlight w:val="none"/>
              </w:rPr>
              <w:t>LC50：14080mg/m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，4小时(大鼠吸入)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44" w:type="pct"/>
            <w:vMerge w:val="continue"/>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975" w:type="pct"/>
            <w:shd w:val="clear" w:color="auto" w:fill="auto"/>
            <w:vAlign w:val="center"/>
          </w:tcPr>
          <w:p>
            <w:pPr>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rPr>
              <w:t>聚乙烯醇</w:t>
            </w:r>
          </w:p>
        </w:tc>
        <w:tc>
          <w:tcPr>
            <w:tcW w:w="1886" w:type="pct"/>
            <w:shd w:val="clear" w:color="auto" w:fill="auto"/>
            <w:vAlign w:val="center"/>
          </w:tcPr>
          <w:p>
            <w:pPr>
              <w:adjustRightInd w:val="0"/>
              <w:snapToGrid w:val="0"/>
              <w:spacing w:line="240" w:lineRule="auto"/>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白色固体，无毒无味、无污染，可在80-90℃</w:t>
            </w:r>
            <w:r>
              <w:rPr>
                <w:rFonts w:hint="default" w:ascii="Times New Roman" w:hAnsi="Times New Roman" w:eastAsia="宋体" w:cs="Times New Roman"/>
                <w:bCs/>
                <w:color w:val="auto"/>
                <w:sz w:val="21"/>
                <w:szCs w:val="21"/>
                <w:highlight w:val="none"/>
              </w:rPr>
              <w:fldChar w:fldCharType="begin"/>
            </w:r>
            <w:r>
              <w:rPr>
                <w:rFonts w:hint="default" w:ascii="Times New Roman" w:hAnsi="Times New Roman" w:eastAsia="宋体" w:cs="Times New Roman"/>
                <w:bCs/>
                <w:color w:val="auto"/>
                <w:sz w:val="21"/>
                <w:szCs w:val="21"/>
                <w:highlight w:val="none"/>
              </w:rPr>
              <w:instrText xml:space="preserve">HYPERLINK "http://www.ichemistry.cn/chemistry/7732-18-5.htm" \t "_blank"</w:instrText>
            </w:r>
            <w:r>
              <w:rPr>
                <w:rFonts w:hint="default" w:ascii="Times New Roman" w:hAnsi="Times New Roman" w:eastAsia="宋体" w:cs="Times New Roman"/>
                <w:bCs/>
                <w:color w:val="auto"/>
                <w:sz w:val="21"/>
                <w:szCs w:val="21"/>
                <w:highlight w:val="none"/>
              </w:rPr>
              <w:fldChar w:fldCharType="separate"/>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rPr>
              <w:fldChar w:fldCharType="end"/>
            </w:r>
            <w:r>
              <w:rPr>
                <w:rFonts w:hint="default" w:ascii="Times New Roman" w:hAnsi="Times New Roman" w:eastAsia="宋体" w:cs="Times New Roman"/>
                <w:bCs/>
                <w:color w:val="auto"/>
                <w:sz w:val="21"/>
                <w:szCs w:val="21"/>
                <w:highlight w:val="none"/>
              </w:rPr>
              <w:t>中溶解，可燃，具有刺激性。</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w:t>
            </w:r>
          </w:p>
        </w:tc>
        <w:tc>
          <w:tcPr>
            <w:tcW w:w="1026"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rPr>
              <w:t>无资料</w:t>
            </w:r>
          </w:p>
        </w:tc>
      </w:tr>
    </w:tbl>
    <w:p>
      <w:pPr>
        <w:pStyle w:val="2"/>
      </w:pPr>
    </w:p>
    <w:p>
      <w:pPr>
        <w:pStyle w:val="4"/>
        <w:adjustRightInd w:val="0"/>
        <w:snapToGrid w:val="0"/>
        <w:spacing w:line="480" w:lineRule="exact"/>
        <w:rPr>
          <w:rFonts w:hint="default" w:ascii="Times New Roman" w:hAnsi="Times New Roman" w:eastAsia="宋体" w:cs="Times New Roman"/>
          <w:sz w:val="24"/>
          <w:szCs w:val="24"/>
        </w:rPr>
      </w:pPr>
      <w:bookmarkStart w:id="37" w:name="_Toc7621"/>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公司主要生产木质家具，生产无中间产品和副产品，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62"/>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8"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8" w:type="pc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家具生产线</w:t>
            </w:r>
          </w:p>
        </w:tc>
        <w:tc>
          <w:tcPr>
            <w:tcW w:w="1211" w:type="pct"/>
            <w:vAlign w:val="center"/>
          </w:tcPr>
          <w:p>
            <w:pPr>
              <w:pStyle w:val="247"/>
              <w:rPr>
                <w:rFonts w:hint="default" w:ascii="宋体" w:hAnsi="宋体" w:eastAsia="宋体" w:cs="宋体"/>
                <w:color w:val="000000"/>
                <w:sz w:val="21"/>
                <w:szCs w:val="21"/>
                <w:lang w:val="en-US" w:eastAsia="zh-CN"/>
              </w:rPr>
            </w:pPr>
            <w:r>
              <w:rPr>
                <w:rFonts w:hint="eastAsia"/>
                <w:color w:val="000000"/>
                <w:szCs w:val="21"/>
                <w:lang w:val="en-US" w:eastAsia="zh-CN"/>
              </w:rPr>
              <w:t>实木家具</w:t>
            </w:r>
          </w:p>
        </w:tc>
        <w:tc>
          <w:tcPr>
            <w:tcW w:w="929" w:type="pct"/>
            <w:vAlign w:val="center"/>
          </w:tcPr>
          <w:p>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1000套</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bl>
    <w:p>
      <w:pPr>
        <w:pStyle w:val="2"/>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eastAsia" w:eastAsiaTheme="minorEastAsia"/>
          <w:color w:val="auto"/>
          <w:sz w:val="24"/>
          <w:szCs w:val="24"/>
          <w:lang w:val="en-GB"/>
        </w:rPr>
      </w:pPr>
      <w:r>
        <w:rPr>
          <w:rFonts w:hint="eastAsia" w:eastAsiaTheme="minorEastAsia"/>
          <w:color w:val="auto"/>
          <w:sz w:val="24"/>
          <w:szCs w:val="24"/>
          <w:lang w:val="en-GB"/>
        </w:rPr>
        <w:t>家具工艺流程如下：</w:t>
      </w:r>
    </w:p>
    <w:p>
      <w:pPr>
        <w:pStyle w:val="13"/>
        <w:jc w:val="center"/>
        <w:rPr>
          <w:rFonts w:hint="default" w:ascii="Times New Roman" w:hAnsi="Times New Roman" w:eastAsia="宋体" w:cs="Times New Roman"/>
          <w:b/>
          <w:sz w:val="21"/>
          <w:szCs w:val="21"/>
        </w:rPr>
      </w:pPr>
    </w:p>
    <w:p>
      <w:pPr>
        <w:pStyle w:val="13"/>
        <w:jc w:val="center"/>
        <w:rPr>
          <w:rFonts w:hint="default" w:ascii="Times New Roman" w:hAnsi="Times New Roman" w:eastAsia="宋体" w:cs="Times New Roman"/>
          <w:b/>
          <w:sz w:val="21"/>
          <w:szCs w:val="21"/>
        </w:rPr>
      </w:pPr>
    </w:p>
    <w:p>
      <w:pPr>
        <w:pStyle w:val="13"/>
        <w:jc w:val="center"/>
        <w:rPr>
          <w:rFonts w:hint="default" w:ascii="Times New Roman" w:hAnsi="Times New Roman" w:eastAsia="宋体" w:cs="Times New Roman"/>
          <w:b/>
          <w:sz w:val="21"/>
          <w:szCs w:val="21"/>
        </w:rPr>
      </w:pPr>
      <w:r>
        <w:drawing>
          <wp:anchor distT="0" distB="0" distL="114300" distR="114300" simplePos="0" relativeHeight="251660288" behindDoc="0" locked="0" layoutInCell="1" allowOverlap="1">
            <wp:simplePos x="0" y="0"/>
            <wp:positionH relativeFrom="column">
              <wp:posOffset>544195</wp:posOffset>
            </wp:positionH>
            <wp:positionV relativeFrom="page">
              <wp:posOffset>866775</wp:posOffset>
            </wp:positionV>
            <wp:extent cx="4591050" cy="58769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591050" cy="5876925"/>
                    </a:xfrm>
                    <a:prstGeom prst="rect">
                      <a:avLst/>
                    </a:prstGeom>
                    <a:noFill/>
                    <a:ln>
                      <a:noFill/>
                    </a:ln>
                  </pic:spPr>
                </pic:pic>
              </a:graphicData>
            </a:graphic>
          </wp:anchor>
        </w:drawing>
      </w:r>
      <w:r>
        <w:rPr>
          <w:rFonts w:hint="default" w:ascii="Times New Roman" w:hAnsi="Times New Roman" w:eastAsia="宋体" w:cs="Times New Roman"/>
          <w:b/>
          <w:sz w:val="21"/>
          <w:szCs w:val="21"/>
        </w:rPr>
        <w:t xml:space="preserve">图3-2 </w:t>
      </w:r>
      <w:r>
        <w:rPr>
          <w:rFonts w:hint="eastAsia" w:eastAsia="宋体" w:cs="Times New Roman"/>
          <w:b/>
          <w:bCs/>
          <w:sz w:val="21"/>
          <w:szCs w:val="21"/>
          <w:lang w:val="en-US" w:eastAsia="zh-CN"/>
        </w:rPr>
        <w:t>家具</w:t>
      </w:r>
      <w:r>
        <w:rPr>
          <w:rFonts w:hint="default" w:ascii="Times New Roman" w:hAnsi="Times New Roman" w:eastAsia="宋体" w:cs="Times New Roman"/>
          <w:b/>
          <w:bCs/>
          <w:sz w:val="21"/>
          <w:szCs w:val="21"/>
        </w:rPr>
        <w:t>生产工艺流程及产污环节图</w:t>
      </w:r>
    </w:p>
    <w:p>
      <w:pPr>
        <w:keepNext w:val="0"/>
        <w:keepLines w:val="0"/>
        <w:pageBreakBefore w:val="0"/>
        <w:widowControl w:val="0"/>
        <w:kinsoku/>
        <w:wordWrap/>
        <w:overflowPunct/>
        <w:topLinePunct w:val="0"/>
        <w:bidi w:val="0"/>
        <w:snapToGrid w:val="0"/>
        <w:spacing w:line="500" w:lineRule="exact"/>
        <w:ind w:firstLine="482"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工艺流程简述：</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 w:name="_Toc11213"/>
      <w:r>
        <w:rPr>
          <w:rFonts w:hint="default" w:ascii="Times New Roman" w:hAnsi="Times New Roman" w:cs="Times New Roman" w:eastAsiaTheme="minorEastAsia"/>
          <w:color w:val="auto"/>
          <w:sz w:val="24"/>
          <w:szCs w:val="24"/>
          <w:highlight w:val="none"/>
          <w:lang w:val="en-US" w:eastAsia="zh-CN"/>
        </w:rPr>
        <w:t>（1）开料：使用</w:t>
      </w:r>
      <w:r>
        <w:rPr>
          <w:rFonts w:hint="eastAsia" w:ascii="Times New Roman" w:hAnsi="Times New Roman" w:cs="Times New Roman" w:eastAsiaTheme="minorEastAsia"/>
          <w:color w:val="auto"/>
          <w:sz w:val="24"/>
          <w:szCs w:val="24"/>
          <w:highlight w:val="none"/>
          <w:lang w:val="en-US" w:eastAsia="zh-CN"/>
        </w:rPr>
        <w:t>开料锯、断料锯、单片锯</w:t>
      </w:r>
      <w:r>
        <w:rPr>
          <w:rFonts w:hint="default" w:ascii="Times New Roman" w:hAnsi="Times New Roman" w:cs="Times New Roman" w:eastAsiaTheme="minorEastAsia"/>
          <w:color w:val="auto"/>
          <w:sz w:val="24"/>
          <w:szCs w:val="24"/>
          <w:highlight w:val="none"/>
          <w:lang w:val="en-US" w:eastAsia="zh-CN"/>
        </w:rPr>
        <w:t xml:space="preserve">等将原木按照图纸设计的尺寸裁切，加工成待加工的工件。此工序会产生木粉尘 G1、废木料 S1 和设备噪声 N。 </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2）冷压：按照工艺要求通过冷压机将多块板材在常温下进行冷压，经冷压机加压后常温自然固化使得板材加厚，形成多层面板，每次冷压板材数量根据产品要求不定，冷压过程中需要刷白乳胶将多块板黏合成整体。冷压过程产生冷压废气 G2、设备噪声 N。 </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（3）精加工：使用包括立铣、吊镂、压刨、排钻等对上工序准备好的工件进行精确尺寸加工、镂铣造型、钻压打孔。此工序会产生加工木粉尘 G</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、废木料 S</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 xml:space="preserve"> 和设备噪声 N。</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（4）组装：对精加工后的各部件进行组装，利用工件上打的孔组装，该工序不使用胶黏剂。</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贴皮</w:t>
      </w:r>
      <w:r>
        <w:rPr>
          <w:rFonts w:hint="default"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lang w:val="en-US" w:eastAsia="zh-CN"/>
        </w:rPr>
        <w:t>将组装后的工件需要贴皮的区域涂抹白乳胶后贴上木皮，贴木皮由人工操作进行。白乳胶涂胶及贴皮过程中产生贴皮废气G4，主要污染物为挥发性有机物。</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（6）打磨：</w:t>
      </w:r>
      <w:r>
        <w:rPr>
          <w:rFonts w:hint="eastAsia" w:ascii="Times New Roman" w:hAnsi="Times New Roman" w:cs="Times New Roman" w:eastAsiaTheme="minorEastAsia"/>
          <w:color w:val="auto"/>
          <w:sz w:val="24"/>
          <w:szCs w:val="24"/>
          <w:highlight w:val="none"/>
          <w:lang w:val="en-US" w:eastAsia="zh-CN"/>
        </w:rPr>
        <w:t>贴皮后</w:t>
      </w:r>
      <w:r>
        <w:rPr>
          <w:rFonts w:hint="default" w:ascii="Times New Roman" w:hAnsi="Times New Roman" w:cs="Times New Roman" w:eastAsiaTheme="minorEastAsia"/>
          <w:color w:val="auto"/>
          <w:sz w:val="24"/>
          <w:szCs w:val="24"/>
          <w:highlight w:val="none"/>
          <w:lang w:val="en-US" w:eastAsia="zh-CN"/>
        </w:rPr>
        <w:t>合格的产品，由</w:t>
      </w:r>
      <w:r>
        <w:rPr>
          <w:rFonts w:hint="eastAsia" w:ascii="Times New Roman" w:hAnsi="Times New Roman" w:cs="Times New Roman" w:eastAsiaTheme="minorEastAsia"/>
          <w:color w:val="auto"/>
          <w:sz w:val="24"/>
          <w:szCs w:val="24"/>
          <w:highlight w:val="none"/>
          <w:lang w:val="en-US" w:eastAsia="zh-CN"/>
        </w:rPr>
        <w:t>人工</w:t>
      </w:r>
      <w:r>
        <w:rPr>
          <w:rFonts w:hint="default" w:ascii="Times New Roman" w:hAnsi="Times New Roman" w:cs="Times New Roman" w:eastAsiaTheme="minorEastAsia"/>
          <w:color w:val="auto"/>
          <w:sz w:val="24"/>
          <w:szCs w:val="24"/>
          <w:highlight w:val="none"/>
          <w:lang w:val="en-US" w:eastAsia="zh-CN"/>
        </w:rPr>
        <w:t>用</w:t>
      </w:r>
      <w:r>
        <w:rPr>
          <w:rFonts w:hint="eastAsia" w:ascii="Times New Roman" w:hAnsi="Times New Roman" w:cs="Times New Roman" w:eastAsiaTheme="minorEastAsia"/>
          <w:color w:val="auto"/>
          <w:sz w:val="24"/>
          <w:szCs w:val="24"/>
          <w:highlight w:val="none"/>
          <w:lang w:val="en-US" w:eastAsia="zh-CN"/>
        </w:rPr>
        <w:t>砂纸将工件</w:t>
      </w:r>
      <w:r>
        <w:rPr>
          <w:rFonts w:hint="default" w:ascii="Times New Roman" w:hAnsi="Times New Roman" w:cs="Times New Roman" w:eastAsiaTheme="minorEastAsia"/>
          <w:color w:val="auto"/>
          <w:sz w:val="24"/>
          <w:szCs w:val="24"/>
          <w:highlight w:val="none"/>
          <w:lang w:val="en-US" w:eastAsia="zh-CN"/>
        </w:rPr>
        <w:t>表面的毛刺</w:t>
      </w:r>
      <w:r>
        <w:rPr>
          <w:rFonts w:hint="eastAsia" w:ascii="Times New Roman" w:hAnsi="Times New Roman" w:cs="Times New Roman" w:eastAsiaTheme="minorEastAsia"/>
          <w:color w:val="auto"/>
          <w:sz w:val="24"/>
          <w:szCs w:val="24"/>
          <w:highlight w:val="none"/>
          <w:lang w:val="en-US" w:eastAsia="zh-CN"/>
        </w:rPr>
        <w:t>打磨</w:t>
      </w:r>
      <w:r>
        <w:rPr>
          <w:rFonts w:hint="default" w:ascii="Times New Roman" w:hAnsi="Times New Roman" w:cs="Times New Roman" w:eastAsiaTheme="minorEastAsia"/>
          <w:color w:val="auto"/>
          <w:sz w:val="24"/>
          <w:szCs w:val="24"/>
          <w:highlight w:val="none"/>
          <w:lang w:val="en-US" w:eastAsia="zh-CN"/>
        </w:rPr>
        <w:t xml:space="preserve">砂光，满足喷漆前木料表面平整光滑的要求，提高整体涂装效果。此工序会产生打磨粉尘 G5。 </w:t>
      </w:r>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喷漆（外协）：打磨后的半成品在喷漆房内进行喷漆操作，该工序外协处理，不在本项目范围内。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（8）</w:t>
      </w:r>
      <w:r>
        <w:rPr>
          <w:rFonts w:hint="eastAsia" w:ascii="Times New Roman" w:hAnsi="Times New Roman" w:cs="Times New Roman" w:eastAsiaTheme="minorEastAsia"/>
          <w:color w:val="auto"/>
          <w:sz w:val="24"/>
          <w:szCs w:val="24"/>
          <w:highlight w:val="none"/>
          <w:lang w:val="en-US" w:eastAsia="zh-CN"/>
        </w:rPr>
        <w:t>包装</w:t>
      </w:r>
      <w:r>
        <w:rPr>
          <w:rFonts w:hint="default" w:ascii="Times New Roman" w:hAnsi="Times New Roman" w:cs="Times New Roman" w:eastAsiaTheme="minorEastAsia"/>
          <w:color w:val="auto"/>
          <w:sz w:val="24"/>
          <w:szCs w:val="24"/>
          <w:highlight w:val="none"/>
          <w:lang w:val="en-US" w:eastAsia="zh-CN"/>
        </w:rPr>
        <w:t>、入库：</w:t>
      </w:r>
      <w:r>
        <w:rPr>
          <w:rFonts w:hint="eastAsia" w:ascii="Times New Roman" w:hAnsi="Times New Roman" w:cs="Times New Roman" w:eastAsiaTheme="minorEastAsia"/>
          <w:color w:val="auto"/>
          <w:sz w:val="24"/>
          <w:szCs w:val="24"/>
          <w:highlight w:val="none"/>
          <w:lang w:val="en-US" w:eastAsia="zh-CN"/>
        </w:rPr>
        <w:t>将海绵根据产品尺寸裁切，然后将产品包装即为成品。该工序产生海绵边角料S3。</w:t>
      </w:r>
      <w:r>
        <w:rPr>
          <w:rFonts w:hint="default" w:ascii="Times New Roman" w:hAnsi="Times New Roman" w:cs="Times New Roman" w:eastAsiaTheme="minorEastAsia"/>
          <w:color w:val="auto"/>
          <w:sz w:val="24"/>
          <w:szCs w:val="24"/>
          <w:highlight w:val="none"/>
          <w:lang w:val="en-US" w:eastAsia="zh-CN"/>
        </w:rPr>
        <w:t xml:space="preserve"> </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394"/>
        <w:gridCol w:w="2545"/>
        <w:gridCol w:w="1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394"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254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规格及型号</w:t>
            </w:r>
          </w:p>
        </w:tc>
        <w:tc>
          <w:tcPr>
            <w:tcW w:w="177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数量（台/套）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截料据</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MJ274</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送料锯</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平刨床</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MB504</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单面平刨床</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MB104H</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带锯机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MJ345</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立式单轴铣床</w:t>
            </w:r>
          </w:p>
        </w:tc>
        <w:tc>
          <w:tcPr>
            <w:tcW w:w="2545"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MXS5117B</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立式双轴铣床</w:t>
            </w:r>
          </w:p>
        </w:tc>
        <w:tc>
          <w:tcPr>
            <w:tcW w:w="2545"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MX5317</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吊镂机</w:t>
            </w:r>
          </w:p>
        </w:tc>
        <w:tc>
          <w:tcPr>
            <w:tcW w:w="2545"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磨刀机</w:t>
            </w:r>
          </w:p>
        </w:tc>
        <w:tc>
          <w:tcPr>
            <w:tcW w:w="2545"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MF2720</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窜动磨光机</w:t>
            </w:r>
          </w:p>
        </w:tc>
        <w:tc>
          <w:tcPr>
            <w:tcW w:w="2545" w:type="dxa"/>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MM2115</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立式镂铣机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MX506</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双控排钻</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MJ6132D</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摇臂式圆锯机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冷压机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MH3248X60T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台式钻床</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方孔机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导向锯</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吸尘器</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19</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空压机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CNC加工中心</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FF-3000A-2TS</w:t>
            </w:r>
          </w:p>
        </w:tc>
        <w:tc>
          <w:tcPr>
            <w:tcW w:w="177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21</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开榫机</w:t>
            </w:r>
          </w:p>
        </w:tc>
        <w:tc>
          <w:tcPr>
            <w:tcW w:w="2545"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MS3112</w:t>
            </w:r>
          </w:p>
        </w:tc>
        <w:tc>
          <w:tcPr>
            <w:tcW w:w="1775" w:type="dxa"/>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本项目所需生产、生活用水水源由市政自来水管网统一供给。</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设一座</w:t>
      </w:r>
      <w:r>
        <w:rPr>
          <w:rFonts w:hint="eastAsia" w:eastAsia="宋体" w:cs="Times New Roman"/>
          <w:color w:val="000000" w:themeColor="text1"/>
          <w:sz w:val="24"/>
          <w:szCs w:val="24"/>
          <w:highlight w:val="none"/>
          <w:lang w:val="en-US" w:eastAsia="zh-CN"/>
          <w14:textFill>
            <w14:solidFill>
              <w14:schemeClr w14:val="tx1"/>
            </w14:solidFill>
          </w14:textFill>
        </w:rPr>
        <w:t>150</w:t>
      </w:r>
      <w:r>
        <w:rPr>
          <w:rFonts w:hint="eastAsia" w:eastAsia="宋体" w:cs="Times New Roman"/>
          <w:color w:val="000000" w:themeColor="text1"/>
          <w:sz w:val="24"/>
          <w:szCs w:val="24"/>
          <w:highlight w:val="none"/>
          <w:lang w:eastAsia="zh-CN"/>
          <w14:textFill>
            <w14:solidFill>
              <w14:schemeClr w14:val="tx1"/>
            </w14:solidFill>
          </w14:textFill>
        </w:rPr>
        <w:t>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本项目用电量</w:t>
      </w:r>
      <w:r>
        <w:rPr>
          <w:rFonts w:hint="eastAsia" w:eastAsia="宋体" w:cs="Times New Roman"/>
          <w:color w:val="000000" w:themeColor="text1"/>
          <w:sz w:val="24"/>
          <w:szCs w:val="24"/>
          <w:lang w:val="en-US" w:eastAsia="zh-CN"/>
          <w14:textFill>
            <w14:solidFill>
              <w14:schemeClr w14:val="tx1"/>
            </w14:solidFill>
          </w14:textFill>
        </w:rPr>
        <w:t>40万千瓦时/年</w:t>
      </w:r>
      <w:r>
        <w:rPr>
          <w:rFonts w:hint="default" w:ascii="Times New Roman" w:hAnsi="Times New Roman" w:eastAsia="宋体" w:cs="Times New Roman"/>
          <w:color w:val="000000" w:themeColor="text1"/>
          <w:sz w:val="24"/>
          <w:szCs w:val="24"/>
          <w14:textFill>
            <w14:solidFill>
              <w14:schemeClr w14:val="tx1"/>
            </w14:solidFill>
          </w14:textFill>
        </w:rPr>
        <w:t>，所用用电设备电压均</w:t>
      </w:r>
      <w:r>
        <w:rPr>
          <w:rFonts w:hint="default" w:ascii="Times New Roman" w:hAnsi="Times New Roman" w:eastAsia="宋体" w:cs="Times New Roman"/>
          <w:color w:val="000000" w:themeColor="text1"/>
          <w:sz w:val="24"/>
          <w:szCs w:val="24"/>
          <w:highlight w:val="none"/>
          <w14:textFill>
            <w14:solidFill>
              <w14:schemeClr w14:val="tx1"/>
            </w14:solidFill>
          </w14:textFill>
        </w:rPr>
        <w:t>为380V/220V</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公司设有原料区和成品区，原料区主要用于储存原料和五金配件，成品区用于存放成品家具。</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49"/>
        <w:bidi w:val="0"/>
        <w:rPr>
          <w:rFonts w:hint="eastAsia" w:ascii="宋体" w:hAnsi="宋体" w:eastAsia="宋体" w:cs="宋体"/>
          <w:lang w:val="en-US" w:eastAsia="zh-CN"/>
        </w:rPr>
      </w:pPr>
      <w:r>
        <w:rPr>
          <w:rFonts w:hint="eastAsia"/>
          <w:lang w:val="en-US" w:eastAsia="zh-CN"/>
        </w:rPr>
        <w:t xml:space="preserve">3.4.3.4 </w:t>
      </w:r>
      <w:r>
        <w:rPr>
          <w:rFonts w:hint="eastAsia" w:ascii="宋体" w:hAnsi="宋体" w:eastAsia="宋体" w:cs="宋体"/>
          <w:lang w:val="en-US" w:eastAsia="zh-CN"/>
        </w:rPr>
        <w:t>危废仓库</w:t>
      </w:r>
    </w:p>
    <w:p>
      <w:pPr>
        <w:pStyle w:val="24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公司设有</w:t>
      </w:r>
      <w:r>
        <w:rPr>
          <w:rFonts w:hint="eastAsia" w:eastAsia="宋体" w:cs="Times New Roman"/>
          <w:b w:val="0"/>
          <w:bCs w:val="0"/>
          <w:kern w:val="2"/>
          <w:sz w:val="24"/>
          <w:szCs w:val="24"/>
          <w:lang w:val="en-US" w:eastAsia="zh-CN" w:bidi="ar-SA"/>
        </w:rPr>
        <w:t>17.5</w:t>
      </w:r>
      <w:r>
        <w:rPr>
          <w:rFonts w:hint="default" w:ascii="Times New Roman" w:hAnsi="Times New Roman" w:eastAsia="宋体" w:cs="Times New Roman"/>
          <w:b w:val="0"/>
          <w:bCs w:val="0"/>
          <w:kern w:val="2"/>
          <w:sz w:val="24"/>
          <w:szCs w:val="24"/>
          <w:lang w:val="en-US" w:eastAsia="zh-CN" w:bidi="ar-SA"/>
        </w:rPr>
        <w:t xml:space="preserve"> m</w:t>
      </w:r>
      <w:r>
        <w:rPr>
          <w:rFonts w:hint="default" w:ascii="Times New Roman" w:hAnsi="Times New Roman" w:eastAsia="宋体" w:cs="Times New Roman"/>
          <w:b w:val="0"/>
          <w:bCs w:val="0"/>
          <w:kern w:val="2"/>
          <w:sz w:val="24"/>
          <w:szCs w:val="24"/>
          <w:vertAlign w:val="superscript"/>
          <w:lang w:val="en-US" w:eastAsia="zh-CN" w:bidi="ar-SA"/>
        </w:rPr>
        <w:t>2</w:t>
      </w:r>
      <w:r>
        <w:rPr>
          <w:rFonts w:hint="eastAsia" w:ascii="宋体" w:hAnsi="宋体" w:eastAsia="宋体" w:cs="宋体"/>
          <w:b w:val="0"/>
          <w:bCs w:val="0"/>
          <w:kern w:val="2"/>
          <w:sz w:val="24"/>
          <w:szCs w:val="24"/>
          <w:lang w:val="en-US" w:eastAsia="zh-CN" w:bidi="ar-SA"/>
        </w:rPr>
        <w:t>的危废仓库，配备防爆灯和防爆摄像头，设置气体导出口，据危险废物的种类和特性进行分区、分类贮存，设置防雨、防火、防雷、防扬散、防渗漏装置及泄漏液体收集装置。</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lang w:val="en-US"/>
        </w:rPr>
      </w:pPr>
      <w:r>
        <w:rPr>
          <w:rFonts w:hint="eastAsia" w:eastAsia="宋体" w:cs="Times New Roman"/>
          <w:color w:val="000000" w:themeColor="text1"/>
          <w:sz w:val="24"/>
          <w:szCs w:val="24"/>
          <w:highlight w:val="none"/>
          <w:lang w:val="en-US" w:eastAsia="zh-CN"/>
          <w14:textFill>
            <w14:solidFill>
              <w14:schemeClr w14:val="tx1"/>
            </w14:solidFill>
          </w14:textFill>
        </w:rPr>
        <w:t>公司木材原料在开料、精加工、打磨等过程中均会产生粉尘产生的粉尘经双桶布袋除尘后由中央集尘系统收集，收集后粉尘经布袋除尘器处理后通过15米高排气筒排放。少量的未收集粉尘和施胶废气在车间加强通风，无组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废水主要</w:t>
      </w:r>
      <w:r>
        <w:rPr>
          <w:rFonts w:hint="eastAsia" w:eastAsia="宋体"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生活污水</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职工生活用水经</w:t>
      </w:r>
      <w:r>
        <w:rPr>
          <w:rFonts w:hint="eastAsia" w:eastAsia="宋体" w:cs="Times New Roman"/>
          <w:color w:val="000000" w:themeColor="text1"/>
          <w:sz w:val="24"/>
          <w:szCs w:val="24"/>
          <w:lang w:val="en-US" w:eastAsia="zh-CN"/>
          <w14:textFill>
            <w14:solidFill>
              <w14:schemeClr w14:val="tx1"/>
            </w14:solidFill>
          </w14:textFill>
        </w:rPr>
        <w:t>园区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内部化粪池预处理</w:t>
      </w:r>
      <w:r>
        <w:rPr>
          <w:rFonts w:hint="eastAsia" w:eastAsia="宋体" w:cs="Times New Roman"/>
          <w:color w:val="000000" w:themeColor="text1"/>
          <w:sz w:val="24"/>
          <w:szCs w:val="24"/>
          <w:lang w:val="en-US" w:eastAsia="zh-CN"/>
          <w14:textFill>
            <w14:solidFill>
              <w14:schemeClr w14:val="tx1"/>
            </w14:solidFill>
          </w14:textFill>
        </w:rPr>
        <w:t>后排入海安李堡滇池水务有限公司，处理达标后排入北凌河，本厂区无污水排放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本项目危险固（液）体废物包括废包装桶</w:t>
      </w:r>
      <w:r>
        <w:rPr>
          <w:rFonts w:hint="eastAsia" w:eastAsia="宋体" w:cs="Times New Roman"/>
          <w:color w:val="000000" w:themeColor="text1"/>
          <w:sz w:val="24"/>
          <w:szCs w:val="24"/>
          <w:lang w:val="en-US" w:eastAsia="zh-CN"/>
          <w14:textFill>
            <w14:solidFill>
              <w14:schemeClr w14:val="tx1"/>
            </w14:solidFill>
          </w14:textFill>
        </w:rPr>
        <w:t>、废劳保用品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。其中，劳保用品在《国家危险废物名录》（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2016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年）豁免管理清单内，本项目废劳保用品满足豁免条件，因此全过程不按危险废物管理，混入生活垃圾一起定期由</w:t>
      </w:r>
      <w:r>
        <w:rPr>
          <w:rFonts w:hint="eastAsia" w:eastAsia="宋体" w:cs="Times New Roman"/>
          <w:color w:val="000000" w:themeColor="text1"/>
          <w:sz w:val="24"/>
          <w:szCs w:val="24"/>
          <w:lang w:val="en-US" w:eastAsia="zh-CN"/>
          <w14:textFill>
            <w14:solidFill>
              <w14:schemeClr w14:val="tx1"/>
            </w14:solidFill>
          </w14:textFill>
        </w:rPr>
        <w:t>李堡环卫</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统一清运处置；废包装桶收集暂存于危险固废仓库，与</w:t>
      </w:r>
      <w:r>
        <w:rPr>
          <w:rFonts w:hint="eastAsia" w:eastAsia="宋体" w:cs="Times New Roman"/>
          <w:color w:val="000000" w:themeColor="text1"/>
          <w:sz w:val="24"/>
          <w:szCs w:val="24"/>
          <w:lang w:val="en-US" w:eastAsia="zh-CN"/>
          <w14:textFill>
            <w14:solidFill>
              <w14:schemeClr w14:val="tx1"/>
            </w14:solidFill>
          </w14:textFill>
        </w:rPr>
        <w:t>沐阳恒升环保科技有限公司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签订了处置协议，定期委托</w:t>
      </w:r>
      <w:r>
        <w:rPr>
          <w:rFonts w:hint="eastAsia" w:eastAsia="宋体" w:cs="Times New Roman"/>
          <w:color w:val="000000" w:themeColor="text1"/>
          <w:sz w:val="24"/>
          <w:szCs w:val="24"/>
          <w:lang w:val="en-US" w:eastAsia="zh-CN"/>
          <w14:textFill>
            <w14:solidFill>
              <w14:schemeClr w14:val="tx1"/>
            </w14:solidFill>
          </w14:textFill>
        </w:rPr>
        <w:t>沐阳恒升环保科技有限公司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处置</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0" w:hRule="atLeast"/>
          <w:jc w:val="center"/>
        </w:trPr>
        <w:tc>
          <w:tcPr>
            <w:tcW w:w="2786" w:type="dxa"/>
            <w:gridSpan w:val="2"/>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废水</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val="en-US" w:eastAsia="zh-CN" w:bidi="en-US"/>
              </w:rPr>
              <w:t>经化粪池预处理后</w:t>
            </w:r>
            <w:r>
              <w:rPr>
                <w:rFonts w:hint="default" w:ascii="Times New Roman" w:hAnsi="Times New Roman" w:eastAsia="宋体" w:cs="Times New Roman"/>
                <w:color w:val="000000"/>
                <w:sz w:val="21"/>
                <w:szCs w:val="21"/>
                <w:highlight w:val="none"/>
                <w:lang w:bidi="en-US"/>
              </w:rPr>
              <w:t>排入</w:t>
            </w:r>
            <w:r>
              <w:rPr>
                <w:rFonts w:hint="eastAsia" w:eastAsia="宋体" w:cs="Times New Roman"/>
                <w:color w:val="000000"/>
                <w:sz w:val="21"/>
                <w:szCs w:val="21"/>
                <w:highlight w:val="none"/>
                <w:lang w:val="en-US" w:eastAsia="zh-CN" w:bidi="en-US"/>
              </w:rPr>
              <w:t>海安李堡滇池水务有限公司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393"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废气</w:t>
            </w: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木屑粉尘</w:t>
            </w:r>
          </w:p>
        </w:tc>
        <w:tc>
          <w:tcPr>
            <w:tcW w:w="1738"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tcBorders>
              <w:tl2br w:val="nil"/>
              <w:tr2bl w:val="nil"/>
            </w:tcBorders>
            <w:vAlign w:val="center"/>
          </w:tcPr>
          <w:p>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中央除尘系统+</w:t>
            </w:r>
            <w:r>
              <w:rPr>
                <w:rFonts w:hint="eastAsia" w:eastAsia="宋体" w:cs="Times New Roman"/>
                <w:color w:val="000000"/>
                <w:sz w:val="21"/>
                <w:szCs w:val="21"/>
                <w:highlight w:val="none"/>
                <w:lang w:val="en-US" w:eastAsia="zh-CN" w:bidi="en-US"/>
              </w:rPr>
              <w:t>布袋除尘+15</w:t>
            </w:r>
            <w:r>
              <w:rPr>
                <w:rFonts w:hint="default" w:eastAsia="宋体" w:cs="Times New Roman"/>
                <w:color w:val="000000"/>
                <w:sz w:val="21"/>
                <w:szCs w:val="21"/>
                <w:highlight w:val="none"/>
                <w:lang w:val="en-US" w:eastAsia="zh-CN" w:bidi="en-US"/>
              </w:rPr>
              <w:t>m高排气筒（1#）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无组织排放废气</w:t>
            </w:r>
          </w:p>
        </w:tc>
        <w:tc>
          <w:tcPr>
            <w:tcW w:w="1738"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eastAsia"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车间通排风系统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废木料</w:t>
            </w:r>
          </w:p>
        </w:tc>
        <w:tc>
          <w:tcPr>
            <w:tcW w:w="1738"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default" w:eastAsia="宋体" w:cs="Times New Roman"/>
                <w:color w:val="000000"/>
                <w:sz w:val="21"/>
                <w:szCs w:val="21"/>
                <w:highlight w:val="none"/>
                <w:lang w:val="en-US" w:eastAsia="zh-CN" w:bidi="en-US"/>
              </w:rPr>
              <w:t>/</w:t>
            </w:r>
          </w:p>
        </w:tc>
        <w:tc>
          <w:tcPr>
            <w:tcW w:w="4434" w:type="dxa"/>
            <w:vMerge w:val="restart"/>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外售海安角斜镇连友新能源有限公司综合利用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海绵边角料</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废包装桶</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eastAsia" w:eastAsiaTheme="minorEastAsia"/>
                <w:color w:val="000000" w:themeColor="text1"/>
                <w:kern w:val="0"/>
                <w:sz w:val="21"/>
                <w:szCs w:val="21"/>
                <w:highlight w:val="none"/>
                <w:lang w:val="en-US" w:eastAsia="zh-CN"/>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委托</w:t>
            </w:r>
            <w:r>
              <w:rPr>
                <w:rFonts w:hint="eastAsia" w:ascii="Times New Roman" w:hAnsi="Times New Roman" w:eastAsia="宋体" w:cs="Times New Roman"/>
                <w:color w:val="000000"/>
                <w:sz w:val="21"/>
                <w:szCs w:val="21"/>
                <w:highlight w:val="none"/>
                <w:lang w:val="en-US" w:eastAsia="zh-CN" w:bidi="en-US"/>
              </w:rPr>
              <w:t>沐阳恒升环保科技有限公司进行</w:t>
            </w:r>
            <w:r>
              <w:rPr>
                <w:rFonts w:hint="eastAsia" w:eastAsiaTheme="minorEastAsia"/>
                <w:color w:val="000000" w:themeColor="text1"/>
                <w:kern w:val="0"/>
                <w:sz w:val="21"/>
                <w:szCs w:val="21"/>
                <w:highlight w:val="none"/>
                <w:lang w:val="en-US" w:eastAsia="zh-CN"/>
                <w14:textFill>
                  <w14:solidFill>
                    <w14:schemeClr w14:val="tx1"/>
                  </w14:solidFill>
                </w14:textFill>
              </w:rPr>
              <w:t>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废劳保用品</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val="en-US" w:eastAsia="zh-CN" w:bidi="en-US"/>
                <w14:textFill>
                  <w14:solidFill>
                    <w14:schemeClr w14:val="tx1"/>
                  </w14:solidFill>
                </w14:textFill>
              </w:rPr>
            </w:pPr>
            <w:r>
              <w:rPr>
                <w:rFonts w:hint="eastAsia" w:eastAsia="宋体" w:cs="Times New Roman"/>
                <w:color w:val="000000" w:themeColor="text1"/>
                <w:sz w:val="21"/>
                <w:szCs w:val="21"/>
                <w:highlight w:val="none"/>
                <w:lang w:val="en-US" w:eastAsia="zh-CN" w:bidi="en-US"/>
                <w14:textFill>
                  <w14:solidFill>
                    <w14:schemeClr w14:val="tx1"/>
                  </w14:solidFill>
                </w14:textFill>
              </w:rPr>
              <w:t>环卫清运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生活垃圾</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45" w:name="_Toc8506"/>
      <w:bookmarkStart w:id="46" w:name="_Toc2076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456642258"/>
      <w:bookmarkStart w:id="48" w:name="_Toc17748"/>
      <w:bookmarkStart w:id="49" w:name="_Toc19769"/>
      <w:bookmarkStart w:id="50" w:name="_Toc25591"/>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3508"/>
      <w:bookmarkStart w:id="52" w:name="_Toc21635"/>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446074790"/>
      <w:bookmarkStart w:id="54" w:name="_Toc18304"/>
      <w:bookmarkStart w:id="55" w:name="_Toc412725538"/>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公司大气环境风险防控措施情况</w:t>
      </w:r>
    </w:p>
    <w:tbl>
      <w:tblPr>
        <w:tblStyle w:val="37"/>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2"/>
        <w:gridCol w:w="8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8" w:type="dxa"/>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8385" w:type="dxa"/>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eastAsia="zh-CN"/>
              </w:rPr>
              <w:t>海安鑫恒家具有限公司</w:t>
            </w:r>
            <w:r>
              <w:rPr>
                <w:rFonts w:hint="eastAsia" w:eastAsia="宋体"/>
                <w:sz w:val="21"/>
                <w:szCs w:val="21"/>
                <w:lang w:val="en-US" w:eastAsia="zh-CN"/>
              </w:rPr>
              <w:t>木门生产</w:t>
            </w:r>
            <w:r>
              <w:rPr>
                <w:rFonts w:hint="eastAsia" w:eastAsia="宋体"/>
                <w:sz w:val="21"/>
                <w:szCs w:val="21"/>
              </w:rPr>
              <w:t>项目环境影响报告表</w:t>
            </w:r>
            <w:r>
              <w:rPr>
                <w:rFonts w:eastAsia="宋体"/>
                <w:sz w:val="21"/>
                <w:szCs w:val="21"/>
              </w:rPr>
              <w:t>》的批复</w:t>
            </w:r>
            <w:r>
              <w:rPr>
                <w:rFonts w:eastAsia="宋体"/>
                <w:kern w:val="0"/>
                <w:sz w:val="21"/>
                <w:szCs w:val="21"/>
              </w:rPr>
              <w:t>要求，</w:t>
            </w:r>
            <w:r>
              <w:rPr>
                <w:rFonts w:hint="eastAsia" w:eastAsia="宋体"/>
                <w:kern w:val="0"/>
                <w:sz w:val="21"/>
                <w:szCs w:val="21"/>
                <w:lang w:val="en-US" w:eastAsia="zh-CN"/>
              </w:rPr>
              <w:t>木工区域、用胶隔间界外各</w:t>
            </w:r>
            <w:r>
              <w:rPr>
                <w:rFonts w:eastAsia="宋体"/>
                <w:kern w:val="0"/>
                <w:sz w:val="21"/>
                <w:szCs w:val="21"/>
              </w:rPr>
              <w:t>设置</w:t>
            </w:r>
            <w:r>
              <w:rPr>
                <w:rFonts w:hint="eastAsia" w:eastAsia="宋体"/>
                <w:kern w:val="0"/>
                <w:sz w:val="21"/>
                <w:szCs w:val="21"/>
                <w:lang w:val="en-US" w:eastAsia="zh-CN"/>
              </w:rPr>
              <w:t>5</w:t>
            </w:r>
            <w:r>
              <w:rPr>
                <w:rFonts w:eastAsia="宋体"/>
                <w:kern w:val="0"/>
                <w:sz w:val="21"/>
                <w:szCs w:val="21"/>
              </w:rPr>
              <w:t>0m卫生防护距离，目前该卫生防护距离范围内无环境敏感目标。</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snapToGrid w:val="0"/>
              <w:jc w:val="center"/>
              <w:rPr>
                <w:rFonts w:eastAsia="宋体"/>
                <w:kern w:val="0"/>
                <w:sz w:val="21"/>
                <w:szCs w:val="21"/>
              </w:rPr>
            </w:pPr>
            <w:r>
              <w:rPr>
                <w:rFonts w:eastAsia="宋体"/>
                <w:kern w:val="0"/>
                <w:sz w:val="21"/>
                <w:szCs w:val="21"/>
              </w:rPr>
              <w:t>现场</w:t>
            </w:r>
          </w:p>
          <w:p>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pPr>
              <w:widowControl/>
              <w:numPr>
                <w:ilvl w:val="0"/>
                <w:numId w:val="4"/>
              </w:numPr>
              <w:snapToGrid w:val="0"/>
              <w:jc w:val="left"/>
              <w:rPr>
                <w:rFonts w:eastAsia="宋体"/>
                <w:sz w:val="21"/>
                <w:szCs w:val="21"/>
              </w:rPr>
            </w:pPr>
            <w:r>
              <w:rPr>
                <w:rFonts w:hint="eastAsia" w:eastAsia="宋体"/>
                <w:sz w:val="21"/>
                <w:szCs w:val="21"/>
                <w:lang w:val="en-US" w:eastAsia="zh-CN"/>
              </w:rPr>
              <w:t>园区</w:t>
            </w:r>
            <w:r>
              <w:rPr>
                <w:rFonts w:eastAsia="宋体"/>
                <w:sz w:val="21"/>
                <w:szCs w:val="21"/>
              </w:rPr>
              <w:t>雨水排口设置截留阀门，可手动关闭阀门。</w:t>
            </w:r>
          </w:p>
          <w:p>
            <w:pPr>
              <w:widowControl/>
              <w:numPr>
                <w:ilvl w:val="0"/>
                <w:numId w:val="4"/>
              </w:numPr>
              <w:snapToGrid w:val="0"/>
              <w:jc w:val="left"/>
              <w:rPr>
                <w:rFonts w:eastAsia="宋体"/>
                <w:sz w:val="21"/>
                <w:szCs w:val="21"/>
              </w:rPr>
            </w:pPr>
            <w:r>
              <w:rPr>
                <w:rFonts w:hint="eastAsia" w:eastAsia="宋体"/>
                <w:sz w:val="21"/>
                <w:szCs w:val="21"/>
                <w:lang w:val="en-US" w:eastAsia="zh-CN"/>
              </w:rPr>
              <w:t>厂区</w:t>
            </w:r>
            <w:r>
              <w:rPr>
                <w:rFonts w:eastAsia="宋体"/>
                <w:sz w:val="21"/>
                <w:szCs w:val="21"/>
              </w:rPr>
              <w:t>危废仓库</w:t>
            </w:r>
            <w:r>
              <w:rPr>
                <w:rFonts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numPr>
                <w:ilvl w:val="0"/>
                <w:numId w:val="5"/>
              </w:numPr>
              <w:snapToGrid w:val="0"/>
              <w:rPr>
                <w:rFonts w:eastAsia="宋体"/>
                <w:color w:val="000000" w:themeColor="text1"/>
                <w:sz w:val="21"/>
                <w:szCs w:val="21"/>
                <w:highlight w:val="none"/>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园区</w:t>
            </w:r>
            <w:r>
              <w:rPr>
                <w:rFonts w:eastAsia="宋体"/>
                <w:color w:val="000000" w:themeColor="text1"/>
                <w:sz w:val="21"/>
                <w:szCs w:val="21"/>
                <w:highlight w:val="none"/>
                <w14:textFill>
                  <w14:solidFill>
                    <w14:schemeClr w14:val="tx1"/>
                  </w14:solidFill>
                </w14:textFill>
              </w:rPr>
              <w:t>设置1座容量共计</w:t>
            </w:r>
            <w:r>
              <w:rPr>
                <w:rFonts w:hint="eastAsia" w:eastAsia="宋体"/>
                <w:color w:val="000000" w:themeColor="text1"/>
                <w:sz w:val="21"/>
                <w:szCs w:val="21"/>
                <w:highlight w:val="none"/>
                <w:lang w:eastAsia="zh-CN"/>
                <w14:textFill>
                  <w14:solidFill>
                    <w14:schemeClr w14:val="tx1"/>
                  </w14:solidFill>
                </w14:textFill>
              </w:rPr>
              <w:t>1</w:t>
            </w:r>
            <w:r>
              <w:rPr>
                <w:rFonts w:hint="eastAsia" w:eastAsia="宋体"/>
                <w:color w:val="000000" w:themeColor="text1"/>
                <w:sz w:val="21"/>
                <w:szCs w:val="21"/>
                <w:highlight w:val="none"/>
                <w:lang w:val="en-US" w:eastAsia="zh-CN"/>
                <w14:textFill>
                  <w14:solidFill>
                    <w14:schemeClr w14:val="tx1"/>
                  </w14:solidFill>
                </w14:textFill>
              </w:rPr>
              <w:t>5</w:t>
            </w:r>
            <w:r>
              <w:rPr>
                <w:rFonts w:hint="eastAsia" w:eastAsia="宋体"/>
                <w:color w:val="000000" w:themeColor="text1"/>
                <w:sz w:val="21"/>
                <w:szCs w:val="21"/>
                <w:highlight w:val="none"/>
                <w:lang w:eastAsia="zh-CN"/>
                <w14:textFill>
                  <w14:solidFill>
                    <w14:schemeClr w14:val="tx1"/>
                  </w14:solidFill>
                </w14:textFill>
              </w:rPr>
              <w:t>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事故池，可用于事故废水和物料的收集和临时存放。</w:t>
            </w:r>
          </w:p>
          <w:p>
            <w:pPr>
              <w:numPr>
                <w:ilvl w:val="0"/>
                <w:numId w:val="5"/>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）能够通过雨水管网自流进入</w:t>
            </w:r>
            <w:r>
              <w:rPr>
                <w:rFonts w:hint="eastAsia" w:eastAsia="宋体"/>
                <w:color w:val="000000" w:themeColor="text1"/>
                <w:sz w:val="21"/>
                <w:szCs w:val="21"/>
                <w:highlight w:val="none"/>
                <w:lang w:val="en-US" w:eastAsia="zh-CN"/>
                <w14:textFill>
                  <w14:solidFill>
                    <w14:schemeClr w14:val="tx1"/>
                  </w14:solidFill>
                </w14:textFill>
              </w:rPr>
              <w:t>事故应急</w:t>
            </w:r>
            <w:r>
              <w:rPr>
                <w:rFonts w:eastAsia="宋体"/>
                <w:color w:val="000000" w:themeColor="text1"/>
                <w:sz w:val="21"/>
                <w:szCs w:val="21"/>
                <w:highlight w:val="none"/>
                <w14:textFill>
                  <w14:solidFill>
                    <w14:schemeClr w14:val="tx1"/>
                  </w14:solidFill>
                </w14:textFill>
              </w:rPr>
              <w:t>池。</w:t>
            </w:r>
          </w:p>
          <w:p>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经预处理达接管要求后排入海安李堡镇滇池水务有限公司</w:t>
            </w:r>
            <w:r>
              <w:rPr>
                <w:rFonts w:eastAsia="宋体"/>
                <w:color w:val="000000" w:themeColor="text1"/>
                <w:sz w:val="21"/>
                <w:szCs w:val="21"/>
                <w:highlight w:val="none"/>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w:t>
            </w:r>
            <w:r>
              <w:rPr>
                <w:rFonts w:hint="eastAsia" w:eastAsia="宋体"/>
                <w:color w:val="000000" w:themeColor="text1"/>
                <w:sz w:val="21"/>
                <w:szCs w:val="21"/>
                <w:highlight w:val="none"/>
                <w:lang w:val="en-US" w:eastAsia="zh-CN"/>
                <w14:textFill>
                  <w14:solidFill>
                    <w14:schemeClr w14:val="tx1"/>
                  </w14:solidFill>
                </w14:textFill>
              </w:rPr>
              <w:t>园区</w:t>
            </w:r>
            <w:r>
              <w:rPr>
                <w:rFonts w:eastAsia="宋体"/>
                <w:color w:val="000000" w:themeColor="text1"/>
                <w:sz w:val="21"/>
                <w:szCs w:val="21"/>
                <w:highlight w:val="none"/>
                <w14:textFill>
                  <w14:solidFill>
                    <w14:schemeClr w14:val="tx1"/>
                  </w14:solidFill>
                </w14:textFill>
              </w:rPr>
              <w:t>内雨污分流。</w:t>
            </w:r>
          </w:p>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（2）</w:t>
            </w:r>
            <w:r>
              <w:rPr>
                <w:rFonts w:hint="eastAsia" w:eastAsia="宋体"/>
                <w:color w:val="000000" w:themeColor="text1"/>
                <w:sz w:val="21"/>
                <w:szCs w:val="21"/>
                <w:highlight w:val="none"/>
                <w:lang w:val="en-US" w:eastAsia="zh-CN"/>
                <w14:textFill>
                  <w14:solidFill>
                    <w14:schemeClr w14:val="tx1"/>
                  </w14:solidFill>
                </w14:textFill>
              </w:rPr>
              <w:t>园区</w:t>
            </w:r>
            <w:r>
              <w:rPr>
                <w:rFonts w:eastAsia="宋体"/>
                <w:color w:val="000000" w:themeColor="text1"/>
                <w:sz w:val="21"/>
                <w:szCs w:val="21"/>
                <w:highlight w:val="none"/>
                <w14:textFill>
                  <w14:solidFill>
                    <w14:schemeClr w14:val="tx1"/>
                  </w14:solidFill>
                </w14:textFill>
              </w:rPr>
              <w:t>设置1座容量共计</w:t>
            </w:r>
            <w:r>
              <w:rPr>
                <w:rFonts w:hint="eastAsia" w:eastAsia="宋体"/>
                <w:color w:val="000000" w:themeColor="text1"/>
                <w:sz w:val="21"/>
                <w:szCs w:val="21"/>
                <w:highlight w:val="none"/>
                <w:lang w:val="en-US" w:eastAsia="zh-CN"/>
                <w14:textFill>
                  <w14:solidFill>
                    <w14:schemeClr w14:val="tx1"/>
                  </w14:solidFill>
                </w14:textFill>
              </w:rPr>
              <w:t>150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p>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（3）雨水外排口设置监视及关闭设施。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生活污水经化粪池处理后排</w:t>
            </w:r>
            <w:r>
              <w:rPr>
                <w:rFonts w:eastAsia="宋体"/>
                <w:kern w:val="0"/>
                <w:sz w:val="21"/>
                <w:szCs w:val="21"/>
                <w:highlight w:val="none"/>
              </w:rPr>
              <w:t>入</w:t>
            </w:r>
            <w:r>
              <w:rPr>
                <w:rFonts w:hint="eastAsia" w:eastAsia="宋体" w:cs="Times New Roman"/>
                <w:bCs/>
                <w:color w:val="auto"/>
                <w:sz w:val="21"/>
                <w:szCs w:val="21"/>
                <w:highlight w:val="none"/>
                <w:lang w:val="en-US" w:eastAsia="zh-CN"/>
              </w:rPr>
              <w:t>海安李堡滇池水务有限公司</w:t>
            </w:r>
            <w:r>
              <w:rPr>
                <w:rFonts w:hint="eastAsia" w:eastAsia="宋体"/>
                <w:color w:val="000000" w:themeColor="text1"/>
                <w:sz w:val="21"/>
                <w:szCs w:val="21"/>
                <w:highlight w:val="none"/>
                <w:lang w:val="en-US" w:eastAsia="zh-CN"/>
                <w14:textFill>
                  <w14:solidFill>
                    <w14:schemeClr w14:val="tx1"/>
                  </w14:solidFill>
                </w14:textFill>
              </w:rPr>
              <w:t>集中</w:t>
            </w:r>
            <w:r>
              <w:rPr>
                <w:rFonts w:eastAsia="宋体"/>
                <w:color w:val="000000" w:themeColor="text1"/>
                <w:sz w:val="21"/>
                <w:szCs w:val="21"/>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（1）企业周围的环境现状主要为工业用地，无饮用水源保护区、无地下水取水口</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535414246"/>
      <w:bookmarkStart w:id="58" w:name="_Toc18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4"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当Q≥1时，将Q值划分为：（1）1≤Q＜10；（2）10≤Q＜100；（3）Q≥100，分别以Q1、Q2和Q3表示。</w:t>
      </w:r>
      <w:r>
        <w:rPr>
          <w:rFonts w:hint="default" w:ascii="Times New Roman" w:hAnsi="Times New Roman" w:eastAsia="宋体" w:cs="Times New Roman"/>
        </w:rPr>
        <w:br w:type="textWrapping"/>
      </w:r>
      <w:bookmarkStart w:id="59" w:name="_Toc535414247"/>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险分级方法（发布稿）》附录A中对于企业突发环境事件风险物质及临界量清单，公司涉气环境风险物质如下表所示，经计算，Q=</w:t>
      </w:r>
      <w:r>
        <w:rPr>
          <w:rFonts w:hint="eastAsia" w:eastAsia="宋体" w:cs="Times New Roman"/>
          <w:color w:val="000000" w:themeColor="text1"/>
          <w:lang w:val="en-US" w:eastAsia="zh-CN"/>
          <w14:textFill>
            <w14:solidFill>
              <w14:schemeClr w14:val="tx1"/>
            </w14:solidFill>
          </w14:textFill>
        </w:rPr>
        <w:t>0.0072</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00072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004</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00832</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lang w:eastAsia="zh-CN"/>
              </w:rPr>
              <w:t>水性漆</w:t>
            </w:r>
            <w:r>
              <w:rPr>
                <w:rFonts w:eastAsia="宋体"/>
                <w:sz w:val="21"/>
                <w:szCs w:val="21"/>
              </w:rPr>
              <w:t>仓库</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0.36</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白乳胶固化剂</w:t>
            </w:r>
          </w:p>
        </w:tc>
        <w:tc>
          <w:tcPr>
            <w:tcW w:w="1567" w:type="dxa"/>
            <w:tcBorders>
              <w:tl2br w:val="nil"/>
              <w:tr2bl w:val="nil"/>
            </w:tcBorders>
            <w:vAlign w:val="center"/>
          </w:tcPr>
          <w:p>
            <w:pPr>
              <w:spacing w:line="30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0.036</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Times New Roman"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白乳胶固化剂</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危废仓库</w:t>
            </w:r>
          </w:p>
        </w:tc>
        <w:tc>
          <w:tcPr>
            <w:tcW w:w="1538"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废漆桶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hint="eastAsia" w:eastAsia="宋体"/>
                <w:sz w:val="21"/>
                <w:szCs w:val="21"/>
                <w:lang w:eastAsia="zh-CN"/>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使用白乳胶等易燃易爆物质</w:t>
            </w:r>
          </w:p>
        </w:tc>
        <w:tc>
          <w:tcPr>
            <w:tcW w:w="525" w:type="pct"/>
            <w:vAlign w:val="center"/>
          </w:tcPr>
          <w:p>
            <w:pPr>
              <w:pStyle w:val="5"/>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，高压指压力容器的设计压力（p）≥10.0MPa，易燃易爆等物质是指按照GB20576至GB20602《化学品分类、警示标签和警示性说明安全规范》所确定的化学物质；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2" w:name="_Toc18617"/>
      <w:bookmarkStart w:id="63" w:name="_Toc1329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根据企业的实际情况，企业大气环境风险防控措施及突发大气环境事件发生情况的得分为0分。具体见表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w:t>
      </w:r>
      <w:r>
        <w:rPr>
          <w:rFonts w:hint="eastAsia" w:eastAsia="宋体" w:cs="Times New Roman"/>
          <w:snapToGrid w:val="0"/>
          <w:kern w:val="0"/>
          <w:lang w:val="en-US" w:eastAsia="zh-CN"/>
        </w:rPr>
        <w:t>5</w:t>
      </w:r>
      <w:r>
        <w:rPr>
          <w:rFonts w:hint="default" w:ascii="Times New Roman" w:hAnsi="Times New Roman" w:eastAsia="宋体" w:cs="Times New Roman"/>
          <w:snapToGrid w:val="0"/>
          <w:kern w:val="0"/>
        </w:rPr>
        <w:t>、大气环境风险防控措施及突发大气环境事件发生情况评估值为0，两项指标评估分值累加得出：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eastAsia" w:eastAsia="宋体" w:cs="Times New Roman"/>
          <w:b w:val="0"/>
          <w:bCs w:val="0"/>
          <w:snapToGrid w:val="0"/>
          <w:kern w:val="0"/>
          <w:lang w:val="en-US" w:eastAsia="zh-CN"/>
        </w:rPr>
        <w:t>5</w:t>
      </w:r>
      <w:r>
        <w:rPr>
          <w:rFonts w:hint="default" w:ascii="Times New Roman" w:hAnsi="Times New Roman" w:eastAsia="宋体" w:cs="Times New Roman"/>
          <w:b w:val="0"/>
          <w:bCs w:val="0"/>
          <w:snapToGrid w:val="0"/>
          <w:kern w:val="0"/>
        </w:rPr>
        <w:t>，生产工艺过程与环境风险及其控制水平为M1型。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20046"/>
      <w:bookmarkStart w:id="65" w:name="_Toc534722005"/>
      <w:bookmarkStart w:id="66" w:name="_Toc535414248"/>
      <w:bookmarkStart w:id="67" w:name="_Toc15710"/>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rPr>
        <w:t>口总数1万人</w:t>
      </w:r>
      <w:r>
        <w:rPr>
          <w:rFonts w:hint="default" w:ascii="Times New Roman" w:hAnsi="Times New Roman" w:eastAsia="宋体" w:cs="Times New Roman"/>
          <w:b w:val="0"/>
          <w:bCs/>
          <w:color w:val="000000" w:themeColor="text1"/>
          <w:sz w:val="24"/>
          <w:szCs w:val="24"/>
          <w14:textFill>
            <w14:solidFill>
              <w14:schemeClr w14:val="tx1"/>
            </w14:solidFill>
          </w14:textFill>
        </w:rPr>
        <w:t>以</w:t>
      </w:r>
      <w:r>
        <w:rPr>
          <w:rFonts w:hint="eastAsia" w:eastAsia="宋体" w:cs="Times New Roman"/>
          <w:b w:val="0"/>
          <w:bCs/>
          <w:color w:val="000000" w:themeColor="text1"/>
          <w:sz w:val="24"/>
          <w:szCs w:val="24"/>
          <w:lang w:val="en-US" w:eastAsia="zh-CN"/>
          <w14:textFill>
            <w14:solidFill>
              <w14:schemeClr w14:val="tx1"/>
            </w14:solidFill>
          </w14:textFill>
        </w:rPr>
        <w:t>上</w:t>
      </w:r>
      <w:r>
        <w:rPr>
          <w:rFonts w:eastAsiaTheme="minorEastAsia"/>
          <w:color w:val="000000" w:themeColor="text1"/>
          <w:sz w:val="21"/>
          <w:szCs w:val="21"/>
          <w14:textFill>
            <w14:solidFill>
              <w14:schemeClr w14:val="tx1"/>
            </w14:solidFill>
          </w14:textFill>
        </w:rPr>
        <w:t>、5万人以下</w:t>
      </w:r>
      <w:r>
        <w:rPr>
          <w:rFonts w:hint="default" w:ascii="Times New Roman" w:hAnsi="Times New Roman" w:eastAsia="宋体" w:cs="Times New Roman"/>
          <w:b w:val="0"/>
          <w:bCs/>
          <w:sz w:val="24"/>
          <w:szCs w:val="24"/>
        </w:rPr>
        <w:t>，</w:t>
      </w:r>
      <w:r>
        <w:rPr>
          <w:rFonts w:hint="eastAsia" w:eastAsia="宋体" w:cs="Times New Roman"/>
          <w:b w:val="0"/>
          <w:bCs/>
          <w:sz w:val="24"/>
          <w:szCs w:val="24"/>
          <w:lang w:val="en-US" w:eastAsia="zh-CN"/>
        </w:rPr>
        <w:t>但</w:t>
      </w:r>
      <w:r>
        <w:rPr>
          <w:rFonts w:hint="default" w:ascii="Times New Roman" w:hAnsi="Times New Roman" w:eastAsia="宋体" w:cs="Times New Roman"/>
          <w:b w:val="0"/>
          <w:bCs/>
          <w:sz w:val="24"/>
          <w:szCs w:val="24"/>
        </w:rPr>
        <w:t>企业</w:t>
      </w:r>
      <w:r>
        <w:rPr>
          <w:rFonts w:hint="default" w:ascii="Times New Roman" w:hAnsi="Times New Roman" w:eastAsia="宋体" w:cs="Times New Roman"/>
          <w:b w:val="0"/>
          <w:bCs/>
        </w:rPr>
        <w:t>周边500米</w:t>
      </w:r>
      <w:r>
        <w:rPr>
          <w:rFonts w:hint="default" w:ascii="Times New Roman" w:hAnsi="Times New Roman" w:eastAsia="宋体" w:cs="Times New Roman"/>
          <w:b w:val="0"/>
          <w:bCs/>
          <w:sz w:val="24"/>
          <w:szCs w:val="24"/>
        </w:rPr>
        <w:t>范围内人口总数</w:t>
      </w:r>
      <w:r>
        <w:rPr>
          <w:rFonts w:hint="eastAsia" w:eastAsia="宋体" w:cs="Times New Roman"/>
          <w:b w:val="0"/>
          <w:bCs/>
          <w:color w:val="000000" w:themeColor="text1"/>
          <w:sz w:val="24"/>
          <w:szCs w:val="24"/>
          <w:lang w:val="en-US" w:eastAsia="zh-CN"/>
          <w14:textFill>
            <w14:solidFill>
              <w14:schemeClr w14:val="tx1"/>
            </w14:solidFill>
          </w14:textFill>
        </w:rPr>
        <w:t>500</w:t>
      </w:r>
      <w:r>
        <w:rPr>
          <w:rFonts w:hint="default" w:ascii="Times New Roman" w:hAnsi="Times New Roman" w:eastAsia="宋体" w:cs="Times New Roman"/>
          <w:b w:val="0"/>
          <w:bCs/>
          <w:color w:val="000000" w:themeColor="text1"/>
          <w:sz w:val="24"/>
          <w:szCs w:val="24"/>
          <w14:textFill>
            <w14:solidFill>
              <w14:schemeClr w14:val="tx1"/>
            </w14:solidFill>
          </w14:textFill>
        </w:rPr>
        <w:t>人以</w:t>
      </w:r>
      <w:r>
        <w:rPr>
          <w:rFonts w:hint="eastAsia" w:eastAsia="宋体" w:cs="Times New Roman"/>
          <w:b w:val="0"/>
          <w:bCs/>
          <w:color w:val="000000" w:themeColor="text1"/>
          <w:sz w:val="24"/>
          <w:szCs w:val="24"/>
          <w:lang w:val="en-US" w:eastAsia="zh-CN"/>
          <w14:textFill>
            <w14:solidFill>
              <w14:schemeClr w14:val="tx1"/>
            </w14:solidFill>
          </w14:textFill>
        </w:rPr>
        <w:t>上，1000人以下</w:t>
      </w:r>
      <w:r>
        <w:rPr>
          <w:rFonts w:hint="default" w:ascii="Times New Roman" w:hAnsi="Times New Roman" w:eastAsia="宋体" w:cs="Times New Roman"/>
          <w:b w:val="0"/>
          <w:bCs/>
          <w:sz w:val="24"/>
          <w:szCs w:val="24"/>
        </w:rPr>
        <w:t>，为（E</w:t>
      </w:r>
      <w:r>
        <w:rPr>
          <w:rFonts w:hint="eastAsia" w:eastAsia="宋体" w:cs="Times New Roman"/>
          <w:b w:val="0"/>
          <w:bCs/>
          <w:sz w:val="24"/>
          <w:szCs w:val="24"/>
          <w:lang w:val="en-US" w:eastAsia="zh-CN"/>
        </w:rPr>
        <w:t>2</w:t>
      </w:r>
      <w:r>
        <w:rPr>
          <w:rFonts w:hint="default" w:ascii="Times New Roman" w:hAnsi="Times New Roman" w:eastAsia="宋体" w:cs="Times New Roman"/>
          <w:b w:val="0"/>
          <w:bCs/>
          <w:sz w:val="24"/>
          <w:szCs w:val="24"/>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30415"/>
      <w:bookmarkStart w:id="70" w:name="_Toc28589"/>
      <w:bookmarkStart w:id="71" w:name="_Toc534722006"/>
      <w:bookmarkStart w:id="72" w:name="_Toc535414249"/>
      <w:bookmarkStart w:id="73" w:name="_Toc510102113"/>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74" w:name="_Toc534722007"/>
      <w:bookmarkStart w:id="75" w:name="_Toc108"/>
      <w:bookmarkStart w:id="76" w:name="_Toc19213"/>
      <w:bookmarkStart w:id="77" w:name="_Toc535414250"/>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.1 涉水风险物质数量与临界量比值（Q）</w:t>
      </w:r>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算涉水风险物质与其临界量的比值Q结果见下表。得出，Q=</w:t>
      </w:r>
      <w:r>
        <w:rPr>
          <w:rFonts w:hint="eastAsia" w:eastAsia="宋体" w:cs="Times New Roman"/>
          <w:color w:val="000000" w:themeColor="text1"/>
          <w:lang w:val="en-US" w:eastAsia="zh-CN"/>
          <w14:textFill>
            <w14:solidFill>
              <w14:schemeClr w14:val="tx1"/>
            </w14:solidFill>
          </w14:textFill>
        </w:rPr>
        <w:t>0.0072</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00072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004</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00832</w:t>
      </w:r>
      <w:r>
        <w:rPr>
          <w:rFonts w:hint="default" w:ascii="Times New Roman" w:hAnsi="Times New Roman" w:eastAsia="宋体" w:cs="Times New Roman"/>
          <w:color w:val="000000" w:themeColor="text1"/>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bookmarkStart w:id="78" w:name="_Toc535414251"/>
            <w:bookmarkStart w:id="79" w:name="_Toc534722008"/>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lang w:eastAsia="zh-CN"/>
              </w:rPr>
              <w:t>水性漆</w:t>
            </w:r>
            <w:r>
              <w:rPr>
                <w:rFonts w:eastAsia="宋体"/>
                <w:sz w:val="21"/>
                <w:szCs w:val="21"/>
              </w:rPr>
              <w:t>仓库</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0.36</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白乳胶固化剂</w:t>
            </w:r>
          </w:p>
        </w:tc>
        <w:tc>
          <w:tcPr>
            <w:tcW w:w="1567" w:type="dxa"/>
            <w:tcBorders>
              <w:tl2br w:val="nil"/>
              <w:tr2bl w:val="nil"/>
            </w:tcBorders>
            <w:vAlign w:val="center"/>
          </w:tcPr>
          <w:p>
            <w:pPr>
              <w:spacing w:line="30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0.036</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Times New Roman"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白乳胶固化剂</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危废仓库</w:t>
            </w:r>
          </w:p>
        </w:tc>
        <w:tc>
          <w:tcPr>
            <w:tcW w:w="1538"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废漆桶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hint="eastAsia" w:eastAsia="宋体"/>
                <w:sz w:val="21"/>
                <w:szCs w:val="21"/>
                <w:lang w:eastAsia="zh-CN"/>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bl>
    <w:p>
      <w:pPr>
        <w:pStyle w:val="252"/>
        <w:adjustRightInd w:val="0"/>
        <w:snapToGrid w:val="0"/>
        <w:ind w:firstLine="422"/>
        <w:jc w:val="center"/>
        <w:rPr>
          <w:rFonts w:eastAsia="宋体"/>
          <w:b/>
          <w:sz w:val="24"/>
          <w:szCs w:val="24"/>
        </w:rPr>
      </w:pPr>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0"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w:t>
      </w:r>
      <w:r>
        <w:rPr>
          <w:rFonts w:hint="eastAsia" w:eastAsia="宋体" w:cs="Times New Roman"/>
          <w:snapToGrid w:val="0"/>
          <w:kern w:val="0"/>
          <w:lang w:val="en-US" w:eastAsia="zh-CN"/>
        </w:rPr>
        <w:t>5</w:t>
      </w:r>
      <w:r>
        <w:rPr>
          <w:rFonts w:hint="default" w:ascii="Times New Roman" w:hAnsi="Times New Roman" w:eastAsia="宋体" w:cs="Times New Roman"/>
          <w:snapToGrid w:val="0"/>
          <w:kern w:val="0"/>
        </w:rPr>
        <w:t>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园区环境风险单元有截留措施，雨水系统设有切换阀门。日常有专人进行维护及管理</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eastAsia" w:cs="Times New Roman" w:eastAsiaTheme="minorEastAsia"/>
                <w:color w:val="000000" w:themeColor="text1"/>
                <w:sz w:val="21"/>
                <w:szCs w:val="21"/>
                <w:lang w:val="en-US" w:eastAsia="zh-CN"/>
                <w14:textFill>
                  <w14:solidFill>
                    <w14:schemeClr w14:val="tx1"/>
                  </w14:solidFill>
                </w14:textFill>
              </w:rPr>
              <w:t>园区</w:t>
            </w:r>
            <w:r>
              <w:rPr>
                <w:rFonts w:hint="default" w:ascii="Times New Roman" w:hAnsi="Times New Roman" w:cs="Times New Roman" w:eastAsiaTheme="minorEastAsia"/>
                <w:color w:val="000000" w:themeColor="text1"/>
                <w:kern w:val="0"/>
                <w:sz w:val="21"/>
                <w:szCs w:val="21"/>
                <w14:textFill>
                  <w14:solidFill>
                    <w14:schemeClr w14:val="tx1"/>
                  </w14:solidFill>
                </w14:textFill>
              </w:rPr>
              <w:t>设置1座事故应急池容积共</w:t>
            </w:r>
            <w:r>
              <w:rPr>
                <w:rFonts w:hint="eastAsia" w:cs="Times New Roman" w:eastAsiaTheme="minorEastAsia"/>
                <w:color w:val="000000" w:themeColor="text1"/>
                <w:kern w:val="0"/>
                <w:sz w:val="21"/>
                <w:szCs w:val="21"/>
                <w:lang w:val="en-US" w:eastAsia="zh-CN"/>
                <w14:textFill>
                  <w14:solidFill>
                    <w14:schemeClr w14:val="tx1"/>
                  </w14:solidFill>
                </w14:textFill>
              </w:rPr>
              <w:t>150</w:t>
            </w:r>
            <w:r>
              <w:rPr>
                <w:rFonts w:hint="eastAsia" w:cs="Times New Roman" w:eastAsiaTheme="minorEastAsia"/>
                <w:color w:val="000000" w:themeColor="text1"/>
                <w:kern w:val="0"/>
                <w:sz w:val="21"/>
                <w:szCs w:val="21"/>
                <w:lang w:eastAsia="zh-CN"/>
                <w14:textFill>
                  <w14:solidFill>
                    <w14:schemeClr w14:val="tx1"/>
                  </w14:solidFill>
                </w14:textFill>
              </w:rPr>
              <w:t>m</w:t>
            </w:r>
            <w:r>
              <w:rPr>
                <w:rFonts w:hint="eastAsia" w:cs="Times New Roman" w:eastAsiaTheme="minorEastAsia"/>
                <w:color w:val="000000" w:themeColor="text1"/>
                <w:kern w:val="0"/>
                <w:sz w:val="21"/>
                <w:szCs w:val="21"/>
                <w:vertAlign w:val="superscript"/>
                <w:lang w:eastAsia="zh-CN"/>
                <w14:textFill>
                  <w14:solidFill>
                    <w14:schemeClr w14:val="tx1"/>
                  </w14:solidFill>
                </w14:textFill>
              </w:rPr>
              <w:t>3</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（1）不涉及清净废水</w:t>
            </w:r>
            <w:r>
              <w:rPr>
                <w:rFonts w:hint="eastAsia" w:cs="Times New Roman" w:eastAsiaTheme="minorEastAsia"/>
                <w:color w:val="000000" w:themeColor="text1"/>
                <w:sz w:val="21"/>
                <w:szCs w:val="21"/>
                <w:lang w:eastAsia="zh-CN"/>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或</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r>
              <w:rPr>
                <w:rFonts w:hint="eastAsia" w:cs="Times New Roman" w:eastAsiaTheme="minorEastAsia"/>
                <w:color w:val="000000" w:themeColor="text1"/>
                <w:spacing w:val="-4"/>
                <w:sz w:val="21"/>
                <w:szCs w:val="21"/>
                <w:lang w:val="en-US" w:eastAsia="zh-CN"/>
                <w14:textFill>
                  <w14:solidFill>
                    <w14:schemeClr w14:val="tx1"/>
                  </w14:solidFill>
                </w14:textFill>
              </w:rPr>
              <w:t>且</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pacing w:val="-4"/>
                <w:sz w:val="21"/>
                <w:szCs w:val="21"/>
                <w:lang w:val="en-US" w:eastAsia="zh-CN"/>
                <w14:textFill>
                  <w14:solidFill>
                    <w14:schemeClr w14:val="tx1"/>
                  </w14:solidFill>
                </w14:textFill>
              </w:rPr>
              <w:t>园区</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firstLine="210" w:firstLineChars="10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V3：事故时可以转输到其它储存或处理设施的物料量，m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 xml:space="preserve">事故废水导排管道容 </w:t>
      </w:r>
    </w:p>
    <w:p>
      <w:pPr>
        <w:keepNext w:val="0"/>
        <w:keepLines w:val="0"/>
        <w:pageBreakBefore w:val="0"/>
        <w:kinsoku/>
        <w:wordWrap/>
        <w:overflowPunct/>
        <w:topLinePunct w:val="0"/>
        <w:autoSpaceDE w:val="0"/>
        <w:autoSpaceDN w:val="0"/>
        <w:bidi w:val="0"/>
        <w:snapToGrid w:val="0"/>
        <w:spacing w:line="500" w:lineRule="exac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量管径为 </w:t>
      </w:r>
      <w:r>
        <w:rPr>
          <w:rFonts w:hint="default" w:ascii="Times New Roman" w:hAnsi="Times New Roman" w:eastAsia="宋体" w:cs="Times New Roman"/>
          <w:color w:val="auto"/>
          <w:kern w:val="2"/>
          <w:sz w:val="24"/>
          <w:szCs w:val="24"/>
          <w:lang w:val="en-US" w:eastAsia="zh-CN" w:bidi="ar-SA"/>
        </w:rPr>
        <w:t>400mm</w:t>
      </w:r>
      <w:r>
        <w:rPr>
          <w:rFonts w:hint="eastAsia" w:ascii="Times New Roman" w:hAnsi="Times New Roman" w:eastAsia="宋体" w:cs="Times New Roman"/>
          <w:color w:val="auto"/>
          <w:kern w:val="2"/>
          <w:sz w:val="24"/>
          <w:szCs w:val="24"/>
          <w:lang w:val="en-US" w:eastAsia="zh-CN" w:bidi="ar-SA"/>
        </w:rPr>
        <w:t xml:space="preserve">，长度约为 </w:t>
      </w:r>
      <w:r>
        <w:rPr>
          <w:rFonts w:hint="eastAsia" w:eastAsia="宋体" w:cs="Times New Roman"/>
          <w:color w:val="auto"/>
          <w:kern w:val="2"/>
          <w:sz w:val="24"/>
          <w:szCs w:val="24"/>
          <w:lang w:val="en-US" w:eastAsia="zh-CN" w:bidi="ar-SA"/>
        </w:rPr>
        <w:t>1600</w:t>
      </w:r>
      <w:r>
        <w:rPr>
          <w:rFonts w:hint="default"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lang w:val="en-US" w:eastAsia="zh-CN" w:bidi="ar-SA"/>
        </w:rPr>
        <w:t xml:space="preserve">，故 </w:t>
      </w:r>
      <w:r>
        <w:rPr>
          <w:rFonts w:hint="default" w:ascii="Times New Roman" w:hAnsi="Times New Roman" w:eastAsia="宋体" w:cs="Times New Roman"/>
          <w:color w:val="auto"/>
          <w:kern w:val="2"/>
          <w:sz w:val="24"/>
          <w:szCs w:val="24"/>
          <w:lang w:val="en-US" w:eastAsia="zh-CN" w:bidi="ar-SA"/>
        </w:rPr>
        <w:t>V3=</w:t>
      </w:r>
      <w:r>
        <w:rPr>
          <w:rFonts w:hint="eastAsia" w:eastAsia="宋体" w:cs="Times New Roman"/>
          <w:color w:val="auto"/>
          <w:kern w:val="2"/>
          <w:sz w:val="24"/>
          <w:szCs w:val="24"/>
          <w:lang w:val="en-US" w:eastAsia="zh-CN" w:bidi="ar-SA"/>
        </w:rPr>
        <w:t>213</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V4：发生事故时必须进入该收集系统的生产废水量，m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所在园区可能受污染雨水面积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236.8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213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213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236.8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213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eastAsia" w:eastAsia="宋体" w:cs="Times New Roman"/>
          <w:color w:val="000000" w:themeColor="text1"/>
          <w:kern w:val="2"/>
          <w:sz w:val="24"/>
          <w:szCs w:val="24"/>
          <w:lang w:val="en-US" w:eastAsia="zh-CN" w:bidi="ar-SA"/>
          <w14:textFill>
            <w14:solidFill>
              <w14:schemeClr w14:val="tx1"/>
            </w14:solidFill>
          </w14:textFill>
        </w:rPr>
        <w:t>236.8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132.3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150m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突发环境事件应急132.3</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w:t>
      </w:r>
      <w:r>
        <w:rPr>
          <w:rFonts w:hint="eastAsia" w:eastAsia="宋体" w:cs="Times New Roman"/>
          <w:snapToGrid w:val="0"/>
          <w:kern w:val="0"/>
          <w:lang w:val="en-US" w:eastAsia="zh-CN"/>
        </w:rPr>
        <w:t>5</w:t>
      </w:r>
      <w:r>
        <w:rPr>
          <w:rFonts w:hint="default" w:ascii="Times New Roman" w:hAnsi="Times New Roman" w:eastAsia="宋体" w:cs="Times New Roman"/>
          <w:snapToGrid w:val="0"/>
          <w:kern w:val="0"/>
        </w:rPr>
        <w:t>、水环境风险防控措施及突发水环境事件发生情况评估得分为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13</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12867"/>
      <w:bookmarkStart w:id="82" w:name="_Toc24923"/>
      <w:bookmarkStart w:id="83" w:name="_Toc534722009"/>
      <w:bookmarkStart w:id="84" w:name="_Toc53541425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1"/>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5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4"/>
        <w:gridCol w:w="7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15"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84"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15"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84"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lang w:val="en-US" w:eastAsia="zh-CN"/>
        </w:rPr>
        <w:t>公司</w:t>
      </w:r>
      <w:r>
        <w:rPr>
          <w:rFonts w:hint="default" w:ascii="Times New Roman" w:hAnsi="Times New Roman" w:eastAsia="宋体" w:cs="Times New Roman"/>
        </w:rPr>
        <w:t>雨污水排口下游10公里内无任何环境风险受体，废水排入受纳水体后24h流经范围未跨国界，因此环境风险受体划分为类型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5" w:name="_Toc402776209"/>
      <w:bookmarkStart w:id="86" w:name="_Toc1286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5"/>
      <w:bookmarkEnd w:id="8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7"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8"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4</w:t>
      </w:r>
      <w:r>
        <w:rPr>
          <w:rFonts w:hint="default" w:ascii="Times New Roman" w:hAnsi="Times New Roman" w:eastAsia="宋体" w:cs="Times New Roman"/>
          <w:b/>
          <w:bCs/>
        </w:rPr>
        <w:t xml:space="preserve"> 企业应</w:t>
      </w:r>
      <w:r>
        <w:rPr>
          <w:rFonts w:hint="default" w:ascii="Times New Roman" w:hAnsi="Times New Roman" w:eastAsia="宋体" w:cs="Times New Roman"/>
          <w:b/>
          <w:bCs/>
          <w:highlight w:val="none"/>
        </w:rPr>
        <w:t>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灭火器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100</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2023.6</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仿宋_GB2312" w:hAnsi="宋体" w:eastAsia="宋体" w:cs="宋体"/>
                <w:b w:val="0"/>
                <w:bCs w:val="0"/>
                <w:color w:val="auto"/>
                <w:spacing w:val="4"/>
                <w:kern w:val="2"/>
                <w:sz w:val="21"/>
                <w:szCs w:val="21"/>
                <w:highlight w:val="none"/>
                <w:lang w:val="zh-CN" w:eastAsia="zh-CN" w:bidi="ar-SA"/>
              </w:rPr>
            </w:pPr>
            <w:r>
              <w:rPr>
                <w:rFonts w:hint="eastAsia" w:eastAsia="宋体"/>
                <w:b w:val="0"/>
                <w:bCs w:val="0"/>
                <w:color w:val="auto"/>
                <w:kern w:val="2"/>
                <w:sz w:val="21"/>
                <w:szCs w:val="21"/>
                <w:highlight w:val="none"/>
                <w:lang w:val="en-US" w:eastAsia="zh-CN"/>
              </w:rPr>
              <w:t>消防栓</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36</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8"/>
                <w:highlight w:val="none"/>
                <w:lang w:val="en-US" w:eastAsia="zh-CN" w:bidi="zh-CN"/>
              </w:rPr>
            </w:pPr>
            <w:r>
              <w:rPr>
                <w:rFonts w:hint="eastAsia" w:ascii="Times New Roman" w:hAnsi="Times New Roman" w:eastAsia="宋体"/>
                <w:color w:val="auto"/>
                <w:sz w:val="21"/>
                <w:highlight w:val="none"/>
                <w:lang w:val="en-US" w:eastAsia="zh-CN"/>
              </w:rPr>
              <w:t>园区</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w w:val="99"/>
                <w:kern w:val="2"/>
                <w:sz w:val="21"/>
                <w:szCs w:val="28"/>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hint="eastAsia" w:ascii="Times New Roman" w:hAnsi="Times New Roman"/>
                <w:w w:val="99"/>
                <w:sz w:val="21"/>
                <w:highlight w:val="none"/>
                <w:lang w:val="en-US" w:eastAsia="zh-CN"/>
              </w:rPr>
              <w:t>2023.6</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sz w:val="21"/>
                <w:highlight w:val="none"/>
                <w:lang w:val="en-US" w:eastAsia="zh-CN"/>
              </w:rPr>
              <w:t>门卫</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4</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48</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sz w:val="21"/>
                <w:highlight w:val="none"/>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5</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w:t>
            </w:r>
            <w:r>
              <w:rPr>
                <w:rFonts w:hint="default" w:ascii="Times New Roman" w:hAnsi="Times New Roman" w:eastAsia="宋体" w:cs="Times New Roman"/>
                <w:bCs w:val="0"/>
                <w:i w:val="0"/>
                <w:color w:val="000000"/>
                <w:spacing w:val="0"/>
                <w:kern w:val="0"/>
                <w:sz w:val="21"/>
                <w:szCs w:val="21"/>
                <w:u w:val="none"/>
                <w:lang w:val="en-US" w:eastAsia="zh-CN" w:bidi="ar"/>
              </w:rPr>
              <w:t>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门卫</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6</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套</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7</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门卫</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8</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仿宋_GB2312" w:hAnsi="宋体" w:eastAsia="宋体" w:cs="宋体"/>
                <w:b w:val="0"/>
                <w:bCs w:val="0"/>
                <w:color w:val="auto"/>
                <w:spacing w:val="4"/>
                <w:kern w:val="2"/>
                <w:sz w:val="21"/>
                <w:szCs w:val="21"/>
                <w:highlight w:val="none"/>
                <w:lang w:val="zh-CN" w:eastAsia="zh-CN" w:bidi="ar-SA"/>
              </w:rPr>
            </w:pPr>
            <w:r>
              <w:rPr>
                <w:rFonts w:hint="eastAsia" w:eastAsia="宋体"/>
                <w:b w:val="0"/>
                <w:bCs w:val="0"/>
                <w:color w:val="auto"/>
                <w:kern w:val="2"/>
                <w:sz w:val="21"/>
                <w:szCs w:val="21"/>
                <w:highlight w:val="none"/>
                <w:lang w:val="en-US" w:eastAsia="zh-CN"/>
              </w:rPr>
              <w:t>防毒面具</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10</w:t>
            </w:r>
            <w:r>
              <w:rPr>
                <w:rFonts w:hint="default"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宋体"/>
                <w:color w:val="auto"/>
                <w:kern w:val="2"/>
                <w:sz w:val="21"/>
                <w:szCs w:val="28"/>
                <w:highlight w:val="none"/>
                <w:lang w:val="en-US" w:eastAsia="zh-CN" w:bidi="ar-SA"/>
              </w:rPr>
            </w:pPr>
            <w:r>
              <w:rPr>
                <w:rFonts w:hint="eastAsia" w:ascii="Times New Roman" w:hAnsi="Times New Roman" w:eastAsia="宋体"/>
                <w:color w:val="auto"/>
                <w:sz w:val="21"/>
                <w:highlight w:val="none"/>
                <w:lang w:val="en-US" w:eastAsia="zh-CN"/>
              </w:rPr>
              <w:t>仓库</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w w:val="99"/>
                <w:kern w:val="2"/>
                <w:sz w:val="21"/>
                <w:szCs w:val="28"/>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9</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eastAsia" w:ascii="宋体" w:hAnsi="宋体" w:eastAsia="宋体" w:cs="宋体"/>
                <w:b w:val="0"/>
                <w:bCs w:val="0"/>
                <w:color w:val="auto"/>
                <w:spacing w:val="4"/>
                <w:kern w:val="2"/>
                <w:sz w:val="21"/>
                <w:szCs w:val="21"/>
                <w:highlight w:val="none"/>
                <w:lang w:val="en-US" w:eastAsia="zh-CN" w:bidi="zh-CN"/>
              </w:rPr>
              <w:t>安全带</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3条</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olor w:val="auto"/>
                <w:sz w:val="21"/>
                <w:highlight w:val="none"/>
                <w:lang w:val="en-US" w:eastAsia="zh-CN"/>
              </w:rPr>
              <w:t>值班室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10</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灭火毯</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ascii="宋体" w:hAnsi="宋体" w:eastAsia="宋体" w:cs="宋体"/>
                <w:b w:val="0"/>
                <w:bCs w:val="0"/>
                <w:color w:val="auto"/>
                <w:spacing w:val="4"/>
                <w:kern w:val="2"/>
                <w:sz w:val="21"/>
                <w:szCs w:val="21"/>
                <w:highlight w:val="none"/>
                <w:lang w:val="en-US" w:eastAsia="zh-CN" w:bidi="zh-CN"/>
              </w:rPr>
              <w:t>消防水桶</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hint="eastAsia" w:ascii="Times New Roman" w:hAnsi="Times New Roman" w:eastAsia="宋体"/>
                <w:color w:val="auto"/>
                <w:sz w:val="21"/>
                <w:highlight w:val="none"/>
                <w:lang w:val="en-US" w:eastAsia="zh-CN"/>
              </w:rPr>
              <w:t>值班室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w:t>
            </w:r>
          </w:p>
        </w:tc>
        <w:tc>
          <w:tcPr>
            <w:tcW w:w="1909" w:type="dxa"/>
            <w:noWrap w:val="0"/>
            <w:vAlign w:val="center"/>
          </w:tcPr>
          <w:p>
            <w:pPr>
              <w:pStyle w:val="194"/>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应急潜水泵</w:t>
            </w:r>
          </w:p>
        </w:tc>
        <w:tc>
          <w:tcPr>
            <w:tcW w:w="819" w:type="dxa"/>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1个</w:t>
            </w:r>
          </w:p>
        </w:tc>
        <w:tc>
          <w:tcPr>
            <w:tcW w:w="1189" w:type="dxa"/>
            <w:noWrap w:val="0"/>
            <w:vAlign w:val="center"/>
          </w:tcPr>
          <w:p>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zh-CN" w:eastAsia="zh-CN" w:bidi="ar-SA"/>
              </w:rPr>
            </w:pPr>
            <w:r>
              <w:rPr>
                <w:rFonts w:ascii="Times New Roman" w:hAnsi="Times New Roman" w:eastAsia="宋体"/>
                <w:color w:val="auto"/>
                <w:sz w:val="21"/>
                <w:highlight w:val="none"/>
              </w:rPr>
              <w:t>车间</w:t>
            </w:r>
          </w:p>
        </w:tc>
        <w:tc>
          <w:tcPr>
            <w:tcW w:w="859"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Cs/>
                <w:color w:val="auto"/>
                <w:kern w:val="2"/>
                <w:sz w:val="21"/>
                <w:szCs w:val="21"/>
                <w:highlight w:val="none"/>
                <w:lang w:val="zh-CN" w:eastAsia="zh-CN" w:bidi="ar-SA"/>
              </w:rPr>
            </w:pPr>
            <w:r>
              <w:rPr>
                <w:rFonts w:hint="eastAsia" w:ascii="Times New Roman" w:hAnsi="Times New Roman" w:eastAsia="宋体" w:cs="Times New Roman"/>
                <w:sz w:val="21"/>
                <w:szCs w:val="21"/>
                <w:lang w:eastAsia="zh-CN"/>
              </w:rPr>
              <w:t>曾小勇</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bookmarkStart w:id="89" w:name="_Toc496887122"/>
            <w:r>
              <w:rPr>
                <w:rFonts w:hint="eastAsia" w:ascii="Times New Roman" w:hAnsi="Times New Roman" w:eastAsia="宋体" w:cs="Times New Roman"/>
                <w:bCs/>
                <w:color w:val="auto"/>
                <w:sz w:val="21"/>
                <w:szCs w:val="21"/>
                <w:highlight w:val="none"/>
                <w:lang w:val="en-US" w:eastAsia="zh-CN"/>
              </w:rPr>
              <w:t>13</w:t>
            </w:r>
          </w:p>
        </w:tc>
        <w:tc>
          <w:tcPr>
            <w:tcW w:w="1909" w:type="dxa"/>
            <w:noWrap w:val="0"/>
            <w:vAlign w:val="center"/>
          </w:tcPr>
          <w:p>
            <w:pPr>
              <w:pStyle w:val="194"/>
              <w:ind w:left="0" w:leftChars="0" w:right="0" w:rightChars="0" w:firstLine="0" w:firstLineChars="0"/>
              <w:jc w:val="center"/>
              <w:rPr>
                <w:rFonts w:hint="eastAsia"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急救药箱</w:t>
            </w:r>
          </w:p>
        </w:tc>
        <w:tc>
          <w:tcPr>
            <w:tcW w:w="819" w:type="dxa"/>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2个</w:t>
            </w:r>
          </w:p>
        </w:tc>
        <w:tc>
          <w:tcPr>
            <w:tcW w:w="1189" w:type="dxa"/>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859"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14</w:t>
            </w:r>
          </w:p>
        </w:tc>
        <w:tc>
          <w:tcPr>
            <w:tcW w:w="1909" w:type="dxa"/>
            <w:noWrap w:val="0"/>
            <w:vAlign w:val="center"/>
          </w:tcPr>
          <w:p>
            <w:pPr>
              <w:pStyle w:val="194"/>
              <w:ind w:left="0" w:leftChars="0" w:right="0" w:rightChars="0" w:firstLine="0" w:firstLineChars="0"/>
              <w:jc w:val="center"/>
              <w:rPr>
                <w:rFonts w:hint="eastAsia"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纱布</w:t>
            </w:r>
          </w:p>
        </w:tc>
        <w:tc>
          <w:tcPr>
            <w:tcW w:w="819" w:type="dxa"/>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189" w:type="dxa"/>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859"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zh-CN" w:eastAsia="zh-CN" w:bidi="zh-CN"/>
              </w:rPr>
            </w:pPr>
            <w:r>
              <w:rPr>
                <w:rFonts w:ascii="Times New Roman" w:hAnsi="Times New Roman" w:eastAsia="宋体"/>
                <w:color w:val="auto"/>
                <w:w w:val="99"/>
                <w:sz w:val="21"/>
                <w:highlight w:val="none"/>
              </w:rPr>
              <w:t>/</w:t>
            </w:r>
          </w:p>
        </w:tc>
        <w:tc>
          <w:tcPr>
            <w:tcW w:w="1232" w:type="dxa"/>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sz w:val="21"/>
                <w:szCs w:val="21"/>
                <w:lang w:eastAsia="zh-CN"/>
              </w:rPr>
              <w:t>曾小勇</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bottom w:val="single" w:color="000000" w:sz="12" w:space="0"/>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15</w:t>
            </w:r>
          </w:p>
        </w:tc>
        <w:tc>
          <w:tcPr>
            <w:tcW w:w="1909" w:type="dxa"/>
            <w:tcBorders>
              <w:bottom w:val="single" w:color="000000" w:sz="12" w:space="0"/>
            </w:tcBorders>
            <w:noWrap w:val="0"/>
            <w:vAlign w:val="center"/>
          </w:tcPr>
          <w:p>
            <w:pPr>
              <w:pStyle w:val="194"/>
              <w:ind w:left="0" w:leftChars="0" w:right="0" w:rightChars="0" w:firstLine="0" w:firstLineChars="0"/>
              <w:jc w:val="center"/>
              <w:rPr>
                <w:rFonts w:hint="eastAsia"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绷带</w:t>
            </w:r>
          </w:p>
        </w:tc>
        <w:tc>
          <w:tcPr>
            <w:tcW w:w="819" w:type="dxa"/>
            <w:tcBorders>
              <w:bottom w:val="single" w:color="000000" w:sz="12" w:space="0"/>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w:t>
            </w:r>
            <w:r>
              <w:rPr>
                <w:rFonts w:hint="default" w:ascii="Times New Roman" w:hAnsi="Times New Roman" w:eastAsia="宋体" w:cs="Times New Roman"/>
                <w:bCs w:val="0"/>
                <w:i w:val="0"/>
                <w:color w:val="000000"/>
                <w:spacing w:val="0"/>
                <w:kern w:val="0"/>
                <w:sz w:val="21"/>
                <w:szCs w:val="21"/>
                <w:u w:val="none"/>
                <w:lang w:val="en-US" w:eastAsia="zh-CN" w:bidi="ar"/>
              </w:rPr>
              <w:t>卷</w:t>
            </w:r>
          </w:p>
        </w:tc>
        <w:tc>
          <w:tcPr>
            <w:tcW w:w="1189" w:type="dxa"/>
            <w:tcBorders>
              <w:bottom w:val="single" w:color="000000" w:sz="12" w:space="0"/>
            </w:tcBorders>
            <w:noWrap w:val="0"/>
            <w:vAlign w:val="center"/>
          </w:tcPr>
          <w:p>
            <w:pPr>
              <w:ind w:left="0" w:leftChars="0" w:right="0" w:rightChars="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859" w:type="dxa"/>
            <w:tcBorders>
              <w:bottom w:val="single" w:color="000000" w:sz="12" w:space="0"/>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zh-CN"/>
              </w:rPr>
            </w:pPr>
            <w:r>
              <w:rPr>
                <w:rFonts w:ascii="Times New Roman" w:hAnsi="Times New Roman" w:eastAsia="宋体"/>
                <w:color w:val="auto"/>
                <w:w w:val="99"/>
                <w:sz w:val="21"/>
                <w:highlight w:val="none"/>
              </w:rPr>
              <w:t>/</w:t>
            </w:r>
          </w:p>
        </w:tc>
        <w:tc>
          <w:tcPr>
            <w:tcW w:w="1232" w:type="dxa"/>
            <w:tcBorders>
              <w:bottom w:val="single" w:color="000000" w:sz="12" w:space="0"/>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bookmarkStart w:id="176" w:name="_GoBack"/>
            <w:r>
              <w:rPr>
                <w:rFonts w:hint="eastAsia" w:ascii="Times New Roman" w:hAnsi="Times New Roman" w:eastAsia="宋体" w:cs="Times New Roman"/>
                <w:sz w:val="21"/>
                <w:szCs w:val="21"/>
                <w:lang w:eastAsia="zh-CN"/>
              </w:rPr>
              <w:t>曾小勇</w:t>
            </w:r>
            <w:bookmarkEnd w:id="176"/>
          </w:p>
        </w:tc>
        <w:tc>
          <w:tcPr>
            <w:tcW w:w="1134"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bookmarkStart w:id="90"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eastAsia="zh-CN"/>
              </w:rPr>
              <w:t>1</w:t>
            </w:r>
            <w:r>
              <w:rPr>
                <w:rFonts w:hint="eastAsia" w:eastAsia="宋体" w:cs="Times New Roman"/>
                <w:kern w:val="0"/>
                <w:sz w:val="21"/>
                <w:szCs w:val="21"/>
                <w:highlight w:val="none"/>
                <w:lang w:val="en-US" w:eastAsia="zh-CN"/>
              </w:rPr>
              <w:t>5</w:t>
            </w:r>
            <w:r>
              <w:rPr>
                <w:rFonts w:hint="eastAsia" w:eastAsia="宋体" w:cs="Times New Roman"/>
                <w:kern w:val="0"/>
                <w:sz w:val="21"/>
                <w:szCs w:val="21"/>
                <w:highlight w:val="none"/>
                <w:lang w:eastAsia="zh-CN"/>
              </w:rPr>
              <w:t>0m</w:t>
            </w:r>
            <w:r>
              <w:rPr>
                <w:rFonts w:hint="eastAsia" w:eastAsia="宋体" w:cs="Times New Roman"/>
                <w:kern w:val="0"/>
                <w:sz w:val="21"/>
                <w:szCs w:val="21"/>
                <w:highlight w:val="none"/>
                <w:vertAlign w:val="superscript"/>
                <w:lang w:eastAsia="zh-CN"/>
              </w:rPr>
              <w:t>3</w:t>
            </w:r>
          </w:p>
        </w:tc>
      </w:tr>
      <w:bookmarkEnd w:id="90"/>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510092947"/>
      <w:bookmarkStart w:id="92" w:name="_Toc2242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89"/>
      <w:r>
        <w:rPr>
          <w:rFonts w:hint="eastAsia" w:ascii="Times New Roman" w:hAnsi="Times New Roman" w:eastAsia="宋体" w:cs="Times New Roman"/>
        </w:rPr>
        <w:t>救援队伍情况</w:t>
      </w:r>
      <w:bookmarkEnd w:id="91"/>
      <w:bookmarkEnd w:id="92"/>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3"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highlight w:val="none"/>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26</w:t>
      </w:r>
      <w:r>
        <w:rPr>
          <w:rFonts w:hint="default" w:ascii="Times New Roman" w:hAnsi="Times New Roman" w:eastAsia="宋体" w:cs="Times New Roman"/>
          <w:b/>
        </w:rPr>
        <w:t xml:space="preserve"> 应</w:t>
      </w:r>
      <w:r>
        <w:rPr>
          <w:rFonts w:hint="default" w:ascii="Times New Roman" w:hAnsi="Times New Roman" w:eastAsia="宋体" w:cs="Times New Roman"/>
          <w:b/>
          <w:highlight w:val="none"/>
        </w:rPr>
        <w:t>急救援组成员名单及联系方式表</w:t>
      </w:r>
    </w:p>
    <w:bookmarkEnd w:id="93"/>
    <w:tbl>
      <w:tblPr>
        <w:tblStyle w:val="37"/>
        <w:tblW w:w="47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24"/>
        <w:gridCol w:w="2847"/>
        <w:gridCol w:w="2218"/>
        <w:gridCol w:w="970"/>
        <w:gridCol w:w="20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94" w:name="_Hlk28963542"/>
            <w:r>
              <w:rPr>
                <w:rFonts w:ascii="Times New Roman" w:hAnsi="Times New Roman" w:eastAsia="宋体"/>
                <w:color w:val="auto"/>
                <w:sz w:val="21"/>
                <w:highlight w:val="none"/>
              </w:rPr>
              <w:t>序号</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9"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1</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559" w:type="pct"/>
            <w:tcBorders>
              <w:tl2br w:val="nil"/>
              <w:tr2bl w:val="nil"/>
            </w:tcBorders>
            <w:noWrap w:val="0"/>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祝风池</w:t>
            </w:r>
          </w:p>
        </w:tc>
        <w:tc>
          <w:tcPr>
            <w:tcW w:w="1155" w:type="pct"/>
            <w:tcBorders>
              <w:tl2br w:val="nil"/>
              <w:tr2bl w:val="nil"/>
            </w:tcBorders>
            <w:noWrap w:val="0"/>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18221697375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车间主任</w:t>
            </w:r>
          </w:p>
        </w:tc>
        <w:tc>
          <w:tcPr>
            <w:tcW w:w="559" w:type="pct"/>
            <w:tcBorders>
              <w:tl2br w:val="nil"/>
              <w:tr2bl w:val="nil"/>
            </w:tcBorders>
            <w:noWrap w:val="0"/>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曾小勇</w:t>
            </w:r>
          </w:p>
        </w:tc>
        <w:tc>
          <w:tcPr>
            <w:tcW w:w="1155" w:type="pct"/>
            <w:tcBorders>
              <w:tl2br w:val="nil"/>
              <w:tr2bl w:val="nil"/>
            </w:tcBorders>
            <w:noWrap w:val="0"/>
            <w:vAlign w:val="center"/>
          </w:tcPr>
          <w:p>
            <w:pPr>
              <w:widowControl/>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18221617391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3</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财务主管</w:t>
            </w:r>
          </w:p>
        </w:tc>
        <w:tc>
          <w:tcPr>
            <w:tcW w:w="559" w:type="pct"/>
            <w:tcBorders>
              <w:tl2br w:val="nil"/>
              <w:tr2bl w:val="nil"/>
            </w:tcBorders>
            <w:noWrap w:val="0"/>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王成芳</w:t>
            </w:r>
          </w:p>
        </w:tc>
        <w:tc>
          <w:tcPr>
            <w:tcW w:w="1155" w:type="pct"/>
            <w:tcBorders>
              <w:tl2br w:val="nil"/>
              <w:tr2bl w:val="nil"/>
            </w:tcBorders>
            <w:noWrap w:val="0"/>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13951309430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4</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乔秋风</w:t>
            </w:r>
          </w:p>
        </w:tc>
        <w:tc>
          <w:tcPr>
            <w:tcW w:w="1155" w:type="pct"/>
            <w:tcBorders>
              <w:tl2br w:val="nil"/>
              <w:tr2bl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18721172005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5</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何松柏</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13482753591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6</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软包主管</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杨伟强</w:t>
            </w:r>
          </w:p>
        </w:tc>
        <w:tc>
          <w:tcPr>
            <w:tcW w:w="1155" w:type="pct"/>
            <w:tcBorders>
              <w:tl2br w:val="nil"/>
              <w:tr2bl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18839597090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7</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乔化强</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15026452938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8</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现场处置组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褚建</w:t>
            </w:r>
          </w:p>
        </w:tc>
        <w:tc>
          <w:tcPr>
            <w:tcW w:w="1155" w:type="pct"/>
            <w:tcBorders>
              <w:tl2br w:val="nil"/>
              <w:tr2bl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13814740856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9</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采购主管</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江茂琴</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13951309430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10</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袁继军</w:t>
            </w:r>
          </w:p>
        </w:tc>
        <w:tc>
          <w:tcPr>
            <w:tcW w:w="1155"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18795736045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11</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应急保障组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储祥生</w:t>
            </w:r>
          </w:p>
        </w:tc>
        <w:tc>
          <w:tcPr>
            <w:tcW w:w="1155"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18012422206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12</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医疗救治组组长</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助理</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王云</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13912852713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13</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医疗救治组组员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徐达胜</w:t>
            </w:r>
          </w:p>
        </w:tc>
        <w:tc>
          <w:tcPr>
            <w:tcW w:w="1155"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15855619160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14</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olor w:val="auto"/>
                <w:sz w:val="21"/>
                <w:highlight w:val="none"/>
                <w:lang w:val="en-US" w:eastAsia="zh-CN"/>
              </w:rPr>
              <w:t>医疗救治组组员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张敬平</w:t>
            </w:r>
          </w:p>
        </w:tc>
        <w:tc>
          <w:tcPr>
            <w:tcW w:w="1155"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13855243193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15</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组长</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仓库管理员</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张丽蓉</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13737368894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16</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方桂荣</w:t>
            </w:r>
          </w:p>
        </w:tc>
        <w:tc>
          <w:tcPr>
            <w:tcW w:w="11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15398282292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17</w:t>
            </w:r>
          </w:p>
        </w:tc>
        <w:tc>
          <w:tcPr>
            <w:tcW w:w="1643"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应急监测组</w:t>
            </w:r>
            <w:r>
              <w:rPr>
                <w:rFonts w:hint="eastAsia" w:ascii="Times New Roman" w:hAnsi="Times New Roman" w:eastAsia="宋体" w:cs="Times New Roman"/>
                <w:color w:val="000000"/>
                <w:sz w:val="21"/>
                <w:szCs w:val="21"/>
                <w:lang w:val="en-US" w:eastAsia="zh-CN"/>
              </w:rPr>
              <w:t>组员</w:t>
            </w:r>
          </w:p>
        </w:tc>
        <w:tc>
          <w:tcPr>
            <w:tcW w:w="128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员工</w:t>
            </w:r>
          </w:p>
        </w:tc>
        <w:tc>
          <w:tcPr>
            <w:tcW w:w="5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王从云</w:t>
            </w:r>
          </w:p>
        </w:tc>
        <w:tc>
          <w:tcPr>
            <w:tcW w:w="1155" w:type="pc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13817215753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18</w:t>
            </w:r>
          </w:p>
        </w:tc>
        <w:tc>
          <w:tcPr>
            <w:tcW w:w="3483" w:type="pct"/>
            <w:gridSpan w:val="3"/>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sz w:val="21"/>
                <w:szCs w:val="21"/>
                <w:lang w:eastAsia="zh-CN"/>
              </w:rPr>
              <w:t>18221697375</w:t>
            </w:r>
          </w:p>
        </w:tc>
      </w:tr>
      <w:bookmarkEnd w:id="94"/>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1"/>
        <w:gridCol w:w="1802"/>
        <w:gridCol w:w="4789"/>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bookmarkStart w:id="95" w:name="_Hlk22136840"/>
            <w:r>
              <w:rPr>
                <w:rFonts w:hint="default" w:ascii="Times New Roman" w:hAnsi="Times New Roman" w:eastAsia="宋体" w:cs="Times New Roman"/>
                <w:sz w:val="21"/>
                <w:szCs w:val="21"/>
              </w:rPr>
              <w:t>序号</w:t>
            </w:r>
          </w:p>
        </w:tc>
        <w:tc>
          <w:tcPr>
            <w:tcW w:w="3625" w:type="pct"/>
            <w:gridSpan w:val="2"/>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bookmarkStart w:id="96" w:name="_Hlk5805818"/>
            <w:r>
              <w:rPr>
                <w:rFonts w:hint="eastAsia" w:eastAsia="宋体" w:cs="Times New Roman"/>
                <w:color w:val="000000" w:themeColor="text1"/>
                <w:sz w:val="21"/>
                <w:szCs w:val="21"/>
                <w:lang w:val="en-US" w:eastAsia="zh-CN"/>
                <w14:textFill>
                  <w14:solidFill>
                    <w14:schemeClr w14:val="tx1"/>
                  </w14:solidFill>
                </w14:textFill>
              </w:rPr>
              <w:t>10</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海安李堡镇政府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0513-88212101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99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4789"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cs="Times New Roman" w:eastAsiaTheme="minorEastAsia"/>
                <w:b/>
                <w:bCs/>
                <w:color w:val="000000" w:themeColor="text1"/>
                <w:sz w:val="21"/>
                <w:szCs w:val="21"/>
                <w:highlight w:val="none"/>
                <w:lang w:val="en-US" w:eastAsia="zh-CN"/>
                <w14:textFill>
                  <w14:solidFill>
                    <w14:schemeClr w14:val="tx1"/>
                  </w14:solidFill>
                </w14:textFill>
              </w:rPr>
              <w:t>海安泰元家具有限公司</w:t>
            </w:r>
          </w:p>
        </w:tc>
        <w:tc>
          <w:tcPr>
            <w:tcW w:w="1895"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pPr>
            <w:r>
              <w:rPr>
                <w:rFonts w:hint="eastAsia" w:cs="Times New Roman" w:eastAsiaTheme="minorEastAsia"/>
                <w:b/>
                <w:bCs/>
                <w:color w:val="000000" w:themeColor="text1"/>
                <w:sz w:val="21"/>
                <w:szCs w:val="21"/>
                <w:highlight w:val="none"/>
                <w:lang w:val="en-US" w:eastAsia="zh-CN"/>
                <w14:textFill>
                  <w14:solidFill>
                    <w14:schemeClr w14:val="tx1"/>
                  </w14:solidFill>
                </w14:textFill>
              </w:rPr>
              <w:t>13656243455</w:t>
            </w:r>
          </w:p>
        </w:tc>
      </w:tr>
      <w:bookmarkEnd w:id="95"/>
      <w:bookmarkEnd w:id="96"/>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7" w:name="_Toc26565"/>
      <w:r>
        <w:rPr>
          <w:rFonts w:hint="eastAsia" w:ascii="Times New Roman" w:hAnsi="Times New Roman" w:eastAsia="宋体" w:cs="Times New Roman"/>
          <w:sz w:val="24"/>
          <w:szCs w:val="24"/>
        </w:rPr>
        <w:t>4 突发环境事件及其后果分析</w:t>
      </w:r>
      <w:bookmarkEnd w:id="88"/>
      <w:bookmarkEnd w:id="9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8" w:name="_Toc9896"/>
      <w:bookmarkStart w:id="99" w:name="_Toc402776211"/>
      <w:r>
        <w:rPr>
          <w:rFonts w:hint="eastAsia" w:ascii="Times New Roman" w:hAnsi="Times New Roman" w:eastAsia="宋体" w:cs="Times New Roman"/>
          <w:sz w:val="24"/>
          <w:szCs w:val="24"/>
        </w:rPr>
        <w:t>4.1 突发环境事件情景分析</w:t>
      </w:r>
      <w:bookmarkEnd w:id="98"/>
      <w:bookmarkEnd w:id="9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10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开车未先开废气处理装置、停废气处理装置</w:t>
            </w:r>
            <w:r>
              <w:rPr>
                <w:rFonts w:hint="eastAsia" w:eastAsia="宋体"/>
                <w:bCs/>
                <w:sz w:val="21"/>
                <w:szCs w:val="21"/>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eastAsia="zh-CN"/>
              </w:rPr>
              <w:t>水性漆</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1" w:name="_Toc23512"/>
      <w:bookmarkStart w:id="102" w:name="_Toc402776212"/>
      <w:bookmarkStart w:id="103" w:name="_Toc510092950"/>
      <w:bookmarkStart w:id="104" w:name="_Toc496887125"/>
      <w:r>
        <w:rPr>
          <w:rFonts w:hint="eastAsia" w:ascii="Times New Roman" w:hAnsi="Times New Roman" w:eastAsia="宋体" w:cs="Times New Roman"/>
          <w:sz w:val="24"/>
          <w:szCs w:val="24"/>
        </w:rPr>
        <w:t>4.2 突发环境事件情景源强分析</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因管理不当，造成木工车间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5"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5"/>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6" w:name="_Toc475474908"/>
      <w:bookmarkStart w:id="107"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8" w:name="_Toc438482382"/>
      <w:bookmarkStart w:id="109" w:name="_Toc439922081"/>
      <w:r>
        <w:rPr>
          <w:rFonts w:hint="default" w:ascii="Times New Roman" w:hAnsi="Times New Roman" w:eastAsia="宋体" w:cs="Times New Roman"/>
          <w:color w:val="000000"/>
          <w:sz w:val="24"/>
          <w:szCs w:val="24"/>
        </w:rPr>
        <w:t>公司</w:t>
      </w:r>
      <w:bookmarkEnd w:id="106"/>
      <w:bookmarkEnd w:id="108"/>
      <w:bookmarkEnd w:id="109"/>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26</w:t>
      </w:r>
      <w:r>
        <w:rPr>
          <w:rFonts w:hint="default" w:ascii="Times New Roman" w:hAnsi="Times New Roman" w:eastAsia="宋体" w:cs="Times New Roman"/>
          <w:color w:val="000000"/>
          <w:sz w:val="24"/>
          <w:szCs w:val="24"/>
        </w:rPr>
        <w:t>吨，考虑到木材主要成分为纤维素，其主要构成元素为碳氢化合物，在燃烧时的主要化学反应为：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13</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85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-3-1</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13</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036</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0.3565</w:t>
            </w:r>
          </w:p>
        </w:tc>
      </w:tr>
      <w:bookmarkEnd w:id="107"/>
    </w:tbl>
    <w:p>
      <w:pPr>
        <w:pageBreakBefore w:val="0"/>
        <w:kinsoku/>
        <w:wordWrap/>
        <w:overflowPunct/>
        <w:topLinePunct w:val="0"/>
        <w:bidi w:val="0"/>
        <w:snapToGrid w:val="0"/>
        <w:spacing w:line="500" w:lineRule="exact"/>
        <w:ind w:left="0" w:leftChars="0" w:firstLine="480" w:firstLineChars="200"/>
        <w:jc w:val="left"/>
        <w:textAlignment w:val="auto"/>
        <w:rPr>
          <w:rFonts w:hint="eastAsia" w:ascii="宋体" w:hAnsi="宋体" w:eastAsia="宋体" w:cs="宋体"/>
          <w:color w:val="000000" w:themeColor="text1"/>
          <w14:textFill>
            <w14:solidFill>
              <w14:schemeClr w14:val="tx1"/>
            </w14:solidFill>
          </w14:textFill>
        </w:rPr>
      </w:pPr>
      <w:bookmarkStart w:id="110" w:name="_Toc2865"/>
      <w:r>
        <w:rPr>
          <w:rFonts w:hint="eastAsia" w:ascii="宋体" w:hAnsi="宋体" w:eastAsia="宋体" w:cs="宋体"/>
          <w:color w:val="000000" w:themeColor="text1"/>
          <w14:textFill>
            <w14:solidFill>
              <w14:schemeClr w14:val="tx1"/>
            </w14:solidFill>
          </w14:textFill>
        </w:rPr>
        <w:t>海绵本身是由氰化物和苯以及硫化物发泡生成的，不论是在生产还是还是后期销毁过程中都会存在高污染，特别是燃烧的海绵，会释放出氰化物等剧毒气体，对人体危害极大。</w:t>
      </w:r>
    </w:p>
    <w:p>
      <w:pPr>
        <w:pageBreakBefore w:val="0"/>
        <w:kinsoku/>
        <w:wordWrap/>
        <w:overflowPunct/>
        <w:topLinePunct w:val="0"/>
        <w:bidi w:val="0"/>
        <w:snapToGrid w:val="0"/>
        <w:spacing w:line="500" w:lineRule="exact"/>
        <w:ind w:left="0" w:leftChars="0" w:firstLine="482" w:firstLineChars="20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-3-2</w:t>
      </w: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海绵</w:t>
      </w:r>
      <w:r>
        <w:rPr>
          <w:rFonts w:hint="default" w:ascii="Times New Roman" w:hAnsi="Times New Roman" w:eastAsia="宋体" w:cs="Times New Roman"/>
          <w:b/>
          <w:bCs/>
          <w:color w:val="000000"/>
          <w:sz w:val="24"/>
          <w:szCs w:val="24"/>
        </w:rPr>
        <w:t>燃烧产生的</w:t>
      </w:r>
      <w:r>
        <w:rPr>
          <w:rFonts w:hint="eastAsia" w:ascii="Times New Roman" w:hAnsi="Times New Roman" w:eastAsia="宋体" w:cs="Times New Roman"/>
          <w:b/>
          <w:bCs/>
          <w:color w:val="000000"/>
          <w:sz w:val="24"/>
          <w:szCs w:val="24"/>
          <w:lang w:val="en-US" w:eastAsia="zh-CN"/>
        </w:rPr>
        <w:t>氰化物</w:t>
      </w:r>
      <w:r>
        <w:rPr>
          <w:rFonts w:hint="default" w:ascii="Times New Roman" w:hAnsi="Times New Roman" w:eastAsia="宋体" w:cs="Times New Roman"/>
          <w:b/>
          <w:bCs/>
          <w:color w:val="000000"/>
          <w:sz w:val="24"/>
          <w:szCs w:val="24"/>
        </w:rPr>
        <w:t>产生量估算表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046"/>
        <w:gridCol w:w="2177"/>
        <w:gridCol w:w="3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3"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178"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87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氰化物产生量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氰化物</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87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29.86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kg/h</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p>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1"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公司木材原料在开料、精加工、打磨等过程中均会产生粉尘产生的粉尘经双桶布袋除尘后由中央集尘系统收集，收集后粉尘经布袋除尘器处理后通过15米高排气筒排放。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4-4。</w:t>
      </w:r>
    </w:p>
    <w:p>
      <w:pPr>
        <w:adjustRightInd w:val="0"/>
        <w:snapToGrid w:val="0"/>
        <w:spacing w:line="500" w:lineRule="exact"/>
        <w:ind w:firstLine="482" w:firstLineChars="200"/>
        <w:jc w:val="center"/>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4-4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950"/>
        <w:gridCol w:w="1050"/>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046"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050"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木工车间</w:t>
            </w:r>
          </w:p>
        </w:tc>
        <w:tc>
          <w:tcPr>
            <w:tcW w:w="1950" w:type="dxa"/>
            <w:shd w:val="clear" w:color="auto" w:fill="auto"/>
            <w:noWrap w:val="0"/>
            <w:vAlign w:val="center"/>
          </w:tcPr>
          <w:p>
            <w:pPr>
              <w:adjustRightInd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木工房</w:t>
            </w:r>
          </w:p>
        </w:tc>
        <w:tc>
          <w:tcPr>
            <w:tcW w:w="1050" w:type="dxa"/>
            <w:shd w:val="clear" w:color="auto" w:fill="auto"/>
            <w:noWrap w:val="0"/>
            <w:vAlign w:val="center"/>
          </w:tcPr>
          <w:p>
            <w:pPr>
              <w:adjustRightInd w:val="0"/>
              <w:snapToGrid w:val="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15000</w:t>
            </w:r>
          </w:p>
        </w:tc>
        <w:tc>
          <w:tcPr>
            <w:tcW w:w="1312" w:type="dxa"/>
            <w:shd w:val="clear" w:color="auto" w:fill="auto"/>
            <w:noWrap w:val="0"/>
            <w:vAlign w:val="center"/>
          </w:tcPr>
          <w:p>
            <w:pPr>
              <w:widowControl/>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木工粉尘</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14.2</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0.224</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0.5376</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4-5。</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4-5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2233"/>
        <w:gridCol w:w="1399"/>
        <w:gridCol w:w="1504"/>
        <w:gridCol w:w="1469"/>
        <w:gridCol w:w="1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296"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63" w:type="dxa"/>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木工车间</w:t>
            </w:r>
          </w:p>
        </w:tc>
        <w:tc>
          <w:tcPr>
            <w:tcW w:w="2233" w:type="dxa"/>
            <w:shd w:val="clear" w:color="auto" w:fill="auto"/>
            <w:noWrap w:val="0"/>
            <w:vAlign w:val="center"/>
          </w:tcPr>
          <w:p>
            <w:pPr>
              <w:adjustRightInd w:val="0"/>
              <w:snapToGrid w:val="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木工房</w:t>
            </w:r>
          </w:p>
        </w:tc>
        <w:tc>
          <w:tcPr>
            <w:tcW w:w="1399"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15000</w:t>
            </w:r>
          </w:p>
        </w:tc>
        <w:tc>
          <w:tcPr>
            <w:tcW w:w="1504"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木工粉尘</w:t>
            </w:r>
          </w:p>
        </w:tc>
        <w:tc>
          <w:tcPr>
            <w:tcW w:w="1469"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4.48</w:t>
            </w:r>
          </w:p>
        </w:tc>
        <w:tc>
          <w:tcPr>
            <w:tcW w:w="1331"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1.12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综上，木工车间颗粒物泄漏源强为4.48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2"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2"/>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3"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3"/>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 xml:space="preserve">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先控制、后消灭</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4"/>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5"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有</w:t>
      </w:r>
      <w:r>
        <w:rPr>
          <w:rFonts w:hint="eastAsia" w:cs="Times New Roman" w:eastAsiaTheme="minorEastAsia"/>
          <w:color w:val="000000" w:themeColor="text1"/>
          <w:sz w:val="24"/>
          <w:szCs w:val="24"/>
          <w:highlight w:val="none"/>
          <w:lang w:val="en-US" w:eastAsia="zh-CN"/>
          <w14:textFill>
            <w14:solidFill>
              <w14:schemeClr w14:val="tx1"/>
            </w14:solidFill>
          </w14:textFill>
        </w:rPr>
        <w:t>150m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一般污染防治区参照《一般工业固体废物贮存和填埋污染控制标准》（GB18599－20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用砂土、干燥石灰或苏打灰混合。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6"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6"/>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7"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7"/>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18"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根据源强分析结果对火灾影响范围进行了预测。预测结果见表4-6。最大影响区域图见图4-1。</w:t>
      </w: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表4-6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198.45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292.84</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393.19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450.39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141.72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425.26</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381.20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343.85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127.33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315.79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293.98</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119.10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260.05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234.01</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213.30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209.17</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eastAsia="宋体" w:cs="Times New Roman"/>
                <w:color w:val="000000" w:themeColor="text1"/>
                <w:sz w:val="21"/>
                <w:szCs w:val="21"/>
                <w:vertAlign w:val="baseline"/>
                <w:lang w:val="en-US" w:eastAsia="zh-CN"/>
                <w14:textFill>
                  <w14:solidFill>
                    <w14:schemeClr w14:val="tx1"/>
                  </w14:solidFill>
                </w14:textFill>
              </w:rPr>
              <w:t>1900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192.42</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101.92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178.60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169.43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2175</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165.81</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198.45</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246.25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292.84</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234.01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393.19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223.12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450.39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213.30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425.26</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204.40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381.20</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209.17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343.85</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200.37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315.79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192.42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293.98</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275.76</w:t>
            </w:r>
          </w:p>
        </w:tc>
        <w:tc>
          <w:tcPr>
            <w:tcW w:w="2115"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260.05</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2200</w:t>
      </w:r>
      <w:r>
        <w:rPr>
          <w:rFonts w:hint="default" w:ascii="Times New Roman" w:hAnsi="Times New Roman" w:eastAsia="宋体" w:cs="Times New Roman"/>
          <w:lang w:val="en-US" w:eastAsia="zh-CN"/>
        </w:rPr>
        <w:t>米内。</w:t>
      </w:r>
    </w:p>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19"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进行测算。</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COD为</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mg/L，水深3~4米，</w:t>
      </w:r>
      <w:r>
        <w:rPr>
          <w:rFonts w:hint="default" w:ascii="Times New Roman" w:hAnsi="Times New Roman" w:eastAsia="宋体" w:cs="Times New Roman"/>
          <w:color w:val="000000" w:themeColor="text1"/>
          <w:lang w:val="en-US" w:eastAsia="zh-CN"/>
          <w14:textFill>
            <w14:solidFill>
              <w14:schemeClr w14:val="tx1"/>
            </w14:solidFill>
          </w14:textFill>
        </w:rPr>
        <w:t>河宽24米，</w:t>
      </w:r>
      <w:r>
        <w:rPr>
          <w:rFonts w:hint="default" w:ascii="Times New Roman" w:hAnsi="Times New Roman" w:eastAsia="宋体" w:cs="Times New Roman"/>
          <w:color w:val="000000" w:themeColor="text1"/>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lang w:val="en-US" w:eastAsia="zh-CN"/>
          <w14:textFill>
            <w14:solidFill>
              <w14:schemeClr w14:val="tx1"/>
            </w14:solidFill>
          </w14:textFill>
        </w:rPr>
        <w:t>5.0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水质情况见表4-</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default"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蒋庄河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蒋庄河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，总废水量</w:t>
      </w:r>
      <w:r>
        <w:rPr>
          <w:rFonts w:hint="eastAsia" w:eastAsia="宋体" w:cs="Times New Roman"/>
          <w:color w:val="000000" w:themeColor="text1"/>
          <w:lang w:val="en-US" w:eastAsia="zh-CN"/>
          <w14:textFill>
            <w14:solidFill>
              <w14:schemeClr w14:val="tx1"/>
            </w14:solidFill>
          </w14:textFill>
        </w:rPr>
        <w:t>110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eastAsia="zh-CN"/>
          <w14:textFill>
            <w14:solidFill>
              <w14:schemeClr w14:val="tx1"/>
            </w14:solidFill>
          </w14:textFill>
        </w:rPr>
        <w:t>蒋庄河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8" o:title=""/>
            <o:lock v:ext="edit" aspectratio="t"/>
            <w10:wrap type="square" side="right"/>
          </v:shape>
          <o:OLEObject Type="Embed" ProgID="Equation.3" ShapeID="_x0000_s1026" DrawAspect="Content" ObjectID="_1468075726" r:id="rId17">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为0.1-0.25d</w:t>
      </w:r>
      <w:r>
        <w:rPr>
          <w:rFonts w:hint="default" w:ascii="Times New Roman" w:hAnsi="Times New Roman" w:eastAsia="宋体" w:cs="Times New Roman"/>
          <w:color w:val="000000" w:themeColor="text1"/>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ascii="Times New Roman" w:hAnsi="Times New Roman"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26.82</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30.11</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蒋庄河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20"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2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7"/>
        <w:tblW w:w="537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01"/>
        <w:gridCol w:w="1374"/>
        <w:gridCol w:w="1072"/>
        <w:gridCol w:w="1378"/>
        <w:gridCol w:w="1072"/>
        <w:gridCol w:w="1072"/>
        <w:gridCol w:w="1538"/>
        <w:gridCol w:w="13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46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70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highlight w:val="none"/>
                <w14:textFill>
                  <w14:solidFill>
                    <w14:schemeClr w14:val="tx1"/>
                  </w14:solidFill>
                </w14:textFill>
              </w:rPr>
            </w:pPr>
            <w:r>
              <w:rPr>
                <w:rFonts w:hint="default" w:ascii="Times New Roman" w:hAnsi="Times New Roman" w:eastAsia="宋体" w:cs="Times New Roman"/>
                <w:color w:val="000000" w:themeColor="text1"/>
                <w:kern w:val="2"/>
                <w:sz w:val="21"/>
                <w:highlight w:val="none"/>
                <w14:textFill>
                  <w14:solidFill>
                    <w14:schemeClr w14:val="tx1"/>
                  </w14:solidFill>
                </w14:textFill>
              </w:rPr>
              <w:t>排气筒出口内径（m）</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89"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3"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46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木工车间</w:t>
            </w:r>
          </w:p>
        </w:tc>
        <w:tc>
          <w:tcPr>
            <w:tcW w:w="70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木工粉尘</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highlight w:val="none"/>
                <w:lang w:val="en-US" w:eastAsia="zh-CN"/>
                <w14:textFill>
                  <w14:solidFill>
                    <w14:schemeClr w14:val="tx1"/>
                  </w14:solidFill>
                </w14:textFill>
              </w:rPr>
            </w:pPr>
            <w:r>
              <w:rPr>
                <w:rFonts w:hint="eastAsia" w:eastAsia="宋体" w:cs="Times New Roman"/>
                <w:color w:val="000000" w:themeColor="text1"/>
                <w:kern w:val="2"/>
                <w:sz w:val="21"/>
                <w:highlight w:val="none"/>
                <w:lang w:val="en-US" w:eastAsia="zh-CN"/>
                <w14:textFill>
                  <w14:solidFill>
                    <w14:schemeClr w14:val="tx1"/>
                  </w14:solidFill>
                </w14:textFill>
              </w:rPr>
              <w:t>0.8</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8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3" w:type="pct"/>
            <w:tcBorders>
              <w:tl2br w:val="nil"/>
              <w:tr2bl w:val="nil"/>
            </w:tcBorders>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4.48</w:t>
            </w:r>
          </w:p>
        </w:tc>
      </w:tr>
    </w:tbl>
    <w:p>
      <w:pPr>
        <w:pStyle w:val="13"/>
        <w:adjustRightInd w:val="0"/>
        <w:snapToGrid w:val="0"/>
        <w:spacing w:after="0" w:line="500" w:lineRule="exact"/>
        <w:jc w:val="center"/>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ascii="Times New Roman" w:hAnsi="Times New Roman" w:eastAsia="宋体" w:cs="Times New Roman"/>
          <w:b/>
          <w:color w:val="000000" w:themeColor="text1"/>
          <w:lang w:val="en-US" w:eastAsia="zh-CN"/>
          <w14:textFill>
            <w14:solidFill>
              <w14:schemeClr w14:val="tx1"/>
            </w14:solidFill>
          </w14:textFill>
        </w:rPr>
        <w:t>0</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437" w:tblpY="488"/>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95"/>
        <w:gridCol w:w="1640"/>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08" w:type="pct"/>
            <w:tcBorders>
              <w:tl2br w:val="nil"/>
              <w:tr2bl w:val="nil"/>
            </w:tcBorders>
            <w:vAlign w:val="center"/>
          </w:tcPr>
          <w:p>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78"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木工车间</w:t>
            </w:r>
          </w:p>
        </w:tc>
        <w:tc>
          <w:tcPr>
            <w:tcW w:w="908"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127"/>
              <w:ind w:right="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155</w:t>
            </w:r>
          </w:p>
        </w:tc>
        <w:tc>
          <w:tcPr>
            <w:tcW w:w="878"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0.02189</w:t>
            </w:r>
          </w:p>
        </w:tc>
        <w:tc>
          <w:tcPr>
            <w:tcW w:w="1165" w:type="pct"/>
            <w:tcBorders>
              <w:tl2br w:val="nil"/>
              <w:tr2bl w:val="nil"/>
            </w:tcBorders>
            <w:vAlign w:val="center"/>
          </w:tcPr>
          <w:p>
            <w:pPr>
              <w:pStyle w:val="140"/>
              <w:adjustRightInd w:val="0"/>
              <w:snapToGrid w:val="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4.86</w:t>
            </w:r>
          </w:p>
        </w:tc>
      </w:tr>
    </w:tbl>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155</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0.02189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bookmarkStart w:id="121" w:name="OLE_LINK2"/>
    </w:p>
    <w:bookmarkEnd w:id="121"/>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2" w:name="_Toc32454"/>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 现有环境风险防控和应急措施差距分析</w:t>
      </w:r>
      <w:bookmarkEnd w:id="100"/>
      <w:bookmarkEnd w:id="122"/>
    </w:p>
    <w:p>
      <w:pPr>
        <w:adjustRightInd w:val="0"/>
        <w:snapToGrid w:val="0"/>
        <w:spacing w:line="500" w:lineRule="exact"/>
        <w:ind w:firstLine="480" w:firstLineChars="200"/>
        <w:rPr>
          <w:rFonts w:ascii="宋体" w:hAnsi="宋体" w:eastAsia="宋体" w:cs="宋体"/>
        </w:rPr>
      </w:pPr>
      <w:bookmarkStart w:id="123"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4" w:name="_Toc27239"/>
      <w:bookmarkStart w:id="125"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4"/>
      <w:bookmarkEnd w:id="1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6"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公司环评及批复的各项环境风险防控和应急措施均已落实。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highlight w:val="none"/>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曾小勇</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曾小勇</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kern w:val="2"/>
                <w:sz w:val="21"/>
                <w:szCs w:val="21"/>
                <w:highlight w:val="none"/>
                <w:lang w:val="en-US" w:eastAsia="zh-CN" w:bidi="zh-CN"/>
              </w:rPr>
              <w:t>曾小勇</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7" w:name="_Toc496887136"/>
      <w:bookmarkStart w:id="128" w:name="_Toc402776218"/>
      <w:bookmarkStart w:id="129" w:name="_Toc4920"/>
      <w:bookmarkStart w:id="130" w:name="_Toc510092964"/>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7"/>
      <w:bookmarkEnd w:id="128"/>
      <w:bookmarkEnd w:id="129"/>
      <w:bookmarkEnd w:id="130"/>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eastAsia" w:eastAsia="宋体" w:cs="Times New Roman"/>
                <w:sz w:val="21"/>
                <w:szCs w:val="21"/>
                <w:lang w:val="en-US" w:eastAsia="zh-CN"/>
              </w:rPr>
              <w:t>园区</w:t>
            </w:r>
            <w:r>
              <w:rPr>
                <w:rFonts w:hint="default" w:ascii="Times New Roman" w:hAnsi="Times New Roman" w:eastAsia="宋体" w:cs="Times New Roman"/>
                <w:sz w:val="21"/>
                <w:szCs w:val="21"/>
                <w:lang w:val="en-US" w:eastAsia="zh-CN"/>
              </w:rPr>
              <w:t>实行“雨污分流”制，雨水经</w:t>
            </w:r>
            <w:r>
              <w:rPr>
                <w:rFonts w:hint="eastAsia" w:eastAsia="宋体" w:cs="Times New Roman"/>
                <w:sz w:val="21"/>
                <w:szCs w:val="21"/>
                <w:lang w:val="en-US" w:eastAsia="zh-CN"/>
              </w:rPr>
              <w:t>园区</w:t>
            </w:r>
            <w:r>
              <w:rPr>
                <w:rFonts w:hint="default" w:ascii="Times New Roman" w:hAnsi="Times New Roman" w:eastAsia="宋体" w:cs="Times New Roman"/>
                <w:sz w:val="21"/>
                <w:szCs w:val="21"/>
                <w:lang w:val="en-US" w:eastAsia="zh-CN"/>
              </w:rPr>
              <w:t>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lang w:eastAsia="zh-CN"/>
              </w:rPr>
              <w:t>（</w:t>
            </w:r>
            <w:r>
              <w:rPr>
                <w:rFonts w:hint="eastAsia" w:eastAsia="宋体" w:cs="Times New Roman"/>
                <w:sz w:val="21"/>
                <w:szCs w:val="21"/>
                <w:highlight w:val="none"/>
                <w:lang w:val="en-US" w:eastAsia="zh-CN"/>
              </w:rPr>
              <w:t>150m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1"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厂内还需配备</w:t>
            </w:r>
            <w:r>
              <w:rPr>
                <w:rFonts w:hint="default" w:ascii="Times New Roman" w:hAnsi="Times New Roman" w:eastAsia="宋体" w:cs="Times New Roman"/>
                <w:sz w:val="21"/>
                <w:szCs w:val="21"/>
                <w:highlight w:val="none"/>
                <w:lang w:val="en-US" w:eastAsia="zh-CN"/>
              </w:rPr>
              <w:t>专用收集</w:t>
            </w:r>
            <w:r>
              <w:rPr>
                <w:rFonts w:hint="default" w:ascii="Times New Roman" w:hAnsi="Times New Roman" w:eastAsia="宋体" w:cs="Times New Roman"/>
                <w:sz w:val="21"/>
                <w:szCs w:val="21"/>
                <w:highlight w:val="none"/>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与</w:t>
            </w:r>
            <w:r>
              <w:rPr>
                <w:rFonts w:hint="eastAsia" w:eastAsia="宋体" w:cs="Times New Roman"/>
                <w:b/>
                <w:bCs/>
                <w:color w:val="000000" w:themeColor="text1"/>
                <w:sz w:val="21"/>
                <w:szCs w:val="21"/>
                <w:highlight w:val="none"/>
                <w:lang w:val="en-US" w:eastAsia="zh-CN"/>
                <w14:textFill>
                  <w14:solidFill>
                    <w14:schemeClr w14:val="tx1"/>
                  </w14:solidFill>
                </w14:textFill>
              </w:rPr>
              <w:t>海安泰元家具</w:t>
            </w:r>
            <w:r>
              <w:rPr>
                <w:rFonts w:hint="eastAsia" w:eastAsia="宋体" w:cs="Times New Roman"/>
                <w:b/>
                <w:bCs/>
                <w:color w:val="000000" w:themeColor="text1"/>
                <w:sz w:val="21"/>
                <w:szCs w:val="21"/>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3"/>
      <w:bookmarkEnd w:id="126"/>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2" w:name="_Toc496887138"/>
      <w:bookmarkStart w:id="133" w:name="_Toc402776220"/>
      <w:bookmarkStart w:id="134" w:name="_Toc14351"/>
      <w:bookmarkStart w:id="135" w:name="_Toc510092966"/>
      <w:bookmarkStart w:id="136" w:name="_Toc402776225"/>
      <w:bookmarkStart w:id="137"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8" w:name="_Toc496887139"/>
      <w:bookmarkStart w:id="139" w:name="_Toc23361"/>
      <w:bookmarkStart w:id="140" w:name="_Toc510092967"/>
      <w:bookmarkStart w:id="141" w:name="_Toc402776221"/>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p>
    <w:p>
      <w:pPr>
        <w:adjustRightInd w:val="0"/>
        <w:snapToGrid w:val="0"/>
        <w:spacing w:line="48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rPr>
        <w:t>表5-6 存在的</w:t>
      </w:r>
      <w:r>
        <w:rPr>
          <w:rFonts w:hint="default" w:ascii="Times New Roman" w:hAnsi="Times New Roman" w:eastAsia="宋体" w:cs="Times New Roman"/>
          <w:b/>
          <w:highlight w:val="none"/>
        </w:rPr>
        <w:t>事故隐患及需整改内容表</w:t>
      </w:r>
    </w:p>
    <w:tbl>
      <w:tblPr>
        <w:tblStyle w:val="37"/>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2"/>
        <w:gridCol w:w="7545"/>
        <w:gridCol w:w="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应急救援互助协议未完成签订</w:t>
            </w:r>
          </w:p>
        </w:tc>
        <w:tc>
          <w:tcPr>
            <w:tcW w:w="52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42"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highlight w:val="yellow"/>
          <w14:textFill>
            <w14:solidFill>
              <w14:schemeClr w14:val="tx1"/>
            </w14:solidFill>
          </w14:textFill>
        </w:rPr>
      </w:pPr>
      <w:bookmarkStart w:id="143" w:name="_Toc510092968"/>
      <w:bookmarkStart w:id="144" w:name="_Toc31696"/>
      <w:bookmarkStart w:id="145" w:name="_Toc496887140"/>
      <w:r>
        <w:rPr>
          <w:rFonts w:hint="eastAsia" w:ascii="Times New Roman" w:hAnsi="Times New Roman" w:eastAsia="宋体" w:cs="Times New Roman"/>
          <w:color w:val="000000" w:themeColor="text1"/>
          <w:sz w:val="24"/>
          <w:szCs w:val="24"/>
          <w14:textFill>
            <w14:solidFill>
              <w14:schemeClr w14:val="tx1"/>
            </w14:solidFill>
          </w14:textFill>
        </w:rPr>
        <w:t>6 完善</w:t>
      </w:r>
      <w:r>
        <w:rPr>
          <w:rFonts w:hint="eastAsia" w:ascii="Times New Roman" w:hAnsi="Times New Roman" w:eastAsia="宋体" w:cs="Times New Roman"/>
          <w:color w:val="000000" w:themeColor="text1"/>
          <w:sz w:val="24"/>
          <w:szCs w:val="24"/>
          <w:highlight w:val="none"/>
          <w14:textFill>
            <w14:solidFill>
              <w14:schemeClr w14:val="tx1"/>
            </w14:solidFill>
          </w14:textFill>
        </w:rPr>
        <w:t>环境风险防控和应急措施的实施计划</w:t>
      </w:r>
      <w:bookmarkEnd w:id="142"/>
      <w:bookmarkEnd w:id="143"/>
      <w:bookmarkEnd w:id="144"/>
      <w:bookmarkEnd w:id="145"/>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6" w:name="_Toc510092969"/>
      <w:bookmarkStart w:id="147" w:name="_Toc1705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6"/>
      <w:bookmarkEnd w:id="1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应急救援互助协议未签订完成</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与</w:t>
            </w:r>
            <w:r>
              <w:rPr>
                <w:rFonts w:hint="eastAsia" w:eastAsia="宋体" w:cs="Times New Roman"/>
                <w:color w:val="000000"/>
                <w:sz w:val="21"/>
                <w:szCs w:val="21"/>
                <w:highlight w:val="none"/>
                <w:lang w:val="en-US" w:eastAsia="zh-CN" w:bidi="en-US"/>
              </w:rPr>
              <w:t>周边公司签订应急互助协议</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2022年8月</w:t>
            </w:r>
          </w:p>
        </w:tc>
        <w:tc>
          <w:tcPr>
            <w:tcW w:w="443"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曾小勇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eastAsia="宋体" w:cs="Times New Roman"/>
                <w:sz w:val="21"/>
                <w:szCs w:val="21"/>
                <w:lang w:val="en-US" w:eastAsia="zh-CN"/>
              </w:rPr>
              <w:t>8</w:t>
            </w:r>
            <w:r>
              <w:rPr>
                <w:rFonts w:hint="default" w:ascii="Times New Roman" w:hAnsi="Times New Roman" w:eastAsia="宋体" w:cs="Times New Roman"/>
                <w:sz w:val="21"/>
                <w:szCs w:val="21"/>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曾小勇</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8" w:name="_Toc402776224"/>
      <w:bookmarkStart w:id="149" w:name="_Toc510092970"/>
      <w:bookmarkStart w:id="150" w:name="_Toc24534"/>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48"/>
      <w:bookmarkEnd w:id="149"/>
      <w:bookmarkEnd w:id="1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9</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曾小勇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9</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曾小勇</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6"/>
    <w:bookmarkEnd w:id="137"/>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1" w:name="_Toc12711"/>
      <w:bookmarkStart w:id="152" w:name="_Toc535516085"/>
      <w:bookmarkStart w:id="153" w:name="_Toc353379552"/>
      <w:r>
        <w:rPr>
          <w:rFonts w:hint="eastAsia" w:ascii="Times New Roman" w:hAnsi="Times New Roman" w:eastAsia="宋体" w:cs="Times New Roman"/>
          <w:sz w:val="24"/>
          <w:szCs w:val="24"/>
        </w:rPr>
        <w:t>7 企业突发环境事件风险等级</w:t>
      </w:r>
      <w:bookmarkEnd w:id="151"/>
      <w:bookmarkEnd w:id="152"/>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4" w:name="_Toc1190"/>
      <w:bookmarkStart w:id="155" w:name="_Toc510102127"/>
      <w:bookmarkStart w:id="156" w:name="_Toc534722043"/>
      <w:bookmarkStart w:id="157" w:name="_Toc31961"/>
      <w:bookmarkStart w:id="158" w:name="_Toc535516086"/>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9" w:name="_Toc9279"/>
      <w:bookmarkStart w:id="160" w:name="_Toc535516087"/>
      <w:bookmarkStart w:id="161" w:name="_Toc534722044"/>
      <w:bookmarkStart w:id="162"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59"/>
      <w:bookmarkEnd w:id="160"/>
      <w:bookmarkEnd w:id="161"/>
    </w:p>
    <w:bookmarkEnd w:id="162"/>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3"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4"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w:t>
      </w:r>
      <w:r>
        <w:rPr>
          <w:rFonts w:hint="default" w:ascii="Times New Roman" w:hAnsi="Times New Roman" w:eastAsia="宋体" w:cs="Times New Roman"/>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00832</w:t>
      </w:r>
      <w:r>
        <w:rPr>
          <w:rFonts w:hint="default" w:ascii="Times New Roman" w:hAnsi="Times New Roman" w:eastAsia="宋体" w:cs="Times New Roman"/>
          <w:color w:val="000000" w:themeColor="text1"/>
          <w14:textFill>
            <w14:solidFill>
              <w14:schemeClr w14:val="tx1"/>
            </w14:solidFill>
          </w14:textFill>
        </w:rPr>
        <w:t>＜1，属于Q0，M值为M1，因此确定环境风险等级为“一般-大气（Q0）”。</w:t>
      </w:r>
      <w:bookmarkEnd w:id="164"/>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5" w:name="_Toc535516088"/>
      <w:bookmarkStart w:id="166" w:name="_Toc534722045"/>
      <w:bookmarkStart w:id="167" w:name="_Toc26086"/>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3"/>
      <w:r>
        <w:rPr>
          <w:rFonts w:hint="eastAsia" w:ascii="Times New Roman" w:hAnsi="Times New Roman" w:eastAsia="宋体" w:cs="Times New Roman"/>
          <w:color w:val="000000" w:themeColor="text1"/>
          <w14:textFill>
            <w14:solidFill>
              <w14:schemeClr w14:val="tx1"/>
            </w14:solidFill>
          </w14:textFill>
        </w:rPr>
        <w:t>等级确定</w:t>
      </w:r>
      <w:bookmarkEnd w:id="165"/>
      <w:bookmarkEnd w:id="166"/>
      <w:bookmarkEnd w:id="1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8"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00832</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8"/>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9" w:name="_Toc535516089"/>
      <w:bookmarkStart w:id="170" w:name="_Toc534722046"/>
      <w:bookmarkStart w:id="171" w:name="_Toc16652"/>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2" w:name="_Toc2809"/>
      <w:bookmarkStart w:id="173" w:name="_Toc535516090"/>
      <w:bookmarkStart w:id="174" w:name="_Toc534722047"/>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5"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3"/>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海安鑫恒家具有限公司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6">
    <w:nsid w:val="594B169E"/>
    <w:multiLevelType w:val="singleLevel"/>
    <w:tmpl w:val="594B169E"/>
    <w:lvl w:ilvl="0" w:tentative="0">
      <w:start w:val="2"/>
      <w:numFmt w:val="decimal"/>
      <w:suff w:val="nothing"/>
      <w:lvlText w:val="（%1）"/>
      <w:lvlJc w:val="left"/>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JjYWRhOTA2YzI1YTNmYTJlNzQyYjdkZmRlZGE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16C"/>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51EE"/>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951891"/>
    <w:rsid w:val="0196004B"/>
    <w:rsid w:val="01F44222"/>
    <w:rsid w:val="02010A8E"/>
    <w:rsid w:val="020A6B6D"/>
    <w:rsid w:val="023A4AFE"/>
    <w:rsid w:val="024A3371"/>
    <w:rsid w:val="025342FC"/>
    <w:rsid w:val="027020A3"/>
    <w:rsid w:val="02844EF0"/>
    <w:rsid w:val="02A320BD"/>
    <w:rsid w:val="02A40DDE"/>
    <w:rsid w:val="02A721CC"/>
    <w:rsid w:val="02AE7314"/>
    <w:rsid w:val="02F67A53"/>
    <w:rsid w:val="031F1E04"/>
    <w:rsid w:val="032478F0"/>
    <w:rsid w:val="03301197"/>
    <w:rsid w:val="036B611E"/>
    <w:rsid w:val="03BD711C"/>
    <w:rsid w:val="03E05B99"/>
    <w:rsid w:val="03ED0B73"/>
    <w:rsid w:val="03F30802"/>
    <w:rsid w:val="03F826EF"/>
    <w:rsid w:val="03FA361D"/>
    <w:rsid w:val="04193F84"/>
    <w:rsid w:val="045D37F5"/>
    <w:rsid w:val="04910518"/>
    <w:rsid w:val="04F507E0"/>
    <w:rsid w:val="0502151A"/>
    <w:rsid w:val="050B4512"/>
    <w:rsid w:val="053E54C2"/>
    <w:rsid w:val="058B5B44"/>
    <w:rsid w:val="05FF342F"/>
    <w:rsid w:val="06137FA4"/>
    <w:rsid w:val="06347FAA"/>
    <w:rsid w:val="0687353C"/>
    <w:rsid w:val="06A03611"/>
    <w:rsid w:val="06AD3DF6"/>
    <w:rsid w:val="06AF1288"/>
    <w:rsid w:val="07001C9F"/>
    <w:rsid w:val="07840838"/>
    <w:rsid w:val="08073233"/>
    <w:rsid w:val="08766E28"/>
    <w:rsid w:val="08AC03F8"/>
    <w:rsid w:val="08D27E05"/>
    <w:rsid w:val="08E26E3A"/>
    <w:rsid w:val="08EF4796"/>
    <w:rsid w:val="090F4267"/>
    <w:rsid w:val="091308EE"/>
    <w:rsid w:val="09130EA8"/>
    <w:rsid w:val="096716D2"/>
    <w:rsid w:val="097B1990"/>
    <w:rsid w:val="09BF288E"/>
    <w:rsid w:val="09E607A8"/>
    <w:rsid w:val="09F6675B"/>
    <w:rsid w:val="0A183CB1"/>
    <w:rsid w:val="0A2967BB"/>
    <w:rsid w:val="0A3F53B7"/>
    <w:rsid w:val="0A423197"/>
    <w:rsid w:val="0A427060"/>
    <w:rsid w:val="0A4976CC"/>
    <w:rsid w:val="0A5019AF"/>
    <w:rsid w:val="0A573B2B"/>
    <w:rsid w:val="0A9D4DDA"/>
    <w:rsid w:val="0AB84854"/>
    <w:rsid w:val="0AB90523"/>
    <w:rsid w:val="0AB97741"/>
    <w:rsid w:val="0AD37E61"/>
    <w:rsid w:val="0AE8794C"/>
    <w:rsid w:val="0B2A1067"/>
    <w:rsid w:val="0B3D000D"/>
    <w:rsid w:val="0B847AD1"/>
    <w:rsid w:val="0BA25756"/>
    <w:rsid w:val="0BE0373D"/>
    <w:rsid w:val="0C610511"/>
    <w:rsid w:val="0CBC7E52"/>
    <w:rsid w:val="0CC9509F"/>
    <w:rsid w:val="0D044A13"/>
    <w:rsid w:val="0D2F10B2"/>
    <w:rsid w:val="0D4E5218"/>
    <w:rsid w:val="0DA55244"/>
    <w:rsid w:val="0DE37DAB"/>
    <w:rsid w:val="0E05432C"/>
    <w:rsid w:val="0E230A9C"/>
    <w:rsid w:val="0E3916B2"/>
    <w:rsid w:val="0E587898"/>
    <w:rsid w:val="0E624A26"/>
    <w:rsid w:val="0E6D584F"/>
    <w:rsid w:val="0E966CBC"/>
    <w:rsid w:val="0ED60BB4"/>
    <w:rsid w:val="0F010813"/>
    <w:rsid w:val="0F5041E1"/>
    <w:rsid w:val="0F762A88"/>
    <w:rsid w:val="0FC84887"/>
    <w:rsid w:val="0FEC2D8E"/>
    <w:rsid w:val="0FF30FEA"/>
    <w:rsid w:val="10AE5289"/>
    <w:rsid w:val="10E41AA8"/>
    <w:rsid w:val="115449E3"/>
    <w:rsid w:val="11587417"/>
    <w:rsid w:val="119254E8"/>
    <w:rsid w:val="11B86C8E"/>
    <w:rsid w:val="11F37AAF"/>
    <w:rsid w:val="1231505F"/>
    <w:rsid w:val="126A3E6B"/>
    <w:rsid w:val="126C326A"/>
    <w:rsid w:val="12815AEB"/>
    <w:rsid w:val="12956363"/>
    <w:rsid w:val="12C337DE"/>
    <w:rsid w:val="13017C14"/>
    <w:rsid w:val="13083EAD"/>
    <w:rsid w:val="13215E10"/>
    <w:rsid w:val="13283DEC"/>
    <w:rsid w:val="13544C3F"/>
    <w:rsid w:val="13634DDD"/>
    <w:rsid w:val="13856446"/>
    <w:rsid w:val="1396747A"/>
    <w:rsid w:val="13A3130F"/>
    <w:rsid w:val="13E82F19"/>
    <w:rsid w:val="14010C77"/>
    <w:rsid w:val="140356B0"/>
    <w:rsid w:val="14587E57"/>
    <w:rsid w:val="14741441"/>
    <w:rsid w:val="14BB1C9F"/>
    <w:rsid w:val="15316317"/>
    <w:rsid w:val="155906E9"/>
    <w:rsid w:val="156247B4"/>
    <w:rsid w:val="15645A8E"/>
    <w:rsid w:val="15770229"/>
    <w:rsid w:val="15B14CD7"/>
    <w:rsid w:val="15D07525"/>
    <w:rsid w:val="15E2544F"/>
    <w:rsid w:val="1600098F"/>
    <w:rsid w:val="160E0B58"/>
    <w:rsid w:val="16620A0C"/>
    <w:rsid w:val="1662704A"/>
    <w:rsid w:val="16745DD3"/>
    <w:rsid w:val="16846772"/>
    <w:rsid w:val="16EE4C4E"/>
    <w:rsid w:val="16FA509C"/>
    <w:rsid w:val="17072B4C"/>
    <w:rsid w:val="170D12AB"/>
    <w:rsid w:val="17205BE7"/>
    <w:rsid w:val="17503104"/>
    <w:rsid w:val="17505D4E"/>
    <w:rsid w:val="17815854"/>
    <w:rsid w:val="17E37BDB"/>
    <w:rsid w:val="17EF3F70"/>
    <w:rsid w:val="17F142A9"/>
    <w:rsid w:val="189169E3"/>
    <w:rsid w:val="18925E68"/>
    <w:rsid w:val="18A66EE8"/>
    <w:rsid w:val="18B164AA"/>
    <w:rsid w:val="18D32768"/>
    <w:rsid w:val="18F9763C"/>
    <w:rsid w:val="190A363B"/>
    <w:rsid w:val="190D75D7"/>
    <w:rsid w:val="193D60D8"/>
    <w:rsid w:val="195329B1"/>
    <w:rsid w:val="1960212B"/>
    <w:rsid w:val="197415B5"/>
    <w:rsid w:val="19B060A9"/>
    <w:rsid w:val="19B51C74"/>
    <w:rsid w:val="19DA77B2"/>
    <w:rsid w:val="19E6067F"/>
    <w:rsid w:val="1A0737A1"/>
    <w:rsid w:val="1A26411C"/>
    <w:rsid w:val="1A6A384C"/>
    <w:rsid w:val="1A9F6FC9"/>
    <w:rsid w:val="1ADD5F89"/>
    <w:rsid w:val="1AE2457F"/>
    <w:rsid w:val="1B2D3FA1"/>
    <w:rsid w:val="1B761192"/>
    <w:rsid w:val="1BB644AB"/>
    <w:rsid w:val="1BD64C8E"/>
    <w:rsid w:val="1BD74C41"/>
    <w:rsid w:val="1BE21A22"/>
    <w:rsid w:val="1C526C57"/>
    <w:rsid w:val="1C89589E"/>
    <w:rsid w:val="1CBA6476"/>
    <w:rsid w:val="1CE263F6"/>
    <w:rsid w:val="1CEB63B0"/>
    <w:rsid w:val="1D0C33F7"/>
    <w:rsid w:val="1D301CD2"/>
    <w:rsid w:val="1D5645F1"/>
    <w:rsid w:val="1D6C1236"/>
    <w:rsid w:val="1D7D6E22"/>
    <w:rsid w:val="1D8E222D"/>
    <w:rsid w:val="1D937159"/>
    <w:rsid w:val="1DCB56F0"/>
    <w:rsid w:val="1DCF0410"/>
    <w:rsid w:val="1E132454"/>
    <w:rsid w:val="1E687CCB"/>
    <w:rsid w:val="1E827766"/>
    <w:rsid w:val="1EE91E3A"/>
    <w:rsid w:val="1F302632"/>
    <w:rsid w:val="1F5E3452"/>
    <w:rsid w:val="1F627CDB"/>
    <w:rsid w:val="1F6E5430"/>
    <w:rsid w:val="1F813E90"/>
    <w:rsid w:val="1F814CE7"/>
    <w:rsid w:val="1F8877F4"/>
    <w:rsid w:val="1F9E7C4F"/>
    <w:rsid w:val="1FAB150A"/>
    <w:rsid w:val="1FBC46FD"/>
    <w:rsid w:val="1FBD4AD7"/>
    <w:rsid w:val="1FEA11D0"/>
    <w:rsid w:val="20316401"/>
    <w:rsid w:val="20D672A3"/>
    <w:rsid w:val="20EF1DAA"/>
    <w:rsid w:val="20F8426A"/>
    <w:rsid w:val="20FA635E"/>
    <w:rsid w:val="214544E9"/>
    <w:rsid w:val="214D78C2"/>
    <w:rsid w:val="21FC43D6"/>
    <w:rsid w:val="2216596C"/>
    <w:rsid w:val="22423F2D"/>
    <w:rsid w:val="228809EA"/>
    <w:rsid w:val="228E5263"/>
    <w:rsid w:val="22DB083E"/>
    <w:rsid w:val="22F24A52"/>
    <w:rsid w:val="22F73287"/>
    <w:rsid w:val="2319221E"/>
    <w:rsid w:val="23382842"/>
    <w:rsid w:val="23947C71"/>
    <w:rsid w:val="23987695"/>
    <w:rsid w:val="23B30D5C"/>
    <w:rsid w:val="23E541A0"/>
    <w:rsid w:val="23EC6A96"/>
    <w:rsid w:val="243214AC"/>
    <w:rsid w:val="24C936DE"/>
    <w:rsid w:val="24D2541A"/>
    <w:rsid w:val="24EA1C35"/>
    <w:rsid w:val="24F047B2"/>
    <w:rsid w:val="25273046"/>
    <w:rsid w:val="25326E9F"/>
    <w:rsid w:val="253438E4"/>
    <w:rsid w:val="253B6AE0"/>
    <w:rsid w:val="2554693F"/>
    <w:rsid w:val="255B1F82"/>
    <w:rsid w:val="25661D8D"/>
    <w:rsid w:val="25770B75"/>
    <w:rsid w:val="257A4861"/>
    <w:rsid w:val="25B82BBC"/>
    <w:rsid w:val="25DF6383"/>
    <w:rsid w:val="261B5D49"/>
    <w:rsid w:val="261C0D91"/>
    <w:rsid w:val="26582017"/>
    <w:rsid w:val="265D2253"/>
    <w:rsid w:val="268F36B5"/>
    <w:rsid w:val="26D65E39"/>
    <w:rsid w:val="27040920"/>
    <w:rsid w:val="27AD4773"/>
    <w:rsid w:val="28112AB3"/>
    <w:rsid w:val="281F3170"/>
    <w:rsid w:val="2839516E"/>
    <w:rsid w:val="283A206F"/>
    <w:rsid w:val="28536865"/>
    <w:rsid w:val="28D10479"/>
    <w:rsid w:val="28E842AD"/>
    <w:rsid w:val="28FE3E6E"/>
    <w:rsid w:val="29117EC5"/>
    <w:rsid w:val="29121A59"/>
    <w:rsid w:val="296B725B"/>
    <w:rsid w:val="29E037B8"/>
    <w:rsid w:val="2A2121D6"/>
    <w:rsid w:val="2A3A45AD"/>
    <w:rsid w:val="2A540D79"/>
    <w:rsid w:val="2AAB41E7"/>
    <w:rsid w:val="2AB12EA9"/>
    <w:rsid w:val="2AC06EE5"/>
    <w:rsid w:val="2ADC175C"/>
    <w:rsid w:val="2AEE77EB"/>
    <w:rsid w:val="2AF27121"/>
    <w:rsid w:val="2AF87143"/>
    <w:rsid w:val="2B001D28"/>
    <w:rsid w:val="2B057FA2"/>
    <w:rsid w:val="2B0A6EE2"/>
    <w:rsid w:val="2B0E2FF3"/>
    <w:rsid w:val="2B1F4CEF"/>
    <w:rsid w:val="2B3F2705"/>
    <w:rsid w:val="2B4E49C8"/>
    <w:rsid w:val="2B717A4A"/>
    <w:rsid w:val="2B8E5A5D"/>
    <w:rsid w:val="2BA51A6A"/>
    <w:rsid w:val="2BAD2116"/>
    <w:rsid w:val="2BD47CF4"/>
    <w:rsid w:val="2BDC39E5"/>
    <w:rsid w:val="2C1E6B55"/>
    <w:rsid w:val="2C2E012D"/>
    <w:rsid w:val="2C36072E"/>
    <w:rsid w:val="2C376167"/>
    <w:rsid w:val="2C3D5369"/>
    <w:rsid w:val="2C974BF3"/>
    <w:rsid w:val="2CAD724B"/>
    <w:rsid w:val="2CFF170E"/>
    <w:rsid w:val="2D052134"/>
    <w:rsid w:val="2D111B87"/>
    <w:rsid w:val="2D8728DE"/>
    <w:rsid w:val="2DA4532F"/>
    <w:rsid w:val="2DBF4931"/>
    <w:rsid w:val="2DFC4B6C"/>
    <w:rsid w:val="2DFC5C0B"/>
    <w:rsid w:val="2E0E2C84"/>
    <w:rsid w:val="2E1C2BA9"/>
    <w:rsid w:val="2E59454D"/>
    <w:rsid w:val="2E8B30FF"/>
    <w:rsid w:val="2EAB2BF5"/>
    <w:rsid w:val="2EAD2E4C"/>
    <w:rsid w:val="2EAE3797"/>
    <w:rsid w:val="2EC24664"/>
    <w:rsid w:val="2EEA2C98"/>
    <w:rsid w:val="2EF02780"/>
    <w:rsid w:val="2F0543B1"/>
    <w:rsid w:val="2F066B65"/>
    <w:rsid w:val="2F2347D9"/>
    <w:rsid w:val="2F554CA2"/>
    <w:rsid w:val="2F596F0E"/>
    <w:rsid w:val="2FD55BB1"/>
    <w:rsid w:val="30020D67"/>
    <w:rsid w:val="300800B8"/>
    <w:rsid w:val="30225FF8"/>
    <w:rsid w:val="30327F7C"/>
    <w:rsid w:val="303A5CBE"/>
    <w:rsid w:val="304A074B"/>
    <w:rsid w:val="307D56A8"/>
    <w:rsid w:val="30BF5C4B"/>
    <w:rsid w:val="30C07829"/>
    <w:rsid w:val="30C67684"/>
    <w:rsid w:val="30F566E1"/>
    <w:rsid w:val="3122767C"/>
    <w:rsid w:val="3137341C"/>
    <w:rsid w:val="314F2144"/>
    <w:rsid w:val="315E2A05"/>
    <w:rsid w:val="316B7CCB"/>
    <w:rsid w:val="316D2FA8"/>
    <w:rsid w:val="31A10C2C"/>
    <w:rsid w:val="31CF7D34"/>
    <w:rsid w:val="32437343"/>
    <w:rsid w:val="324C57A9"/>
    <w:rsid w:val="32614C75"/>
    <w:rsid w:val="32815CBA"/>
    <w:rsid w:val="32951F6D"/>
    <w:rsid w:val="32A6032C"/>
    <w:rsid w:val="32AC17D7"/>
    <w:rsid w:val="32C26BEC"/>
    <w:rsid w:val="332079C0"/>
    <w:rsid w:val="337C4435"/>
    <w:rsid w:val="33880EEF"/>
    <w:rsid w:val="33C75BC6"/>
    <w:rsid w:val="33F42EE9"/>
    <w:rsid w:val="33FF00D4"/>
    <w:rsid w:val="34382099"/>
    <w:rsid w:val="34B06097"/>
    <w:rsid w:val="34D25746"/>
    <w:rsid w:val="3546112B"/>
    <w:rsid w:val="35501D28"/>
    <w:rsid w:val="356A6DF6"/>
    <w:rsid w:val="35C0683A"/>
    <w:rsid w:val="35C402B8"/>
    <w:rsid w:val="35EC1514"/>
    <w:rsid w:val="36105E0F"/>
    <w:rsid w:val="363E0752"/>
    <w:rsid w:val="364361AA"/>
    <w:rsid w:val="3645702F"/>
    <w:rsid w:val="36871C73"/>
    <w:rsid w:val="37016216"/>
    <w:rsid w:val="37121810"/>
    <w:rsid w:val="3735522D"/>
    <w:rsid w:val="373D63D5"/>
    <w:rsid w:val="374F3DD7"/>
    <w:rsid w:val="375F706D"/>
    <w:rsid w:val="376F0CE2"/>
    <w:rsid w:val="37844799"/>
    <w:rsid w:val="37905FFF"/>
    <w:rsid w:val="37AC4983"/>
    <w:rsid w:val="37AF432A"/>
    <w:rsid w:val="37E65331"/>
    <w:rsid w:val="3860298E"/>
    <w:rsid w:val="38923D3A"/>
    <w:rsid w:val="389D1318"/>
    <w:rsid w:val="38E5618A"/>
    <w:rsid w:val="391F0993"/>
    <w:rsid w:val="39467F6B"/>
    <w:rsid w:val="394A4223"/>
    <w:rsid w:val="39812B32"/>
    <w:rsid w:val="39B33F02"/>
    <w:rsid w:val="39CA4D5D"/>
    <w:rsid w:val="39DC0EE3"/>
    <w:rsid w:val="3A06607F"/>
    <w:rsid w:val="3A0D6B07"/>
    <w:rsid w:val="3A1A1B7E"/>
    <w:rsid w:val="3A307DFC"/>
    <w:rsid w:val="3A4B1045"/>
    <w:rsid w:val="3A746C63"/>
    <w:rsid w:val="3A7D15F0"/>
    <w:rsid w:val="3ABB3D95"/>
    <w:rsid w:val="3AF50C27"/>
    <w:rsid w:val="3B3865EE"/>
    <w:rsid w:val="3B3918BC"/>
    <w:rsid w:val="3B54246C"/>
    <w:rsid w:val="3B992FCE"/>
    <w:rsid w:val="3BA52A51"/>
    <w:rsid w:val="3BB056E6"/>
    <w:rsid w:val="3BC5559F"/>
    <w:rsid w:val="3BCF0513"/>
    <w:rsid w:val="3BD03C0A"/>
    <w:rsid w:val="3C2639EF"/>
    <w:rsid w:val="3C53257C"/>
    <w:rsid w:val="3C6C64DA"/>
    <w:rsid w:val="3C723DB5"/>
    <w:rsid w:val="3CBF3D1B"/>
    <w:rsid w:val="3CE300AA"/>
    <w:rsid w:val="3CFF0F0A"/>
    <w:rsid w:val="3D364D81"/>
    <w:rsid w:val="3D374A0B"/>
    <w:rsid w:val="3D5C6E11"/>
    <w:rsid w:val="3D5F56B5"/>
    <w:rsid w:val="3DD20B6C"/>
    <w:rsid w:val="3DDD4B2B"/>
    <w:rsid w:val="3DE11D43"/>
    <w:rsid w:val="3E0A46F6"/>
    <w:rsid w:val="3E2231DF"/>
    <w:rsid w:val="3E3914AB"/>
    <w:rsid w:val="3E47171B"/>
    <w:rsid w:val="3E62523C"/>
    <w:rsid w:val="3E933053"/>
    <w:rsid w:val="3EB34B10"/>
    <w:rsid w:val="3EB97E84"/>
    <w:rsid w:val="3EC66B2E"/>
    <w:rsid w:val="3ECB3B4A"/>
    <w:rsid w:val="3EEA65C3"/>
    <w:rsid w:val="3F0804FF"/>
    <w:rsid w:val="3F137F44"/>
    <w:rsid w:val="3F1C7AA1"/>
    <w:rsid w:val="3F253896"/>
    <w:rsid w:val="3F94017C"/>
    <w:rsid w:val="3FC879D5"/>
    <w:rsid w:val="3FC928A4"/>
    <w:rsid w:val="3FFB0D98"/>
    <w:rsid w:val="402C4DF9"/>
    <w:rsid w:val="40427BD5"/>
    <w:rsid w:val="40553BBD"/>
    <w:rsid w:val="407F77F4"/>
    <w:rsid w:val="40932C0F"/>
    <w:rsid w:val="409723EF"/>
    <w:rsid w:val="40C92324"/>
    <w:rsid w:val="40F50ED0"/>
    <w:rsid w:val="40FF4477"/>
    <w:rsid w:val="412E6E5A"/>
    <w:rsid w:val="415C0B59"/>
    <w:rsid w:val="418A72E4"/>
    <w:rsid w:val="41C458B1"/>
    <w:rsid w:val="41D34D41"/>
    <w:rsid w:val="42167845"/>
    <w:rsid w:val="423C7F07"/>
    <w:rsid w:val="42652706"/>
    <w:rsid w:val="42672BE1"/>
    <w:rsid w:val="427F3635"/>
    <w:rsid w:val="42A50854"/>
    <w:rsid w:val="42AA6321"/>
    <w:rsid w:val="42BA4D90"/>
    <w:rsid w:val="42C149A3"/>
    <w:rsid w:val="42C225DD"/>
    <w:rsid w:val="42E172A2"/>
    <w:rsid w:val="431E58A5"/>
    <w:rsid w:val="432B7898"/>
    <w:rsid w:val="433E1001"/>
    <w:rsid w:val="434D5B39"/>
    <w:rsid w:val="43656B48"/>
    <w:rsid w:val="43A763AF"/>
    <w:rsid w:val="43C026A9"/>
    <w:rsid w:val="43CB3A74"/>
    <w:rsid w:val="43EA3450"/>
    <w:rsid w:val="43F3642E"/>
    <w:rsid w:val="43F841BA"/>
    <w:rsid w:val="44001119"/>
    <w:rsid w:val="445F7654"/>
    <w:rsid w:val="447F6556"/>
    <w:rsid w:val="449F1494"/>
    <w:rsid w:val="44AC3DE0"/>
    <w:rsid w:val="44CA7D5F"/>
    <w:rsid w:val="452303E7"/>
    <w:rsid w:val="45AD136E"/>
    <w:rsid w:val="45B217F4"/>
    <w:rsid w:val="460E66D2"/>
    <w:rsid w:val="461B516D"/>
    <w:rsid w:val="4629527A"/>
    <w:rsid w:val="462C31F9"/>
    <w:rsid w:val="463915B4"/>
    <w:rsid w:val="46A923CC"/>
    <w:rsid w:val="46B73022"/>
    <w:rsid w:val="46F338EC"/>
    <w:rsid w:val="470B449A"/>
    <w:rsid w:val="471D2263"/>
    <w:rsid w:val="4720755C"/>
    <w:rsid w:val="47317D83"/>
    <w:rsid w:val="4733491E"/>
    <w:rsid w:val="47340FA9"/>
    <w:rsid w:val="473D0EC0"/>
    <w:rsid w:val="47450A06"/>
    <w:rsid w:val="47507E13"/>
    <w:rsid w:val="47565211"/>
    <w:rsid w:val="47A32D6E"/>
    <w:rsid w:val="47B4010D"/>
    <w:rsid w:val="47BA0320"/>
    <w:rsid w:val="47DB2908"/>
    <w:rsid w:val="47DE2F16"/>
    <w:rsid w:val="47E20C13"/>
    <w:rsid w:val="47EB405B"/>
    <w:rsid w:val="47EC7E63"/>
    <w:rsid w:val="483A1316"/>
    <w:rsid w:val="48583952"/>
    <w:rsid w:val="489D2B6A"/>
    <w:rsid w:val="489F7A9A"/>
    <w:rsid w:val="48AF1A2C"/>
    <w:rsid w:val="48C02F86"/>
    <w:rsid w:val="48C926EA"/>
    <w:rsid w:val="49573279"/>
    <w:rsid w:val="495E5E4C"/>
    <w:rsid w:val="49BE68A4"/>
    <w:rsid w:val="49CA3159"/>
    <w:rsid w:val="4A567E57"/>
    <w:rsid w:val="4A573A86"/>
    <w:rsid w:val="4AAB71D8"/>
    <w:rsid w:val="4ABA3692"/>
    <w:rsid w:val="4ABE09B1"/>
    <w:rsid w:val="4AC64C9B"/>
    <w:rsid w:val="4B000CAC"/>
    <w:rsid w:val="4B022A13"/>
    <w:rsid w:val="4B467083"/>
    <w:rsid w:val="4B6B75E9"/>
    <w:rsid w:val="4B7E4935"/>
    <w:rsid w:val="4BBA1732"/>
    <w:rsid w:val="4BC92FA9"/>
    <w:rsid w:val="4BD7705A"/>
    <w:rsid w:val="4C324A5C"/>
    <w:rsid w:val="4C3F2C68"/>
    <w:rsid w:val="4C78193D"/>
    <w:rsid w:val="4CA76AC5"/>
    <w:rsid w:val="4CC06F41"/>
    <w:rsid w:val="4CD14152"/>
    <w:rsid w:val="4CF10FC1"/>
    <w:rsid w:val="4CFF0BB9"/>
    <w:rsid w:val="4D124768"/>
    <w:rsid w:val="4D2B0086"/>
    <w:rsid w:val="4D2E4497"/>
    <w:rsid w:val="4D4F6924"/>
    <w:rsid w:val="4D517A26"/>
    <w:rsid w:val="4D637482"/>
    <w:rsid w:val="4D6A60AC"/>
    <w:rsid w:val="4DC32AA3"/>
    <w:rsid w:val="4E0803D6"/>
    <w:rsid w:val="4E2D23E1"/>
    <w:rsid w:val="4E490F71"/>
    <w:rsid w:val="4EC23EAE"/>
    <w:rsid w:val="4ED2139B"/>
    <w:rsid w:val="4F135835"/>
    <w:rsid w:val="4F1E3B41"/>
    <w:rsid w:val="4F1F0560"/>
    <w:rsid w:val="4F543C53"/>
    <w:rsid w:val="4F8B35E0"/>
    <w:rsid w:val="4F9E734F"/>
    <w:rsid w:val="4FD67DC7"/>
    <w:rsid w:val="500269F8"/>
    <w:rsid w:val="503B2047"/>
    <w:rsid w:val="505D17E0"/>
    <w:rsid w:val="50974C0C"/>
    <w:rsid w:val="509E7747"/>
    <w:rsid w:val="50B53652"/>
    <w:rsid w:val="50B57780"/>
    <w:rsid w:val="512A2805"/>
    <w:rsid w:val="51D5580D"/>
    <w:rsid w:val="52251994"/>
    <w:rsid w:val="5233351C"/>
    <w:rsid w:val="52560348"/>
    <w:rsid w:val="527B077E"/>
    <w:rsid w:val="52AE24B8"/>
    <w:rsid w:val="52E3483D"/>
    <w:rsid w:val="531C02C3"/>
    <w:rsid w:val="531C21C9"/>
    <w:rsid w:val="533471AB"/>
    <w:rsid w:val="536B671A"/>
    <w:rsid w:val="53896791"/>
    <w:rsid w:val="53A01641"/>
    <w:rsid w:val="53A47420"/>
    <w:rsid w:val="53BA18F2"/>
    <w:rsid w:val="54013224"/>
    <w:rsid w:val="54082164"/>
    <w:rsid w:val="542B646E"/>
    <w:rsid w:val="54396A35"/>
    <w:rsid w:val="543C34A3"/>
    <w:rsid w:val="54493A26"/>
    <w:rsid w:val="545E6E35"/>
    <w:rsid w:val="54933E92"/>
    <w:rsid w:val="54B11725"/>
    <w:rsid w:val="54B45976"/>
    <w:rsid w:val="5512548F"/>
    <w:rsid w:val="554A6AC3"/>
    <w:rsid w:val="55747BD7"/>
    <w:rsid w:val="55831706"/>
    <w:rsid w:val="55A241E9"/>
    <w:rsid w:val="55AB0A8B"/>
    <w:rsid w:val="55E34263"/>
    <w:rsid w:val="55E77811"/>
    <w:rsid w:val="5646016B"/>
    <w:rsid w:val="565A207E"/>
    <w:rsid w:val="566C6470"/>
    <w:rsid w:val="56904833"/>
    <w:rsid w:val="56B47A9C"/>
    <w:rsid w:val="56C03C97"/>
    <w:rsid w:val="56DB0CD7"/>
    <w:rsid w:val="5708640C"/>
    <w:rsid w:val="5712053B"/>
    <w:rsid w:val="574079C4"/>
    <w:rsid w:val="5742676A"/>
    <w:rsid w:val="574B0EE7"/>
    <w:rsid w:val="57603878"/>
    <w:rsid w:val="576F318D"/>
    <w:rsid w:val="57CC6606"/>
    <w:rsid w:val="58075C53"/>
    <w:rsid w:val="583659A8"/>
    <w:rsid w:val="5838442C"/>
    <w:rsid w:val="58736030"/>
    <w:rsid w:val="5882337B"/>
    <w:rsid w:val="588A06AC"/>
    <w:rsid w:val="588A0DE3"/>
    <w:rsid w:val="5899246A"/>
    <w:rsid w:val="589F065C"/>
    <w:rsid w:val="58F5045B"/>
    <w:rsid w:val="58FA421E"/>
    <w:rsid w:val="58FB7812"/>
    <w:rsid w:val="592B4FF1"/>
    <w:rsid w:val="595521F6"/>
    <w:rsid w:val="596E01EF"/>
    <w:rsid w:val="59AF293C"/>
    <w:rsid w:val="59C029AB"/>
    <w:rsid w:val="59C37601"/>
    <w:rsid w:val="59C53DC0"/>
    <w:rsid w:val="59ED4071"/>
    <w:rsid w:val="5A012E6F"/>
    <w:rsid w:val="5A042931"/>
    <w:rsid w:val="5A154996"/>
    <w:rsid w:val="5A21340C"/>
    <w:rsid w:val="5A24049E"/>
    <w:rsid w:val="5A4E57AF"/>
    <w:rsid w:val="5A50477F"/>
    <w:rsid w:val="5A542A36"/>
    <w:rsid w:val="5B1519A6"/>
    <w:rsid w:val="5B173022"/>
    <w:rsid w:val="5B380D01"/>
    <w:rsid w:val="5B3C35EA"/>
    <w:rsid w:val="5B4218D9"/>
    <w:rsid w:val="5B6F4E64"/>
    <w:rsid w:val="5B761406"/>
    <w:rsid w:val="5B963C33"/>
    <w:rsid w:val="5BA71510"/>
    <w:rsid w:val="5C4872F9"/>
    <w:rsid w:val="5C4E5D1A"/>
    <w:rsid w:val="5C665E30"/>
    <w:rsid w:val="5C74248A"/>
    <w:rsid w:val="5CAC5F4C"/>
    <w:rsid w:val="5CC04FCD"/>
    <w:rsid w:val="5CF04AD8"/>
    <w:rsid w:val="5D021CBF"/>
    <w:rsid w:val="5D1A63CA"/>
    <w:rsid w:val="5D1E1174"/>
    <w:rsid w:val="5D215DF5"/>
    <w:rsid w:val="5D262EA1"/>
    <w:rsid w:val="5D652CD9"/>
    <w:rsid w:val="5DCF1B2F"/>
    <w:rsid w:val="5DD67928"/>
    <w:rsid w:val="5DE145FD"/>
    <w:rsid w:val="5E1B0B4B"/>
    <w:rsid w:val="5E287980"/>
    <w:rsid w:val="5E4B3709"/>
    <w:rsid w:val="5E525231"/>
    <w:rsid w:val="5E8472FE"/>
    <w:rsid w:val="5EC64E19"/>
    <w:rsid w:val="5ED5144F"/>
    <w:rsid w:val="5EEC0607"/>
    <w:rsid w:val="5EF96D08"/>
    <w:rsid w:val="5F266950"/>
    <w:rsid w:val="5F6B51A4"/>
    <w:rsid w:val="5F8E34E5"/>
    <w:rsid w:val="60066A9A"/>
    <w:rsid w:val="60A64894"/>
    <w:rsid w:val="60D3730C"/>
    <w:rsid w:val="60E102C1"/>
    <w:rsid w:val="61067614"/>
    <w:rsid w:val="6120140C"/>
    <w:rsid w:val="61262D0F"/>
    <w:rsid w:val="61280BDB"/>
    <w:rsid w:val="613520D4"/>
    <w:rsid w:val="616426A1"/>
    <w:rsid w:val="61C41409"/>
    <w:rsid w:val="61F424AA"/>
    <w:rsid w:val="62715800"/>
    <w:rsid w:val="627B35CE"/>
    <w:rsid w:val="629E4E86"/>
    <w:rsid w:val="62A17DFA"/>
    <w:rsid w:val="62C82302"/>
    <w:rsid w:val="62EC6198"/>
    <w:rsid w:val="630436AD"/>
    <w:rsid w:val="634E2D1B"/>
    <w:rsid w:val="63566A2B"/>
    <w:rsid w:val="636B4B11"/>
    <w:rsid w:val="638124D2"/>
    <w:rsid w:val="63A66DE8"/>
    <w:rsid w:val="6403539E"/>
    <w:rsid w:val="64043A7E"/>
    <w:rsid w:val="642304BF"/>
    <w:rsid w:val="64252C77"/>
    <w:rsid w:val="64253428"/>
    <w:rsid w:val="64474FAC"/>
    <w:rsid w:val="646E14B1"/>
    <w:rsid w:val="64B04FC0"/>
    <w:rsid w:val="6522763F"/>
    <w:rsid w:val="65464CEE"/>
    <w:rsid w:val="6548619E"/>
    <w:rsid w:val="65582C42"/>
    <w:rsid w:val="657905F9"/>
    <w:rsid w:val="65C47395"/>
    <w:rsid w:val="65D210E9"/>
    <w:rsid w:val="65F318BA"/>
    <w:rsid w:val="661F26C9"/>
    <w:rsid w:val="6620249E"/>
    <w:rsid w:val="66273FCF"/>
    <w:rsid w:val="663B4E40"/>
    <w:rsid w:val="666C76FE"/>
    <w:rsid w:val="66832D2C"/>
    <w:rsid w:val="66891537"/>
    <w:rsid w:val="66A71109"/>
    <w:rsid w:val="66CF7EB2"/>
    <w:rsid w:val="674D513B"/>
    <w:rsid w:val="6788680F"/>
    <w:rsid w:val="67CC59D6"/>
    <w:rsid w:val="67E46633"/>
    <w:rsid w:val="67F143E8"/>
    <w:rsid w:val="68015BF8"/>
    <w:rsid w:val="68176E77"/>
    <w:rsid w:val="6837097A"/>
    <w:rsid w:val="685776E6"/>
    <w:rsid w:val="685974EC"/>
    <w:rsid w:val="68686FF4"/>
    <w:rsid w:val="68966840"/>
    <w:rsid w:val="68A72F02"/>
    <w:rsid w:val="68AD4F28"/>
    <w:rsid w:val="68BA3B7B"/>
    <w:rsid w:val="68DF29EB"/>
    <w:rsid w:val="691D1214"/>
    <w:rsid w:val="69702F6D"/>
    <w:rsid w:val="69C908E1"/>
    <w:rsid w:val="69D86E8B"/>
    <w:rsid w:val="6A541948"/>
    <w:rsid w:val="6A643463"/>
    <w:rsid w:val="6A797AD4"/>
    <w:rsid w:val="6A97297F"/>
    <w:rsid w:val="6A983908"/>
    <w:rsid w:val="6AAA7CC8"/>
    <w:rsid w:val="6ACF0B94"/>
    <w:rsid w:val="6AD101E9"/>
    <w:rsid w:val="6B3D6358"/>
    <w:rsid w:val="6B5F7C7C"/>
    <w:rsid w:val="6B61569E"/>
    <w:rsid w:val="6B7E7510"/>
    <w:rsid w:val="6BA802BE"/>
    <w:rsid w:val="6BFE1CB3"/>
    <w:rsid w:val="6C151BCA"/>
    <w:rsid w:val="6C1A6F6B"/>
    <w:rsid w:val="6C2D3BD7"/>
    <w:rsid w:val="6C5F56A8"/>
    <w:rsid w:val="6C6120A9"/>
    <w:rsid w:val="6C8B0467"/>
    <w:rsid w:val="6C962C00"/>
    <w:rsid w:val="6D061E2A"/>
    <w:rsid w:val="6D186E37"/>
    <w:rsid w:val="6D483774"/>
    <w:rsid w:val="6D5F6AF1"/>
    <w:rsid w:val="6D707BA9"/>
    <w:rsid w:val="6D8D0318"/>
    <w:rsid w:val="6E407D9D"/>
    <w:rsid w:val="6E61763F"/>
    <w:rsid w:val="6E743036"/>
    <w:rsid w:val="6E85777F"/>
    <w:rsid w:val="6EAC686C"/>
    <w:rsid w:val="6ED153FA"/>
    <w:rsid w:val="6EE5616F"/>
    <w:rsid w:val="6F230A1B"/>
    <w:rsid w:val="6F54305B"/>
    <w:rsid w:val="6F6523C6"/>
    <w:rsid w:val="6F8947A5"/>
    <w:rsid w:val="6F8D0647"/>
    <w:rsid w:val="6FE237AB"/>
    <w:rsid w:val="704D5F28"/>
    <w:rsid w:val="705D4357"/>
    <w:rsid w:val="70C14DD4"/>
    <w:rsid w:val="70C45466"/>
    <w:rsid w:val="70CA7CFB"/>
    <w:rsid w:val="710D0D68"/>
    <w:rsid w:val="713F1B87"/>
    <w:rsid w:val="7140267B"/>
    <w:rsid w:val="71994FEE"/>
    <w:rsid w:val="71A71F1F"/>
    <w:rsid w:val="72092685"/>
    <w:rsid w:val="72704F10"/>
    <w:rsid w:val="72BB0D0C"/>
    <w:rsid w:val="73134194"/>
    <w:rsid w:val="732A750A"/>
    <w:rsid w:val="7358323E"/>
    <w:rsid w:val="735838D0"/>
    <w:rsid w:val="73773B2F"/>
    <w:rsid w:val="73833B4D"/>
    <w:rsid w:val="73AD22F8"/>
    <w:rsid w:val="73DF088B"/>
    <w:rsid w:val="73EC3B7D"/>
    <w:rsid w:val="740976D0"/>
    <w:rsid w:val="74251108"/>
    <w:rsid w:val="74777A6A"/>
    <w:rsid w:val="747A44A0"/>
    <w:rsid w:val="74E85D51"/>
    <w:rsid w:val="74E96A98"/>
    <w:rsid w:val="753462A4"/>
    <w:rsid w:val="753A73E9"/>
    <w:rsid w:val="755E792B"/>
    <w:rsid w:val="75701E2F"/>
    <w:rsid w:val="757D308C"/>
    <w:rsid w:val="758D59FD"/>
    <w:rsid w:val="75A63893"/>
    <w:rsid w:val="75FD6817"/>
    <w:rsid w:val="76206054"/>
    <w:rsid w:val="764471CF"/>
    <w:rsid w:val="764A5060"/>
    <w:rsid w:val="765448FD"/>
    <w:rsid w:val="76752674"/>
    <w:rsid w:val="76A03F37"/>
    <w:rsid w:val="76EE541F"/>
    <w:rsid w:val="777534EF"/>
    <w:rsid w:val="777C5714"/>
    <w:rsid w:val="7782228E"/>
    <w:rsid w:val="77856090"/>
    <w:rsid w:val="77B34464"/>
    <w:rsid w:val="77BA58D3"/>
    <w:rsid w:val="77C45E43"/>
    <w:rsid w:val="77CE00AF"/>
    <w:rsid w:val="77EC73EA"/>
    <w:rsid w:val="78122A81"/>
    <w:rsid w:val="78127BE0"/>
    <w:rsid w:val="78573BA6"/>
    <w:rsid w:val="78F21606"/>
    <w:rsid w:val="79140A19"/>
    <w:rsid w:val="794433FE"/>
    <w:rsid w:val="79567023"/>
    <w:rsid w:val="795D4D79"/>
    <w:rsid w:val="797734EB"/>
    <w:rsid w:val="799B00AD"/>
    <w:rsid w:val="79BB5611"/>
    <w:rsid w:val="79DB6F73"/>
    <w:rsid w:val="7A5639E9"/>
    <w:rsid w:val="7AB14D32"/>
    <w:rsid w:val="7ABF584C"/>
    <w:rsid w:val="7AC7503B"/>
    <w:rsid w:val="7AE82A2B"/>
    <w:rsid w:val="7AF0448B"/>
    <w:rsid w:val="7B1534E2"/>
    <w:rsid w:val="7B202F7E"/>
    <w:rsid w:val="7B4B71EC"/>
    <w:rsid w:val="7B5344E4"/>
    <w:rsid w:val="7B553073"/>
    <w:rsid w:val="7BA140DD"/>
    <w:rsid w:val="7BB64ADB"/>
    <w:rsid w:val="7BD66CE1"/>
    <w:rsid w:val="7C2B3097"/>
    <w:rsid w:val="7C38552F"/>
    <w:rsid w:val="7C6E5087"/>
    <w:rsid w:val="7C73640D"/>
    <w:rsid w:val="7CA213E1"/>
    <w:rsid w:val="7CC02ABC"/>
    <w:rsid w:val="7CCA7D32"/>
    <w:rsid w:val="7CEF24E8"/>
    <w:rsid w:val="7CF43304"/>
    <w:rsid w:val="7D030107"/>
    <w:rsid w:val="7D0E4136"/>
    <w:rsid w:val="7D334B54"/>
    <w:rsid w:val="7D631915"/>
    <w:rsid w:val="7DE76108"/>
    <w:rsid w:val="7EA22272"/>
    <w:rsid w:val="7EA90CE6"/>
    <w:rsid w:val="7EE44685"/>
    <w:rsid w:val="7EEF04B2"/>
    <w:rsid w:val="7F037C9F"/>
    <w:rsid w:val="7F0A20F8"/>
    <w:rsid w:val="7F333AC8"/>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29646</Words>
  <Characters>34084</Characters>
  <Lines>392</Lines>
  <Paragraphs>110</Paragraphs>
  <TotalTime>1</TotalTime>
  <ScaleCrop>false</ScaleCrop>
  <LinksUpToDate>false</LinksUpToDate>
  <CharactersWithSpaces>34399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1413470458</cp:lastModifiedBy>
  <cp:lastPrinted>2021-01-08T10:46:00Z</cp:lastPrinted>
  <dcterms:modified xsi:type="dcterms:W3CDTF">2022-08-18T09:55:53Z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862A5C7819714E9D881F45EF53CDDAA9</vt:lpwstr>
  </property>
</Properties>
</file>