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right"/>
        <w:rPr>
          <w:rFonts w:eastAsia="宋体"/>
          <w:b/>
          <w:sz w:val="28"/>
          <w:szCs w:val="28"/>
        </w:rPr>
      </w:pPr>
      <w:r>
        <w:rPr>
          <w:rFonts w:eastAsia="宋体"/>
          <w:b/>
          <w:sz w:val="28"/>
          <w:szCs w:val="28"/>
        </w:rPr>
        <w:t>风险评估编号：</w:t>
      </w:r>
      <w:r>
        <w:rPr>
          <w:rFonts w:hint="eastAsia" w:eastAsia="宋体"/>
          <w:b/>
          <w:sz w:val="28"/>
          <w:szCs w:val="28"/>
          <w:lang w:val="en-US" w:eastAsia="zh-CN"/>
        </w:rPr>
        <w:t>JJF</w:t>
      </w:r>
      <w:r>
        <w:rPr>
          <w:rFonts w:hint="eastAsia" w:eastAsia="宋体"/>
          <w:b/>
          <w:sz w:val="28"/>
          <w:szCs w:val="28"/>
        </w:rPr>
        <w:t>JJ</w:t>
      </w:r>
      <w:r>
        <w:rPr>
          <w:rFonts w:eastAsia="宋体"/>
          <w:b/>
          <w:sz w:val="28"/>
          <w:szCs w:val="28"/>
        </w:rPr>
        <w:t>--FXPG</w:t>
      </w:r>
    </w:p>
    <w:p>
      <w:pPr>
        <w:adjustRightInd w:val="0"/>
        <w:snapToGrid w:val="0"/>
        <w:spacing w:line="500" w:lineRule="exact"/>
        <w:jc w:val="right"/>
        <w:rPr>
          <w:rFonts w:eastAsia="宋体"/>
          <w:sz w:val="28"/>
          <w:szCs w:val="28"/>
        </w:rPr>
      </w:pPr>
      <w:r>
        <w:rPr>
          <w:rFonts w:eastAsia="宋体"/>
          <w:b/>
          <w:sz w:val="28"/>
          <w:szCs w:val="28"/>
        </w:rPr>
        <w:t>风险评估版本号：202</w:t>
      </w:r>
      <w:r>
        <w:rPr>
          <w:rFonts w:hint="eastAsia" w:eastAsia="宋体"/>
          <w:b/>
          <w:sz w:val="28"/>
          <w:szCs w:val="28"/>
        </w:rPr>
        <w:t>2</w:t>
      </w:r>
      <w:r>
        <w:rPr>
          <w:rFonts w:eastAsia="宋体"/>
          <w:b/>
          <w:sz w:val="28"/>
          <w:szCs w:val="28"/>
        </w:rPr>
        <w:t>年</w:t>
      </w:r>
      <w:r>
        <w:rPr>
          <w:rFonts w:hint="eastAsia" w:eastAsia="宋体"/>
          <w:bCs/>
          <w:sz w:val="28"/>
          <w:szCs w:val="28"/>
        </w:rPr>
        <w:t xml:space="preserve"> </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line="360" w:lineRule="auto"/>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家得福家具海安有限公司</w:t>
      </w:r>
    </w:p>
    <w:p>
      <w:pPr>
        <w:adjustRightInd w:val="0"/>
        <w:snapToGrid w:val="0"/>
        <w:spacing w:line="360" w:lineRule="auto"/>
        <w:jc w:val="center"/>
        <w:rPr>
          <w:rFonts w:ascii="宋体" w:hAnsi="宋体" w:eastAsia="宋体" w:cs="宋体"/>
          <w:sz w:val="44"/>
          <w:szCs w:val="44"/>
        </w:rPr>
      </w:pPr>
      <w:r>
        <w:rPr>
          <w:rFonts w:hint="eastAsia" w:ascii="宋体" w:hAnsi="宋体" w:eastAsia="宋体" w:cs="宋体"/>
          <w:b/>
          <w:sz w:val="52"/>
          <w:szCs w:val="52"/>
        </w:rPr>
        <w:t>突发环境事件风险评估报告</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pStyle w:val="13"/>
      </w:pPr>
    </w:p>
    <w:p>
      <w:pPr>
        <w:pStyle w:val="13"/>
        <w:rPr>
          <w:rFonts w:eastAsia="仿宋"/>
          <w:b/>
          <w:sz w:val="28"/>
        </w:rPr>
      </w:pPr>
    </w:p>
    <w:p>
      <w:pPr>
        <w:pStyle w:val="13"/>
        <w:rPr>
          <w:rFonts w:eastAsia="仿宋"/>
          <w:b/>
          <w:sz w:val="28"/>
        </w:rPr>
      </w:pPr>
    </w:p>
    <w:p>
      <w:pPr>
        <w:autoSpaceDE w:val="0"/>
        <w:autoSpaceDN w:val="0"/>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rPr>
        <w:t>编制单位：</w:t>
      </w:r>
      <w:r>
        <w:rPr>
          <w:rFonts w:hint="eastAsia" w:ascii="宋体" w:hAnsi="宋体" w:eastAsia="宋体" w:cs="宋体"/>
          <w:b/>
          <w:bCs/>
          <w:sz w:val="32"/>
          <w:szCs w:val="32"/>
          <w:lang w:eastAsia="zh-CN"/>
        </w:rPr>
        <w:t>家得福家具海安有限公司</w:t>
      </w:r>
    </w:p>
    <w:p>
      <w:pPr>
        <w:pStyle w:val="13"/>
        <w:autoSpaceDE w:val="0"/>
        <w:autoSpaceDN w:val="0"/>
        <w:spacing w:before="11" w:line="360" w:lineRule="auto"/>
        <w:jc w:val="center"/>
        <w:rPr>
          <w:rFonts w:ascii="宋体" w:hAnsi="宋体" w:eastAsia="宋体" w:cs="宋体"/>
          <w:b/>
          <w:bCs/>
          <w:sz w:val="32"/>
          <w:szCs w:val="32"/>
          <w:lang w:bidi="zh-CN"/>
        </w:rPr>
      </w:pPr>
      <w:r>
        <w:rPr>
          <w:rFonts w:hint="eastAsia" w:ascii="宋体" w:hAnsi="宋体" w:eastAsia="宋体" w:cs="宋体"/>
          <w:b/>
          <w:bCs/>
          <w:sz w:val="32"/>
          <w:szCs w:val="32"/>
          <w:lang w:bidi="zh-CN"/>
        </w:rPr>
        <w:t>技术协助单位：南通久蓝环保科技有限公司</w:t>
      </w:r>
    </w:p>
    <w:p>
      <w:pPr>
        <w:ind w:left="835" w:right="995"/>
        <w:jc w:val="center"/>
        <w:rPr>
          <w:rFonts w:eastAsia="宋体"/>
          <w:b/>
          <w:bCs/>
          <w:sz w:val="32"/>
          <w:szCs w:val="32"/>
        </w:rPr>
      </w:pPr>
      <w:r>
        <w:rPr>
          <w:rFonts w:eastAsia="宋体"/>
          <w:b/>
          <w:bCs/>
          <w:sz w:val="32"/>
          <w:szCs w:val="32"/>
          <w:lang w:val="zh-CN" w:bidi="zh-CN"/>
        </w:rPr>
        <w:t>202</w:t>
      </w:r>
      <w:r>
        <w:rPr>
          <w:rFonts w:eastAsia="宋体"/>
          <w:b/>
          <w:bCs/>
          <w:sz w:val="32"/>
          <w:szCs w:val="32"/>
          <w:lang w:bidi="zh-CN"/>
        </w:rPr>
        <w:t>2</w:t>
      </w:r>
      <w:r>
        <w:rPr>
          <w:rFonts w:eastAsia="宋体"/>
          <w:b/>
          <w:bCs/>
          <w:sz w:val="32"/>
          <w:szCs w:val="32"/>
          <w:lang w:val="zh-CN" w:bidi="zh-CN"/>
        </w:rPr>
        <w:t>年</w:t>
      </w:r>
      <w:r>
        <w:rPr>
          <w:rFonts w:hint="eastAsia" w:eastAsia="宋体"/>
          <w:b/>
          <w:bCs/>
          <w:sz w:val="32"/>
          <w:szCs w:val="32"/>
          <w:lang w:val="en-US" w:bidi="zh-CN"/>
        </w:rPr>
        <w:t>10</w:t>
      </w:r>
      <w:r>
        <w:rPr>
          <w:rFonts w:eastAsia="宋体"/>
          <w:b/>
          <w:bCs/>
          <w:sz w:val="32"/>
          <w:szCs w:val="32"/>
          <w:lang w:val="zh-CN" w:bidi="zh-CN"/>
        </w:rPr>
        <w:t>月</w:t>
      </w:r>
    </w:p>
    <w:p/>
    <w:p/>
    <w:p>
      <w:pPr>
        <w:adjustRightInd w:val="0"/>
        <w:snapToGrid w:val="0"/>
        <w:spacing w:before="120" w:beforeLines="50" w:after="120" w:afterLines="50" w:line="360" w:lineRule="auto"/>
        <w:ind w:firstLine="482"/>
        <w:jc w:val="center"/>
        <w:rPr>
          <w:rFonts w:eastAsia="仿宋"/>
          <w:b/>
        </w:rPr>
      </w:pPr>
    </w:p>
    <w:p>
      <w:pPr>
        <w:pStyle w:val="13"/>
        <w:sectPr>
          <w:headerReference r:id="rId5" w:type="first"/>
          <w:headerReference r:id="rId3" w:type="default"/>
          <w:headerReference r:id="rId4" w:type="even"/>
          <w:footerReference r:id="rId6" w:type="even"/>
          <w:pgSz w:w="11906" w:h="16838"/>
          <w:pgMar w:top="1440" w:right="1440" w:bottom="1440" w:left="1440" w:header="851" w:footer="992" w:gutter="0"/>
          <w:pgNumType w:start="1"/>
          <w:cols w:space="720" w:num="1"/>
          <w:titlePg/>
          <w:docGrid w:linePitch="312" w:charSpace="0"/>
        </w:sectPr>
      </w:pPr>
    </w:p>
    <w:p>
      <w:pPr>
        <w:adjustRightInd w:val="0"/>
        <w:snapToGrid w:val="0"/>
        <w:spacing w:line="360" w:lineRule="auto"/>
        <w:jc w:val="center"/>
        <w:rPr>
          <w:rFonts w:ascii="宋体" w:hAnsi="宋体" w:eastAsia="宋体" w:cs="宋体"/>
          <w:sz w:val="44"/>
          <w:szCs w:val="44"/>
        </w:rPr>
      </w:pPr>
      <w:r>
        <w:rPr>
          <w:rFonts w:hint="eastAsia" w:ascii="宋体" w:hAnsi="宋体" w:eastAsia="宋体" w:cs="宋体"/>
          <w:b/>
          <w:sz w:val="44"/>
          <w:szCs w:val="44"/>
        </w:rPr>
        <w:t>目  录</w:t>
      </w:r>
    </w:p>
    <w:p>
      <w:pPr>
        <w:pStyle w:val="25"/>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62428693"/>
      <w:bookmarkStart w:id="2" w:name="_Toc142238908"/>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_Toc14114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 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_Toc14114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_Toc6172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 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_Toc6172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 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_Toc24168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 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_Toc24168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_Toc17579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 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_Toc17579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 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 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 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_Toc4975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 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_Toc4383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 环境风险评估的一般要求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_Toc4383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 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_Toc489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 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_Toc4446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 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_Toc4446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_Toc23827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_Toc23827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_Toc21080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_Toc6990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_Toc28750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 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_Toc28750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_Toc28932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_Toc28932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3.2.3生态环境保护目标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_Toc7070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3.2.4土壤环境敏感度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_Toc7070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_Toc16295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_Toc15650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_Toc15650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 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_Toc24544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_Toc24134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 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_Toc24134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_Toc18085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3.5.1 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_Toc18085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3.5.2 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_Toc23680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3.5.3 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3.5.4公用辅助工程情况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3.5.5 “三废”排放及处理情况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_Toc23740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_Toc16315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_Toc16315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_Toc22281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_Toc22281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_Toc22123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 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_Toc22123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_Toc13776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_Toc13776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_Toc14002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_Toc14002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_Toc28616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_Toc28616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_Toc1667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_Toc10554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 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_Toc10554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_Toc14852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 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_Toc14852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 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_Toc10397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_Toc10397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_Toc18452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_Toc18452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 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_Toc10865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_Toc18972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_Toc18972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_Toc19933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_Toc19933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_Toc5392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 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_Toc5392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_Toc24961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_Toc19761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_Toc24446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 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_Toc24446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_Toc7996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 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_Toc7996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_Toc5822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 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_Toc5822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_Toc31733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 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_Toc31733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 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_Toc22853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 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_Toc4096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 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_Toc4096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_Toc8362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 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_Toc8362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 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_Toc22418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 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_Toc22418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_Toc23014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 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_Toc23014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_Toc14978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 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_Toc14978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_Toc8209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 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_Toc8209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_Toc24236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7.1.3 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_Toc24236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7.1.4 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7.1.5 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_Toc7690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_Toc23797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 企业突发水环境事件风险等级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_Toc23797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_Toc14282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7.2.1 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_Toc14282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_Toc30523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7.2.2 生产工艺过程与水环境风险控制水平（M）评估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_Toc30523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_Toc17676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7.2.3 水环境风险受体敏感程度（E）评估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_Toc17676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7.2.4 突发水环境事件风险等级确定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7.2.5 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_Toc11428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 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5"/>
        <w:tabs>
          <w:tab w:val="left" w:pos="420"/>
          <w:tab w:val="right" w:pos="9120"/>
        </w:tabs>
        <w:adjustRightInd w:val="0"/>
        <w:snapToGrid w:val="0"/>
        <w:spacing w:before="0" w:after="0" w:line="360" w:lineRule="exact"/>
        <w:rPr>
          <w:rFonts w:hint="default" w:ascii="Times New Roman" w:hAnsi="Times New Roman" w:eastAsia="宋体" w:cs="Times New Roman"/>
          <w:i w:val="0"/>
          <w:iCs w:val="0"/>
          <w:sz w:val="24"/>
          <w:szCs w:val="24"/>
        </w:rPr>
        <w:sectPr>
          <w:headerReference r:id="rId7" w:type="default"/>
          <w:pgSz w:w="11906" w:h="16838"/>
          <w:pgMar w:top="1440" w:right="1440" w:bottom="1440" w:left="1440" w:header="851" w:footer="992" w:gutter="0"/>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pPr>
        <w:pStyle w:val="3"/>
        <w:adjustRightInd w:val="0"/>
        <w:snapToGrid w:val="0"/>
        <w:spacing w:line="500" w:lineRule="exact"/>
        <w:rPr>
          <w:rFonts w:ascii="宋体" w:hAnsi="宋体" w:eastAsia="宋体" w:cs="宋体"/>
          <w:sz w:val="24"/>
          <w:szCs w:val="24"/>
        </w:rPr>
      </w:pPr>
      <w:bookmarkStart w:id="3" w:name="_Toc26756"/>
      <w:bookmarkStart w:id="4" w:name="_Toc21200"/>
      <w:bookmarkStart w:id="5" w:name="_Toc7714"/>
      <w:bookmarkStart w:id="6" w:name="_Toc14114"/>
      <w:r>
        <w:rPr>
          <w:rFonts w:hint="eastAsia" w:ascii="宋体" w:hAnsi="宋体" w:eastAsia="宋体" w:cs="宋体"/>
          <w:sz w:val="24"/>
          <w:szCs w:val="24"/>
        </w:rPr>
        <w:t>1 前言</w:t>
      </w:r>
      <w:bookmarkEnd w:id="0"/>
      <w:bookmarkEnd w:id="3"/>
      <w:bookmarkEnd w:id="4"/>
      <w:bookmarkEnd w:id="5"/>
      <w:bookmarkEnd w:id="6"/>
    </w:p>
    <w:p>
      <w:pPr>
        <w:widowControl/>
        <w:snapToGrid w:val="0"/>
        <w:spacing w:line="500" w:lineRule="exact"/>
        <w:ind w:firstLine="480" w:firstLineChars="200"/>
        <w:jc w:val="left"/>
        <w:rPr>
          <w:rFonts w:ascii="宋体" w:hAnsi="宋体" w:eastAsia="宋体" w:cs="宋体"/>
          <w:bCs/>
        </w:rPr>
      </w:pPr>
      <w:r>
        <w:rPr>
          <w:rFonts w:hint="eastAsia" w:ascii="宋体" w:hAnsi="宋体" w:eastAsia="宋体" w:cs="宋体"/>
          <w:bCs/>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pPr>
        <w:widowControl/>
        <w:snapToGrid w:val="0"/>
        <w:spacing w:line="500" w:lineRule="exact"/>
        <w:ind w:firstLine="480" w:firstLineChars="200"/>
        <w:jc w:val="left"/>
        <w:rPr>
          <w:rFonts w:ascii="宋体" w:hAnsi="宋体" w:eastAsia="宋体" w:cs="宋体"/>
          <w:bCs/>
        </w:rPr>
      </w:pPr>
      <w:r>
        <w:rPr>
          <w:rFonts w:hint="eastAsia" w:ascii="宋体" w:hAnsi="宋体" w:eastAsia="宋体" w:cs="宋体"/>
          <w:bCs/>
        </w:rPr>
        <w:t>环境风险达到一定程度会很容易造成突发性的环境事件，致使环境受到污染，生态系统受到干扰，人体健康受到危害，社会财富受到损失，并造成不良社会影响。</w:t>
      </w:r>
    </w:p>
    <w:p>
      <w:pPr>
        <w:widowControl/>
        <w:snapToGrid w:val="0"/>
        <w:spacing w:line="500" w:lineRule="exact"/>
        <w:ind w:firstLine="480" w:firstLineChars="200"/>
        <w:jc w:val="left"/>
        <w:rPr>
          <w:rFonts w:ascii="宋体" w:hAnsi="宋体" w:eastAsia="宋体" w:cs="宋体"/>
          <w:kern w:val="0"/>
          <w:szCs w:val="28"/>
        </w:rPr>
      </w:pPr>
      <w:r>
        <w:rPr>
          <w:rFonts w:hint="eastAsia" w:ascii="宋体" w:hAnsi="宋体" w:eastAsia="宋体" w:cs="宋体"/>
          <w:bCs/>
        </w:rPr>
        <w:t>企业存贮使用化学物质、生产工艺落后、生产设备陈旧、生产管理上的不科学性、不合理性以及化学物质未能规范安全储运等都会增加企业的环境风险概率，从而导致环境事故的发生。</w:t>
      </w:r>
    </w:p>
    <w:p>
      <w:pPr>
        <w:widowControl/>
        <w:adjustRightInd w:val="0"/>
        <w:snapToGrid w:val="0"/>
        <w:spacing w:line="500" w:lineRule="exact"/>
        <w:ind w:firstLine="480" w:firstLineChars="200"/>
        <w:rPr>
          <w:rFonts w:eastAsiaTheme="minorEastAsia"/>
          <w:kern w:val="0"/>
        </w:rPr>
      </w:pPr>
      <w:r>
        <w:rPr>
          <w:rFonts w:hint="eastAsia" w:ascii="宋体" w:hAnsi="宋体" w:eastAsia="宋体" w:cs="宋体"/>
          <w:kern w:val="0"/>
          <w:szCs w:val="28"/>
          <w:lang w:eastAsia="zh-CN"/>
        </w:rPr>
        <w:t>家得福家具海安有限公司</w:t>
      </w:r>
      <w:r>
        <w:rPr>
          <w:rFonts w:hint="eastAsia" w:ascii="宋体" w:hAnsi="宋体" w:eastAsia="宋体" w:cs="宋体"/>
          <w:kern w:val="0"/>
          <w:szCs w:val="28"/>
        </w:rPr>
        <w:t>（以下简称“</w:t>
      </w:r>
      <w:r>
        <w:rPr>
          <w:rFonts w:hint="eastAsia" w:ascii="宋体" w:hAnsi="宋体" w:eastAsia="宋体" w:cs="宋体"/>
          <w:kern w:val="0"/>
          <w:szCs w:val="28"/>
          <w:lang w:eastAsia="zh-CN"/>
        </w:rPr>
        <w:t>家得福家具</w:t>
      </w:r>
      <w:r>
        <w:rPr>
          <w:rFonts w:hint="eastAsia" w:ascii="宋体" w:hAnsi="宋体" w:eastAsia="宋体" w:cs="宋体"/>
          <w:kern w:val="0"/>
          <w:szCs w:val="28"/>
        </w:rPr>
        <w:t>”）成立于</w:t>
      </w:r>
      <w:r>
        <w:rPr>
          <w:rFonts w:ascii="Times New Roman" w:hAnsi="Times New Roman" w:cs="Times New Roman" w:eastAsiaTheme="minorEastAsia"/>
          <w:kern w:val="0"/>
          <w:sz w:val="24"/>
          <w:szCs w:val="24"/>
        </w:rPr>
        <w:t>20</w:t>
      </w:r>
      <w:r>
        <w:rPr>
          <w:rFonts w:hint="eastAsia"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lang w:val="en-US" w:eastAsia="zh-CN"/>
        </w:rPr>
        <w:t>9</w:t>
      </w:r>
      <w:r>
        <w:rPr>
          <w:rFonts w:ascii="Times New Roman" w:hAnsi="Times New Roman" w:cs="Times New Roman" w:eastAsiaTheme="minorEastAsia"/>
          <w:kern w:val="0"/>
          <w:sz w:val="24"/>
          <w:szCs w:val="24"/>
        </w:rPr>
        <w:t>年</w:t>
      </w:r>
      <w:r>
        <w:rPr>
          <w:rFonts w:hint="eastAsia" w:ascii="Times New Roman" w:hAnsi="Times New Roman" w:cs="Times New Roman" w:eastAsiaTheme="minorEastAsia"/>
          <w:kern w:val="0"/>
          <w:sz w:val="24"/>
          <w:szCs w:val="24"/>
          <w:lang w:val="en-US" w:eastAsia="zh-CN"/>
        </w:rPr>
        <w:t>6</w:t>
      </w:r>
      <w:r>
        <w:rPr>
          <w:rFonts w:ascii="Times New Roman" w:hAnsi="Times New Roman" w:cs="Times New Roman" w:eastAsiaTheme="minorEastAsia"/>
          <w:kern w:val="0"/>
          <w:sz w:val="24"/>
          <w:szCs w:val="24"/>
        </w:rPr>
        <w:t>月</w:t>
      </w:r>
      <w:r>
        <w:rPr>
          <w:rFonts w:hint="eastAsia"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lang w:val="en-US" w:eastAsia="zh-CN"/>
        </w:rPr>
        <w:t>0</w:t>
      </w:r>
      <w:r>
        <w:rPr>
          <w:rFonts w:hint="eastAsia" w:ascii="Times New Roman" w:hAnsi="Times New Roman" w:cs="Times New Roman" w:eastAsiaTheme="minorEastAsia"/>
          <w:kern w:val="0"/>
          <w:sz w:val="24"/>
          <w:szCs w:val="24"/>
        </w:rPr>
        <w:t>日</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总投资</w:t>
      </w:r>
      <w:r>
        <w:rPr>
          <w:rFonts w:hint="eastAsia" w:ascii="Times New Roman" w:hAnsi="Times New Roman" w:cs="Times New Roman" w:eastAsiaTheme="minorEastAsia"/>
          <w:kern w:val="0"/>
          <w:sz w:val="24"/>
          <w:szCs w:val="24"/>
          <w:lang w:val="en-US" w:eastAsia="zh-CN"/>
        </w:rPr>
        <w:t>45</w:t>
      </w:r>
      <w:r>
        <w:rPr>
          <w:rFonts w:hint="eastAsia" w:ascii="Times New Roman" w:hAnsi="Times New Roman" w:cs="Times New Roman" w:eastAsiaTheme="minorEastAsia"/>
          <w:kern w:val="0"/>
          <w:sz w:val="24"/>
          <w:szCs w:val="24"/>
        </w:rPr>
        <w:t>00</w:t>
      </w:r>
      <w:r>
        <w:rPr>
          <w:rFonts w:ascii="Times New Roman" w:hAnsi="Times New Roman" w:cs="Times New Roman" w:eastAsiaTheme="minorEastAsia"/>
          <w:kern w:val="0"/>
          <w:sz w:val="24"/>
          <w:szCs w:val="24"/>
        </w:rPr>
        <w:t>万元，位于</w:t>
      </w:r>
      <w:r>
        <w:rPr>
          <w:rFonts w:hint="eastAsia" w:ascii="Times New Roman" w:hAnsi="Times New Roman" w:cs="Times New Roman" w:eastAsiaTheme="minorEastAsia"/>
          <w:kern w:val="0"/>
          <w:sz w:val="24"/>
          <w:szCs w:val="24"/>
        </w:rPr>
        <w:t>海安市经济技术开发区</w:t>
      </w:r>
      <w:r>
        <w:rPr>
          <w:rFonts w:hint="eastAsia" w:ascii="Times New Roman" w:hAnsi="Times New Roman" w:cs="Times New Roman" w:eastAsiaTheme="minorEastAsia"/>
          <w:kern w:val="0"/>
          <w:sz w:val="24"/>
          <w:szCs w:val="24"/>
          <w:lang w:eastAsia="zh-CN"/>
        </w:rPr>
        <w:t>桃源路26号</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占地</w:t>
      </w:r>
      <w:r>
        <w:rPr>
          <w:rFonts w:ascii="Times New Roman" w:hAnsi="Times New Roman" w:cs="Times New Roman" w:eastAsiaTheme="minorEastAsia"/>
          <w:kern w:val="0"/>
          <w:sz w:val="24"/>
          <w:szCs w:val="24"/>
        </w:rPr>
        <w:t>面积</w:t>
      </w:r>
      <w:r>
        <w:rPr>
          <w:rFonts w:hint="eastAsia" w:ascii="Times New Roman" w:hAnsi="Times New Roman" w:cs="Times New Roman" w:eastAsiaTheme="minorEastAsia"/>
          <w:kern w:val="0"/>
          <w:sz w:val="24"/>
          <w:szCs w:val="24"/>
          <w:highlight w:val="none"/>
          <w:lang w:eastAsia="zh-CN"/>
        </w:rPr>
        <w:t>9</w:t>
      </w:r>
      <w:r>
        <w:rPr>
          <w:rFonts w:hint="eastAsia" w:ascii="Times New Roman" w:hAnsi="Times New Roman" w:cs="Times New Roman" w:eastAsiaTheme="minorEastAsia"/>
          <w:kern w:val="0"/>
          <w:sz w:val="24"/>
          <w:szCs w:val="24"/>
          <w:highlight w:val="none"/>
          <w:lang w:val="en-US" w:eastAsia="zh-CN"/>
        </w:rPr>
        <w:t>740</w:t>
      </w:r>
      <w:r>
        <w:rPr>
          <w:rFonts w:ascii="Times New Roman" w:hAnsi="Times New Roman" w:cs="Times New Roman" w:eastAsiaTheme="minorEastAsia"/>
          <w:kern w:val="0"/>
          <w:sz w:val="24"/>
          <w:szCs w:val="24"/>
          <w:highlight w:val="none"/>
        </w:rPr>
        <w:t>平方米</w:t>
      </w:r>
      <w:r>
        <w:rPr>
          <w:rFonts w:hint="eastAsia" w:ascii="Times New Roman" w:hAnsi="Times New Roman" w:cs="Times New Roman" w:eastAsiaTheme="minorEastAsia"/>
          <w:kern w:val="0"/>
          <w:sz w:val="24"/>
          <w:szCs w:val="24"/>
          <w:highlight w:val="none"/>
        </w:rPr>
        <w:t>，建筑面积</w:t>
      </w:r>
      <w:r>
        <w:rPr>
          <w:rFonts w:hint="eastAsia" w:ascii="Times New Roman" w:hAnsi="Times New Roman" w:cs="Times New Roman" w:eastAsiaTheme="minorEastAsia"/>
          <w:kern w:val="0"/>
          <w:sz w:val="24"/>
          <w:szCs w:val="24"/>
          <w:highlight w:val="none"/>
          <w:lang w:eastAsia="zh-CN"/>
        </w:rPr>
        <w:t>1</w:t>
      </w:r>
      <w:r>
        <w:rPr>
          <w:rFonts w:hint="eastAsia" w:ascii="Times New Roman" w:hAnsi="Times New Roman" w:cs="Times New Roman" w:eastAsiaTheme="minorEastAsia"/>
          <w:kern w:val="0"/>
          <w:sz w:val="24"/>
          <w:szCs w:val="24"/>
          <w:highlight w:val="none"/>
          <w:lang w:val="en-US" w:eastAsia="zh-CN"/>
        </w:rPr>
        <w:t>8898.35</w:t>
      </w:r>
      <w:r>
        <w:rPr>
          <w:rFonts w:hint="eastAsia" w:ascii="Times New Roman" w:hAnsi="Times New Roman" w:cs="Times New Roman" w:eastAsiaTheme="minorEastAsia"/>
          <w:kern w:val="0"/>
          <w:sz w:val="24"/>
          <w:szCs w:val="24"/>
          <w:highlight w:val="none"/>
        </w:rPr>
        <w:t>平方</w:t>
      </w:r>
      <w:r>
        <w:rPr>
          <w:rFonts w:hint="eastAsia" w:ascii="Times New Roman" w:hAnsi="Times New Roman" w:cs="Times New Roman" w:eastAsiaTheme="minorEastAsia"/>
          <w:kern w:val="0"/>
          <w:sz w:val="24"/>
          <w:szCs w:val="24"/>
        </w:rPr>
        <w:t>米，从事</w:t>
      </w:r>
      <w:r>
        <w:rPr>
          <w:rFonts w:hint="eastAsia" w:ascii="Times New Roman" w:hAnsi="Times New Roman" w:cs="Times New Roman" w:eastAsiaTheme="minorEastAsia"/>
          <w:kern w:val="0"/>
          <w:sz w:val="24"/>
          <w:szCs w:val="24"/>
          <w:lang w:val="en-US" w:eastAsia="zh-CN"/>
        </w:rPr>
        <w:t>家具、木制品等生产</w:t>
      </w:r>
      <w:r>
        <w:rPr>
          <w:rFonts w:hint="eastAsia" w:ascii="Times New Roman" w:hAnsi="Times New Roman" w:cs="Times New Roman" w:eastAsiaTheme="minorEastAsia"/>
          <w:kern w:val="0"/>
          <w:sz w:val="24"/>
          <w:szCs w:val="24"/>
          <w:lang w:eastAsia="zh-CN"/>
        </w:rPr>
        <w:t>制造</w:t>
      </w:r>
      <w:r>
        <w:rPr>
          <w:rFonts w:hint="eastAsia" w:ascii="Times New Roman" w:hAnsi="Times New Roman" w:cs="Times New Roman" w:eastAsiaTheme="minorEastAsia"/>
          <w:kern w:val="0"/>
          <w:sz w:val="24"/>
          <w:szCs w:val="24"/>
        </w:rPr>
        <w:t>。</w:t>
      </w:r>
      <w:bookmarkStart w:id="7" w:name="_Hlk51407346"/>
      <w:r>
        <w:rPr>
          <w:rFonts w:hint="eastAsia" w:eastAsiaTheme="minorEastAsia"/>
          <w:kern w:val="0"/>
          <w:lang w:eastAsia="zh-CN"/>
        </w:rPr>
        <w:t>家得福家具</w:t>
      </w:r>
      <w:r>
        <w:rPr>
          <w:rFonts w:hint="eastAsia" w:eastAsiaTheme="minorEastAsia"/>
          <w:kern w:val="0"/>
        </w:rPr>
        <w:t>于</w:t>
      </w:r>
      <w:r>
        <w:rPr>
          <w:rFonts w:eastAsiaTheme="minorEastAsia"/>
          <w:kern w:val="0"/>
        </w:rPr>
        <w:t>20</w:t>
      </w:r>
      <w:r>
        <w:rPr>
          <w:rFonts w:hint="eastAsia" w:eastAsiaTheme="minorEastAsia"/>
          <w:kern w:val="0"/>
        </w:rPr>
        <w:t>21</w:t>
      </w:r>
      <w:r>
        <w:rPr>
          <w:rFonts w:eastAsiaTheme="minorEastAsia"/>
          <w:kern w:val="0"/>
        </w:rPr>
        <w:t>年</w:t>
      </w:r>
      <w:r>
        <w:rPr>
          <w:rFonts w:hint="eastAsia" w:eastAsiaTheme="minorEastAsia"/>
          <w:kern w:val="0"/>
        </w:rPr>
        <w:t>12</w:t>
      </w:r>
      <w:r>
        <w:rPr>
          <w:rFonts w:eastAsiaTheme="minorEastAsia"/>
          <w:kern w:val="0"/>
        </w:rPr>
        <w:t>月委托南京博环环保有限公司编制《</w:t>
      </w:r>
      <w:r>
        <w:rPr>
          <w:rFonts w:hint="eastAsia" w:ascii="Times New Roman" w:hAnsi="Times New Roman" w:cs="Times New Roman" w:eastAsiaTheme="minorEastAsia"/>
          <w:kern w:val="0"/>
          <w:sz w:val="24"/>
          <w:szCs w:val="24"/>
          <w:lang w:eastAsia="zh-CN"/>
        </w:rPr>
        <w:t>家得福家具海安有限公司木制床柜家具制造项目</w:t>
      </w:r>
      <w:r>
        <w:rPr>
          <w:rFonts w:eastAsiaTheme="minorEastAsia"/>
          <w:kern w:val="0"/>
        </w:rPr>
        <w:t>环境影响报告表》，于20</w:t>
      </w:r>
      <w:r>
        <w:rPr>
          <w:rFonts w:hint="eastAsia" w:eastAsiaTheme="minorEastAsia"/>
          <w:kern w:val="0"/>
        </w:rPr>
        <w:t>22</w:t>
      </w:r>
      <w:r>
        <w:rPr>
          <w:rFonts w:eastAsiaTheme="minorEastAsia"/>
          <w:kern w:val="0"/>
        </w:rPr>
        <w:t>年</w:t>
      </w:r>
      <w:r>
        <w:rPr>
          <w:rFonts w:hint="eastAsia" w:eastAsiaTheme="minorEastAsia"/>
          <w:kern w:val="0"/>
        </w:rPr>
        <w:t>3</w:t>
      </w:r>
      <w:r>
        <w:rPr>
          <w:rFonts w:eastAsiaTheme="minorEastAsia"/>
          <w:kern w:val="0"/>
        </w:rPr>
        <w:t>月</w:t>
      </w:r>
      <w:r>
        <w:rPr>
          <w:rFonts w:hint="eastAsia" w:eastAsiaTheme="minorEastAsia"/>
          <w:kern w:val="0"/>
        </w:rPr>
        <w:t>1</w:t>
      </w:r>
      <w:r>
        <w:rPr>
          <w:rFonts w:hint="eastAsia" w:eastAsiaTheme="minorEastAsia"/>
          <w:kern w:val="0"/>
          <w:lang w:val="en-US" w:eastAsia="zh-CN"/>
        </w:rPr>
        <w:t>0</w:t>
      </w:r>
      <w:r>
        <w:rPr>
          <w:rFonts w:eastAsiaTheme="minorEastAsia"/>
          <w:kern w:val="0"/>
        </w:rPr>
        <w:t>日获得海安经济技术开发区行政审批局审批（海</w:t>
      </w:r>
      <w:r>
        <w:rPr>
          <w:rFonts w:hint="eastAsia" w:eastAsiaTheme="minorEastAsia"/>
          <w:kern w:val="0"/>
        </w:rPr>
        <w:t>开行审</w:t>
      </w:r>
      <w:r>
        <w:rPr>
          <w:rFonts w:eastAsiaTheme="minorEastAsia"/>
          <w:kern w:val="0"/>
        </w:rPr>
        <w:t>〔20</w:t>
      </w:r>
      <w:r>
        <w:rPr>
          <w:rFonts w:hint="eastAsia" w:eastAsiaTheme="minorEastAsia"/>
          <w:kern w:val="0"/>
        </w:rPr>
        <w:t>22</w:t>
      </w:r>
      <w:r>
        <w:rPr>
          <w:rFonts w:eastAsiaTheme="minorEastAsia"/>
          <w:kern w:val="0"/>
        </w:rPr>
        <w:t>〕</w:t>
      </w:r>
      <w:r>
        <w:rPr>
          <w:rFonts w:hint="eastAsia" w:eastAsiaTheme="minorEastAsia"/>
          <w:kern w:val="0"/>
          <w:lang w:val="en-US" w:eastAsia="zh-CN"/>
        </w:rPr>
        <w:t>27</w:t>
      </w:r>
      <w:r>
        <w:rPr>
          <w:rFonts w:eastAsiaTheme="minorEastAsia"/>
          <w:kern w:val="0"/>
        </w:rPr>
        <w:t>号）。</w:t>
      </w:r>
    </w:p>
    <w:p>
      <w:pPr>
        <w:widowControl/>
        <w:adjustRightInd w:val="0"/>
        <w:snapToGrid w:val="0"/>
        <w:spacing w:line="500" w:lineRule="exact"/>
        <w:ind w:firstLine="480" w:firstLineChars="200"/>
        <w:rPr>
          <w:rFonts w:eastAsia="宋体"/>
        </w:rPr>
      </w:pPr>
      <w:r>
        <w:rPr>
          <w:rFonts w:hint="eastAsia" w:eastAsiaTheme="minorEastAsia"/>
          <w:kern w:val="0"/>
          <w:lang w:eastAsia="zh-CN"/>
        </w:rPr>
        <w:t>家得福家具</w:t>
      </w:r>
      <w:r>
        <w:rPr>
          <w:rFonts w:hint="eastAsia" w:eastAsiaTheme="minorEastAsia"/>
          <w:kern w:val="0"/>
        </w:rPr>
        <w:t>现年产</w:t>
      </w:r>
      <w:r>
        <w:rPr>
          <w:rFonts w:hint="eastAsia" w:eastAsiaTheme="minorEastAsia"/>
          <w:kern w:val="0"/>
          <w:lang w:val="en-US" w:eastAsia="zh-CN"/>
        </w:rPr>
        <w:t>实木床15000套、木柜20000个</w:t>
      </w:r>
      <w:r>
        <w:rPr>
          <w:rFonts w:hint="eastAsia" w:eastAsiaTheme="minorEastAsia"/>
          <w:kern w:val="0"/>
        </w:rPr>
        <w:t>。</w:t>
      </w:r>
      <w:r>
        <w:rPr>
          <w:rFonts w:eastAsiaTheme="minorEastAsia"/>
          <w:kern w:val="0"/>
        </w:rPr>
        <w:t>公司目前</w:t>
      </w:r>
      <w:r>
        <w:rPr>
          <w:rFonts w:hint="eastAsia" w:eastAsiaTheme="minorEastAsia"/>
          <w:kern w:val="0"/>
        </w:rPr>
        <w:t>劳动定</w:t>
      </w:r>
      <w:r>
        <w:rPr>
          <w:rFonts w:hint="eastAsia" w:eastAsiaTheme="minorEastAsia"/>
          <w:kern w:val="0"/>
          <w:lang w:val="en-US" w:eastAsia="zh-CN"/>
        </w:rPr>
        <w:t>5</w:t>
      </w:r>
      <w:r>
        <w:rPr>
          <w:rFonts w:hint="eastAsia" w:eastAsiaTheme="minorEastAsia"/>
          <w:kern w:val="0"/>
        </w:rPr>
        <w:t>0</w:t>
      </w:r>
      <w:r>
        <w:rPr>
          <w:rFonts w:eastAsiaTheme="minorEastAsia"/>
          <w:kern w:val="0"/>
        </w:rPr>
        <w:t>人，全年运行</w:t>
      </w:r>
      <w:r>
        <w:rPr>
          <w:rFonts w:hint="eastAsia" w:eastAsiaTheme="minorEastAsia"/>
          <w:kern w:val="0"/>
        </w:rPr>
        <w:t>300</w:t>
      </w:r>
      <w:r>
        <w:rPr>
          <w:rFonts w:eastAsiaTheme="minorEastAsia"/>
          <w:kern w:val="0"/>
        </w:rPr>
        <w:t>天</w:t>
      </w:r>
      <w:r>
        <w:rPr>
          <w:rFonts w:hint="eastAsia" w:eastAsiaTheme="minorEastAsia"/>
          <w:kern w:val="0"/>
        </w:rPr>
        <w:t>，每班工作8小时，年产时数2400h/a</w:t>
      </w:r>
      <w:r>
        <w:rPr>
          <w:rFonts w:eastAsiaTheme="minorEastAsia"/>
          <w:kern w:val="0"/>
        </w:rPr>
        <w:t>。</w:t>
      </w:r>
      <w:r>
        <w:rPr>
          <w:rFonts w:hint="eastAsia" w:eastAsiaTheme="minorEastAsia"/>
          <w:kern w:val="0"/>
          <w:lang w:eastAsia="zh-CN"/>
        </w:rPr>
        <w:t>家得福家具</w:t>
      </w:r>
      <w:r>
        <w:rPr>
          <w:rFonts w:hint="eastAsia" w:eastAsiaTheme="minorEastAsia"/>
          <w:kern w:val="0"/>
        </w:rPr>
        <w:t>根据《企事业单位突发环境事件应急预案备案管理办法（试行）》要求至少每三年对环境应急预案进行一次回顾性评估，本次应急预案为首次编制。</w:t>
      </w:r>
    </w:p>
    <w:bookmarkEnd w:id="7"/>
    <w:p>
      <w:pPr>
        <w:adjustRightInd w:val="0"/>
        <w:snapToGrid w:val="0"/>
        <w:spacing w:line="500" w:lineRule="exact"/>
        <w:ind w:firstLine="480" w:firstLineChars="200"/>
        <w:rPr>
          <w:rFonts w:eastAsia="宋体"/>
        </w:rPr>
      </w:pPr>
      <w:r>
        <w:rPr>
          <w:rFonts w:eastAsia="宋体"/>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pPr>
        <w:adjustRightInd w:val="0"/>
        <w:snapToGrid w:val="0"/>
        <w:spacing w:line="500" w:lineRule="exact"/>
        <w:ind w:firstLine="480" w:firstLineChars="200"/>
        <w:rPr>
          <w:rFonts w:ascii="宋体" w:hAnsi="宋体" w:eastAsia="宋体" w:cs="宋体"/>
        </w:rPr>
      </w:pPr>
      <w:r>
        <w:rPr>
          <w:rFonts w:eastAsia="宋体"/>
        </w:rPr>
        <w:t>公司专门成立了工作组，在对</w:t>
      </w:r>
      <w:r>
        <w:rPr>
          <w:rFonts w:hint="eastAsia" w:eastAsia="宋体"/>
        </w:rPr>
        <w:t>公司</w:t>
      </w:r>
      <w:r>
        <w:rPr>
          <w:rFonts w:eastAsia="宋体"/>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rPr>
        <w:t>完成了本风险评估报告。</w:t>
      </w:r>
    </w:p>
    <w:p>
      <w:pPr>
        <w:rPr>
          <w:rFonts w:ascii="宋体" w:hAnsi="宋体" w:eastAsia="宋体" w:cs="宋体"/>
        </w:rPr>
      </w:pPr>
      <w:r>
        <w:rPr>
          <w:rFonts w:hint="eastAsia" w:ascii="宋体" w:hAnsi="宋体" w:eastAsia="宋体" w:cs="宋体"/>
        </w:rPr>
        <w:br w:type="page"/>
      </w:r>
    </w:p>
    <w:p>
      <w:pPr>
        <w:pStyle w:val="3"/>
        <w:adjustRightInd w:val="0"/>
        <w:snapToGrid w:val="0"/>
        <w:spacing w:line="500" w:lineRule="exact"/>
        <w:rPr>
          <w:rFonts w:eastAsia="宋体"/>
          <w:sz w:val="24"/>
          <w:szCs w:val="24"/>
        </w:rPr>
      </w:pPr>
      <w:bookmarkStart w:id="8" w:name="_Toc6172"/>
      <w:bookmarkStart w:id="9" w:name="_Toc8177"/>
      <w:bookmarkStart w:id="10" w:name="_Toc18595"/>
      <w:bookmarkStart w:id="11" w:name="_Toc19219"/>
      <w:r>
        <w:rPr>
          <w:rFonts w:eastAsia="宋体"/>
          <w:sz w:val="24"/>
          <w:szCs w:val="24"/>
        </w:rPr>
        <w:t>2 总则</w:t>
      </w:r>
      <w:bookmarkEnd w:id="8"/>
      <w:bookmarkEnd w:id="9"/>
      <w:bookmarkEnd w:id="10"/>
      <w:bookmarkEnd w:id="11"/>
    </w:p>
    <w:p>
      <w:pPr>
        <w:pStyle w:val="4"/>
        <w:adjustRightInd w:val="0"/>
        <w:snapToGrid w:val="0"/>
        <w:spacing w:line="500" w:lineRule="exact"/>
        <w:rPr>
          <w:rFonts w:eastAsia="宋体"/>
          <w:sz w:val="24"/>
          <w:szCs w:val="24"/>
        </w:rPr>
      </w:pPr>
      <w:bookmarkStart w:id="12" w:name="_Toc20253"/>
      <w:bookmarkStart w:id="13" w:name="_Toc19570"/>
      <w:bookmarkStart w:id="14" w:name="_Toc10364"/>
      <w:bookmarkStart w:id="15" w:name="_Toc31464"/>
      <w:r>
        <w:rPr>
          <w:rFonts w:eastAsia="宋体"/>
          <w:sz w:val="24"/>
          <w:szCs w:val="24"/>
        </w:rPr>
        <w:t>2.1 编制原则</w:t>
      </w:r>
      <w:bookmarkEnd w:id="12"/>
      <w:bookmarkEnd w:id="13"/>
      <w:bookmarkEnd w:id="14"/>
      <w:bookmarkEnd w:id="15"/>
    </w:p>
    <w:p>
      <w:pPr>
        <w:adjustRightInd w:val="0"/>
        <w:snapToGrid w:val="0"/>
        <w:spacing w:line="500" w:lineRule="exact"/>
        <w:ind w:firstLine="480" w:firstLineChars="200"/>
        <w:rPr>
          <w:rFonts w:eastAsia="宋体"/>
        </w:rPr>
      </w:pPr>
      <w:r>
        <w:rPr>
          <w:rFonts w:eastAsia="宋体"/>
        </w:rPr>
        <w:t>本评估报告的编制遵循以下几点原则：</w:t>
      </w:r>
    </w:p>
    <w:p>
      <w:pPr>
        <w:adjustRightInd w:val="0"/>
        <w:snapToGrid w:val="0"/>
        <w:spacing w:line="500" w:lineRule="exact"/>
        <w:ind w:firstLine="480" w:firstLineChars="200"/>
        <w:rPr>
          <w:rFonts w:eastAsia="宋体"/>
        </w:rPr>
      </w:pPr>
      <w:r>
        <w:rPr>
          <w:rFonts w:eastAsia="宋体"/>
        </w:rPr>
        <w:t>（1）全面、细致地进行现状调查。</w:t>
      </w:r>
    </w:p>
    <w:p>
      <w:pPr>
        <w:adjustRightInd w:val="0"/>
        <w:snapToGrid w:val="0"/>
        <w:spacing w:line="500" w:lineRule="exact"/>
        <w:ind w:firstLine="480" w:firstLineChars="200"/>
        <w:rPr>
          <w:rFonts w:eastAsia="宋体"/>
        </w:rPr>
      </w:pPr>
      <w:r>
        <w:rPr>
          <w:rFonts w:eastAsia="宋体"/>
        </w:rPr>
        <w:t>（2）科学、客观地进行评估，如实反映企业的环境风险水平。</w:t>
      </w:r>
    </w:p>
    <w:p>
      <w:pPr>
        <w:adjustRightInd w:val="0"/>
        <w:snapToGrid w:val="0"/>
        <w:spacing w:line="500" w:lineRule="exact"/>
        <w:ind w:firstLine="480" w:firstLineChars="200"/>
        <w:rPr>
          <w:rFonts w:eastAsia="宋体"/>
        </w:rPr>
      </w:pPr>
      <w:r>
        <w:rPr>
          <w:rFonts w:eastAsia="宋体"/>
        </w:rPr>
        <w:t>（3）对照</w:t>
      </w:r>
      <w:r>
        <w:rPr>
          <w:rFonts w:hint="eastAsia" w:eastAsia="宋体"/>
        </w:rPr>
        <w:t>《企业突发环境事件风险评估指南（试行）》、</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pPr>
        <w:adjustRightInd w:val="0"/>
        <w:snapToGrid w:val="0"/>
        <w:spacing w:line="500" w:lineRule="exact"/>
        <w:ind w:firstLine="480" w:firstLineChars="200"/>
        <w:rPr>
          <w:rFonts w:eastAsia="宋体"/>
          <w:b/>
        </w:rPr>
      </w:pPr>
      <w:r>
        <w:rPr>
          <w:rFonts w:eastAsia="宋体"/>
        </w:rPr>
        <w:t>（4）评估报告的内容和格式必须符合规范要求。</w:t>
      </w:r>
    </w:p>
    <w:p>
      <w:pPr>
        <w:pStyle w:val="4"/>
        <w:adjustRightInd w:val="0"/>
        <w:snapToGrid w:val="0"/>
        <w:spacing w:line="500" w:lineRule="exact"/>
        <w:rPr>
          <w:rFonts w:eastAsia="宋体"/>
          <w:sz w:val="24"/>
          <w:szCs w:val="24"/>
        </w:rPr>
      </w:pPr>
      <w:bookmarkStart w:id="16" w:name="_Toc24168"/>
      <w:bookmarkStart w:id="17" w:name="_Toc21056"/>
      <w:bookmarkStart w:id="18" w:name="_Toc27964"/>
      <w:bookmarkStart w:id="19" w:name="_Toc1839"/>
      <w:r>
        <w:rPr>
          <w:rFonts w:eastAsia="宋体"/>
          <w:sz w:val="24"/>
          <w:szCs w:val="24"/>
        </w:rPr>
        <w:t>2.2 编制依据</w:t>
      </w:r>
      <w:bookmarkEnd w:id="16"/>
      <w:bookmarkEnd w:id="17"/>
      <w:bookmarkEnd w:id="18"/>
      <w:bookmarkEnd w:id="19"/>
    </w:p>
    <w:p>
      <w:pPr>
        <w:pStyle w:val="2"/>
        <w:adjustRightInd w:val="0"/>
        <w:snapToGrid w:val="0"/>
        <w:spacing w:line="500" w:lineRule="exact"/>
        <w:rPr>
          <w:rFonts w:eastAsia="宋体"/>
          <w:szCs w:val="24"/>
        </w:rPr>
      </w:pPr>
      <w:bookmarkStart w:id="20" w:name="_Toc19349"/>
      <w:bookmarkStart w:id="21" w:name="_Toc11371"/>
      <w:bookmarkStart w:id="22" w:name="_Toc17579"/>
      <w:bookmarkStart w:id="23" w:name="_Toc28089"/>
      <w:r>
        <w:rPr>
          <w:rFonts w:eastAsia="宋体"/>
          <w:szCs w:val="24"/>
        </w:rPr>
        <w:t>2.2.1 政策法规</w:t>
      </w:r>
      <w:bookmarkEnd w:id="20"/>
      <w:bookmarkEnd w:id="21"/>
      <w:bookmarkEnd w:id="22"/>
      <w:bookmarkEnd w:id="23"/>
    </w:p>
    <w:p>
      <w:pPr>
        <w:adjustRightInd w:val="0"/>
        <w:snapToGrid w:val="0"/>
        <w:spacing w:line="500" w:lineRule="exact"/>
        <w:ind w:firstLine="480" w:firstLineChars="200"/>
        <w:rPr>
          <w:rFonts w:eastAsia="宋体"/>
        </w:rPr>
      </w:pPr>
      <w:bookmarkStart w:id="24" w:name="_Toc499034377"/>
      <w:r>
        <w:rPr>
          <w:rFonts w:eastAsia="宋体"/>
        </w:rPr>
        <w:t>（1）《中华人民共和国环境保护法》（中华人民共和国第十二届全国人民代表大会常务委员会第八次会议于2014年4月24日修订通过，自2015年1月1日起施行）；</w:t>
      </w:r>
    </w:p>
    <w:p>
      <w:pPr>
        <w:adjustRightInd w:val="0"/>
        <w:snapToGrid w:val="0"/>
        <w:spacing w:line="500" w:lineRule="exact"/>
        <w:ind w:firstLine="480" w:firstLineChars="200"/>
        <w:rPr>
          <w:rFonts w:eastAsia="宋体"/>
        </w:rPr>
      </w:pPr>
      <w:r>
        <w:rPr>
          <w:rFonts w:eastAsia="宋体"/>
        </w:rPr>
        <w:t>（2）《中华人民共和国突发事件应对法》（国家主席令第69号，2007年8月30日通过，2007年11月1日起施行）；</w:t>
      </w:r>
    </w:p>
    <w:p>
      <w:pPr>
        <w:adjustRightInd w:val="0"/>
        <w:snapToGrid w:val="0"/>
        <w:spacing w:line="500" w:lineRule="exact"/>
        <w:ind w:firstLine="480" w:firstLineChars="200"/>
        <w:rPr>
          <w:rFonts w:eastAsia="宋体"/>
        </w:rPr>
      </w:pPr>
      <w:r>
        <w:rPr>
          <w:rFonts w:eastAsia="宋体"/>
        </w:rPr>
        <w:t>（3）《中华人民共和国安全生产法》（中华人民共和国第十</w:t>
      </w:r>
      <w:r>
        <w:rPr>
          <w:rFonts w:hint="eastAsia" w:eastAsia="宋体"/>
        </w:rPr>
        <w:t>三</w:t>
      </w:r>
      <w:r>
        <w:rPr>
          <w:rFonts w:eastAsia="宋体"/>
        </w:rPr>
        <w:t>届全国人民代表大会常务委员会第</w:t>
      </w:r>
      <w:r>
        <w:rPr>
          <w:rFonts w:hint="eastAsia" w:eastAsia="宋体"/>
        </w:rPr>
        <w:t>二十九</w:t>
      </w:r>
      <w:r>
        <w:rPr>
          <w:rFonts w:eastAsia="宋体"/>
        </w:rPr>
        <w:t>次会议于20</w:t>
      </w:r>
      <w:r>
        <w:rPr>
          <w:rFonts w:hint="eastAsia" w:eastAsia="宋体"/>
        </w:rPr>
        <w:t>21</w:t>
      </w:r>
      <w:r>
        <w:rPr>
          <w:rFonts w:eastAsia="宋体"/>
        </w:rPr>
        <w:t>年</w:t>
      </w:r>
      <w:r>
        <w:rPr>
          <w:rFonts w:hint="eastAsia" w:eastAsia="宋体"/>
        </w:rPr>
        <w:t>6</w:t>
      </w:r>
      <w:r>
        <w:rPr>
          <w:rFonts w:eastAsia="宋体"/>
        </w:rPr>
        <w:t>月</w:t>
      </w:r>
      <w:r>
        <w:rPr>
          <w:rFonts w:hint="eastAsia" w:eastAsia="宋体"/>
        </w:rPr>
        <w:t>10</w:t>
      </w:r>
      <w:r>
        <w:rPr>
          <w:rFonts w:eastAsia="宋体"/>
        </w:rPr>
        <w:t>日修订通过，自20</w:t>
      </w:r>
      <w:r>
        <w:rPr>
          <w:rFonts w:hint="eastAsia" w:eastAsia="宋体"/>
        </w:rPr>
        <w:t>21</w:t>
      </w:r>
      <w:r>
        <w:rPr>
          <w:rFonts w:eastAsia="宋体"/>
        </w:rPr>
        <w:t>年</w:t>
      </w:r>
      <w:r>
        <w:rPr>
          <w:rFonts w:hint="eastAsia" w:eastAsia="宋体"/>
        </w:rPr>
        <w:t>9</w:t>
      </w:r>
      <w:r>
        <w:rPr>
          <w:rFonts w:eastAsia="宋体"/>
        </w:rPr>
        <w:t>月1日起施行）；</w:t>
      </w:r>
    </w:p>
    <w:p>
      <w:pPr>
        <w:adjustRightInd w:val="0"/>
        <w:snapToGrid w:val="0"/>
        <w:spacing w:line="500" w:lineRule="exact"/>
        <w:ind w:firstLine="480" w:firstLineChars="200"/>
        <w:rPr>
          <w:rFonts w:eastAsia="宋体"/>
        </w:rPr>
      </w:pPr>
      <w:r>
        <w:rPr>
          <w:rFonts w:eastAsia="宋体"/>
        </w:rPr>
        <w:t>（4）《中华人民共和国消防法》（国家主席令第6号，2009年5月1日起施行，</w:t>
      </w:r>
      <w:bookmarkStart w:id="25" w:name="_Hlk25619302"/>
      <w:r>
        <w:rPr>
          <w:rFonts w:eastAsia="宋体"/>
        </w:rPr>
        <w:t>20</w:t>
      </w:r>
      <w:r>
        <w:rPr>
          <w:rFonts w:hint="eastAsia" w:eastAsia="宋体"/>
        </w:rPr>
        <w:t>21年4月29日</w:t>
      </w:r>
      <w:bookmarkEnd w:id="25"/>
      <w:r>
        <w:rPr>
          <w:rFonts w:hint="eastAsia" w:eastAsia="宋体"/>
        </w:rPr>
        <w:t>第三次修正</w:t>
      </w:r>
      <w:r>
        <w:rPr>
          <w:rFonts w:eastAsia="宋体"/>
        </w:rPr>
        <w:t>）；</w:t>
      </w:r>
    </w:p>
    <w:p>
      <w:pPr>
        <w:adjustRightInd w:val="0"/>
        <w:snapToGrid w:val="0"/>
        <w:spacing w:line="500" w:lineRule="exact"/>
        <w:ind w:firstLine="480" w:firstLineChars="200"/>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pPr>
        <w:adjustRightInd w:val="0"/>
        <w:snapToGrid w:val="0"/>
        <w:spacing w:line="500" w:lineRule="exact"/>
        <w:ind w:firstLine="480" w:firstLineChars="200"/>
        <w:rPr>
          <w:rFonts w:eastAsia="宋体"/>
        </w:rPr>
      </w:pPr>
      <w:r>
        <w:rPr>
          <w:rFonts w:eastAsia="宋体"/>
        </w:rPr>
        <w:t>（6）《中华人民共和国水污染防治法》（2017年6月27日修订，2018年1月1日起施行）；</w:t>
      </w:r>
    </w:p>
    <w:p>
      <w:pPr>
        <w:adjustRightInd w:val="0"/>
        <w:snapToGrid w:val="0"/>
        <w:spacing w:line="500" w:lineRule="exact"/>
        <w:ind w:firstLine="480" w:firstLineChars="200"/>
        <w:rPr>
          <w:rFonts w:eastAsia="宋体"/>
        </w:rPr>
      </w:pPr>
      <w:r>
        <w:rPr>
          <w:rFonts w:eastAsia="宋体"/>
        </w:rPr>
        <w:t>（7）《中华人民共和国噪声污染防治法》（</w:t>
      </w:r>
      <w:r>
        <w:rPr>
          <w:rFonts w:eastAsiaTheme="minorEastAsia"/>
          <w:kern w:val="0"/>
        </w:rPr>
        <w:t>国家主席令</w:t>
      </w:r>
      <w:r>
        <w:rPr>
          <w:rFonts w:hint="eastAsia" w:eastAsiaTheme="minorEastAsia"/>
          <w:kern w:val="0"/>
        </w:rPr>
        <w:t>104</w:t>
      </w:r>
      <w:r>
        <w:rPr>
          <w:rFonts w:eastAsiaTheme="minorEastAsia"/>
          <w:kern w:val="0"/>
        </w:rPr>
        <w:t>号，</w:t>
      </w:r>
      <w:r>
        <w:rPr>
          <w:rFonts w:hint="eastAsia" w:eastAsiaTheme="minorEastAsia"/>
          <w:kern w:val="0"/>
        </w:rPr>
        <w:t>2021年12月24日通过修改，2022年6月5日起实施</w:t>
      </w:r>
      <w:r>
        <w:rPr>
          <w:rFonts w:eastAsia="宋体"/>
        </w:rPr>
        <w:t>）；</w:t>
      </w:r>
    </w:p>
    <w:p>
      <w:pPr>
        <w:adjustRightInd w:val="0"/>
        <w:snapToGrid w:val="0"/>
        <w:spacing w:line="500" w:lineRule="exact"/>
        <w:ind w:firstLine="480" w:firstLineChars="200"/>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pPr>
        <w:adjustRightInd w:val="0"/>
        <w:snapToGrid w:val="0"/>
        <w:spacing w:line="500" w:lineRule="exact"/>
        <w:ind w:firstLine="480" w:firstLineChars="200"/>
        <w:rPr>
          <w:rFonts w:eastAsia="宋体"/>
        </w:rPr>
      </w:pPr>
      <w:r>
        <w:rPr>
          <w:rFonts w:eastAsia="宋体"/>
        </w:rPr>
        <w:t>（9）《</w:t>
      </w:r>
      <w:r>
        <w:rPr>
          <w:rFonts w:eastAsia="宋体"/>
          <w:kern w:val="0"/>
          <w:szCs w:val="28"/>
        </w:rPr>
        <w:t>中华人民共和国大气污染防治法》（国主席令十六号，2018年10月26日施行）；</w:t>
      </w:r>
    </w:p>
    <w:p>
      <w:pPr>
        <w:adjustRightInd w:val="0"/>
        <w:snapToGrid w:val="0"/>
        <w:spacing w:line="500" w:lineRule="exact"/>
        <w:ind w:firstLine="480" w:firstLineChars="200"/>
        <w:rPr>
          <w:rFonts w:eastAsia="宋体"/>
        </w:rPr>
      </w:pPr>
      <w:r>
        <w:rPr>
          <w:rFonts w:eastAsia="宋体"/>
        </w:rPr>
        <w:t>（10）《国务院关于加强环境保护重点工作的意见》（国发〔2011〕35号）；</w:t>
      </w:r>
    </w:p>
    <w:p>
      <w:pPr>
        <w:adjustRightInd w:val="0"/>
        <w:snapToGrid w:val="0"/>
        <w:spacing w:line="500" w:lineRule="exact"/>
        <w:ind w:firstLine="480" w:firstLineChars="200"/>
        <w:rPr>
          <w:rFonts w:eastAsia="宋体"/>
        </w:rPr>
      </w:pPr>
      <w:r>
        <w:rPr>
          <w:rFonts w:eastAsia="宋体"/>
        </w:rPr>
        <w:t>（11）《</w:t>
      </w:r>
      <w:r>
        <w:rPr>
          <w:rFonts w:eastAsia="宋体"/>
          <w:kern w:val="0"/>
          <w:szCs w:val="28"/>
        </w:rPr>
        <w:t>生产安全事故应急预</w:t>
      </w:r>
      <w:r>
        <w:rPr>
          <w:rFonts w:eastAsia="宋体"/>
        </w:rPr>
        <w:t xml:space="preserve">案管理办法》（国家安全生产监督管理总局令第88号，2016年7月1日施行）； </w:t>
      </w:r>
    </w:p>
    <w:p>
      <w:pPr>
        <w:adjustRightInd w:val="0"/>
        <w:snapToGrid w:val="0"/>
        <w:spacing w:line="500" w:lineRule="exact"/>
        <w:ind w:firstLine="480" w:firstLineChars="200"/>
        <w:rPr>
          <w:rFonts w:eastAsia="宋体"/>
        </w:rPr>
      </w:pPr>
      <w:r>
        <w:rPr>
          <w:rFonts w:eastAsia="宋体"/>
        </w:rPr>
        <w:t>（12）《突发环境事件信息报告办法》（环境保护部令 第17号，2011年5月1日起施行）；</w:t>
      </w:r>
    </w:p>
    <w:p>
      <w:pPr>
        <w:adjustRightInd w:val="0"/>
        <w:snapToGrid w:val="0"/>
        <w:spacing w:line="500" w:lineRule="exact"/>
        <w:ind w:firstLine="480" w:firstLineChars="200"/>
        <w:rPr>
          <w:rFonts w:eastAsia="宋体"/>
        </w:rPr>
      </w:pPr>
      <w:r>
        <w:rPr>
          <w:rFonts w:eastAsia="宋体"/>
        </w:rPr>
        <w:t>（13）《突发环境事件应急管理办法》（环保部令第34号，2015年6月5日起施行）；</w:t>
      </w:r>
    </w:p>
    <w:p>
      <w:pPr>
        <w:adjustRightInd w:val="0"/>
        <w:snapToGrid w:val="0"/>
        <w:spacing w:line="500" w:lineRule="exact"/>
        <w:ind w:firstLine="480" w:firstLineChars="200"/>
        <w:rPr>
          <w:rFonts w:eastAsia="宋体"/>
        </w:rPr>
      </w:pPr>
      <w:r>
        <w:rPr>
          <w:rFonts w:eastAsia="宋体"/>
        </w:rPr>
        <w:t>（14）《</w:t>
      </w:r>
      <w:r>
        <w:rPr>
          <w:rFonts w:hint="eastAsia" w:eastAsia="宋体"/>
        </w:rPr>
        <w:t>危险化学品名录</w:t>
      </w:r>
      <w:r>
        <w:rPr>
          <w:rFonts w:eastAsia="宋体"/>
        </w:rPr>
        <w:t>》（201</w:t>
      </w:r>
      <w:r>
        <w:rPr>
          <w:rFonts w:hint="eastAsia" w:eastAsia="宋体"/>
        </w:rPr>
        <w:t>5</w:t>
      </w:r>
      <w:r>
        <w:rPr>
          <w:rFonts w:eastAsia="宋体"/>
        </w:rPr>
        <w:t>版）；</w:t>
      </w:r>
    </w:p>
    <w:p>
      <w:pPr>
        <w:adjustRightInd w:val="0"/>
        <w:snapToGrid w:val="0"/>
        <w:spacing w:line="500" w:lineRule="exact"/>
        <w:ind w:firstLine="480" w:firstLineChars="200"/>
        <w:rPr>
          <w:rFonts w:eastAsia="宋体"/>
        </w:rPr>
      </w:pPr>
      <w:r>
        <w:rPr>
          <w:rFonts w:eastAsia="宋体"/>
        </w:rPr>
        <w:t>（15）《国家危险废物名录(2021年版)》（</w:t>
      </w:r>
      <w:r>
        <w:rPr>
          <w:rFonts w:hint="eastAsia" w:eastAsia="宋体"/>
        </w:rPr>
        <w:t>自</w:t>
      </w:r>
      <w:r>
        <w:rPr>
          <w:rFonts w:eastAsia="宋体"/>
        </w:rPr>
        <w:t>2021年1月1日起施行）；</w:t>
      </w:r>
    </w:p>
    <w:p>
      <w:pPr>
        <w:adjustRightInd w:val="0"/>
        <w:snapToGrid w:val="0"/>
        <w:spacing w:line="500" w:lineRule="exact"/>
        <w:ind w:firstLine="480" w:firstLineChars="200"/>
        <w:rPr>
          <w:rFonts w:eastAsia="宋体"/>
        </w:rPr>
      </w:pPr>
      <w:r>
        <w:rPr>
          <w:rFonts w:eastAsia="宋体"/>
        </w:rPr>
        <w:t>（16）《重点监管的</w:t>
      </w:r>
      <w:r>
        <w:rPr>
          <w:rFonts w:hint="eastAsia" w:eastAsia="宋体"/>
        </w:rPr>
        <w:t>化学物质</w:t>
      </w:r>
      <w:r>
        <w:rPr>
          <w:rFonts w:eastAsia="宋体"/>
        </w:rPr>
        <w:t>名录》（2013年完整版）；</w:t>
      </w:r>
    </w:p>
    <w:p>
      <w:pPr>
        <w:adjustRightInd w:val="0"/>
        <w:snapToGrid w:val="0"/>
        <w:spacing w:line="500" w:lineRule="exact"/>
        <w:ind w:firstLine="480" w:firstLineChars="200"/>
        <w:rPr>
          <w:rFonts w:eastAsia="宋体"/>
        </w:rPr>
      </w:pPr>
      <w:r>
        <w:rPr>
          <w:rFonts w:eastAsia="宋体"/>
        </w:rPr>
        <w:t>（17）《关于进一步加强环境影响评价管理防范环境风险的通知》(国家环保总局，环发〔2012〕77号)；</w:t>
      </w:r>
    </w:p>
    <w:p>
      <w:pPr>
        <w:adjustRightInd w:val="0"/>
        <w:snapToGrid w:val="0"/>
        <w:spacing w:line="500" w:lineRule="exact"/>
        <w:ind w:firstLine="480" w:firstLineChars="200"/>
        <w:rPr>
          <w:rFonts w:eastAsia="宋体"/>
        </w:rPr>
      </w:pPr>
      <w:r>
        <w:rPr>
          <w:rFonts w:eastAsia="宋体"/>
        </w:rPr>
        <w:t>（18）《</w:t>
      </w:r>
      <w:r>
        <w:rPr>
          <w:rFonts w:hint="eastAsia" w:eastAsia="宋体"/>
          <w:lang w:eastAsia="zh-CN"/>
        </w:rPr>
        <w:t>危险化学品事故应急救援指挥导则</w:t>
      </w:r>
      <w:r>
        <w:rPr>
          <w:rFonts w:eastAsia="宋体"/>
        </w:rPr>
        <w:t>》（AQ/T3052-2015）；</w:t>
      </w:r>
    </w:p>
    <w:p>
      <w:pPr>
        <w:adjustRightInd w:val="0"/>
        <w:snapToGrid w:val="0"/>
        <w:spacing w:line="500" w:lineRule="exact"/>
        <w:ind w:firstLine="480" w:firstLineChars="200"/>
        <w:rPr>
          <w:rFonts w:eastAsia="宋体"/>
        </w:rPr>
      </w:pPr>
      <w:r>
        <w:rPr>
          <w:rFonts w:eastAsia="宋体"/>
        </w:rPr>
        <w:t>（19）</w:t>
      </w:r>
      <w:r>
        <w:rPr>
          <w:rFonts w:eastAsiaTheme="minorEastAsia"/>
          <w:kern w:val="0"/>
        </w:rPr>
        <w:t>《企事业单位和工业园区突发环境事件应急预案编制导则》（DB32/T 3795-2020）</w:t>
      </w:r>
      <w:r>
        <w:rPr>
          <w:rFonts w:eastAsia="宋体"/>
        </w:rPr>
        <w:t>；</w:t>
      </w:r>
    </w:p>
    <w:p>
      <w:pPr>
        <w:adjustRightInd w:val="0"/>
        <w:snapToGrid w:val="0"/>
        <w:spacing w:line="500" w:lineRule="exact"/>
        <w:ind w:firstLine="480" w:firstLineChars="200"/>
        <w:rPr>
          <w:rFonts w:eastAsia="宋体"/>
        </w:rPr>
      </w:pPr>
      <w:r>
        <w:rPr>
          <w:rFonts w:eastAsia="宋体"/>
        </w:rPr>
        <w:t>（20）《江苏省突发环境事件应急预案管理办法》(</w:t>
      </w:r>
      <w:r>
        <w:rPr>
          <w:rFonts w:hint="eastAsia" w:eastAsia="宋体"/>
        </w:rPr>
        <w:t>苏环规〔2014〕2号</w:t>
      </w:r>
      <w:r>
        <w:rPr>
          <w:rFonts w:eastAsia="宋体"/>
        </w:rPr>
        <w:t>)；</w:t>
      </w:r>
    </w:p>
    <w:p>
      <w:pPr>
        <w:adjustRightInd w:val="0"/>
        <w:snapToGrid w:val="0"/>
        <w:spacing w:line="500" w:lineRule="exact"/>
        <w:ind w:firstLine="480" w:firstLineChars="200"/>
        <w:rPr>
          <w:rFonts w:eastAsia="宋体"/>
        </w:rPr>
      </w:pPr>
      <w:r>
        <w:rPr>
          <w:rFonts w:eastAsia="宋体"/>
        </w:rPr>
        <w:t>（21）《关于开展江苏省重点环境风险企业环境安全达标建设工作的通知》（苏环办〔2013〕321号）；</w:t>
      </w:r>
    </w:p>
    <w:p>
      <w:pPr>
        <w:adjustRightInd w:val="0"/>
        <w:snapToGrid w:val="0"/>
        <w:spacing w:line="500" w:lineRule="exact"/>
        <w:ind w:firstLine="480" w:firstLineChars="200"/>
        <w:rPr>
          <w:rFonts w:eastAsia="宋体"/>
        </w:rPr>
      </w:pPr>
      <w:r>
        <w:rPr>
          <w:rFonts w:eastAsia="宋体"/>
        </w:rPr>
        <w:t>（22）《江苏省固体废物污染环境防治条例(修改)》（省十三届人大第二次会议，2018年3月28日）；</w:t>
      </w:r>
    </w:p>
    <w:p>
      <w:pPr>
        <w:adjustRightInd w:val="0"/>
        <w:snapToGrid w:val="0"/>
        <w:spacing w:line="500" w:lineRule="exact"/>
        <w:ind w:firstLine="480" w:firstLineChars="200"/>
        <w:rPr>
          <w:rFonts w:eastAsia="宋体"/>
        </w:rPr>
      </w:pPr>
      <w:r>
        <w:rPr>
          <w:rFonts w:eastAsia="宋体"/>
        </w:rPr>
        <w:t>（23）《关于印发江苏省重点环境风险企业整治与防控方案的通知》（苏环委办〔2013〕9号）；</w:t>
      </w:r>
    </w:p>
    <w:p>
      <w:pPr>
        <w:adjustRightInd w:val="0"/>
        <w:snapToGrid w:val="0"/>
        <w:spacing w:line="500" w:lineRule="exact"/>
        <w:ind w:firstLine="480" w:firstLineChars="200"/>
        <w:rPr>
          <w:rFonts w:eastAsia="宋体"/>
        </w:rPr>
      </w:pPr>
      <w:r>
        <w:rPr>
          <w:rFonts w:eastAsia="宋体"/>
        </w:rPr>
        <w:t>（24）《关于进一步做好全省重点环境风险企业环境安全达标建设工作的通知》（苏环办〔2014〕152号）；</w:t>
      </w:r>
    </w:p>
    <w:p>
      <w:pPr>
        <w:adjustRightInd w:val="0"/>
        <w:snapToGrid w:val="0"/>
        <w:spacing w:line="500" w:lineRule="exact"/>
        <w:ind w:firstLine="480" w:firstLineChars="200"/>
        <w:rPr>
          <w:rFonts w:eastAsia="宋体"/>
        </w:rPr>
      </w:pPr>
      <w:r>
        <w:rPr>
          <w:rFonts w:eastAsia="宋体"/>
        </w:rPr>
        <w:t>（25）《江苏省国家级生态保护红线规划》；</w:t>
      </w:r>
    </w:p>
    <w:p>
      <w:pPr>
        <w:adjustRightInd w:val="0"/>
        <w:snapToGrid w:val="0"/>
        <w:spacing w:line="500" w:lineRule="exact"/>
        <w:ind w:firstLine="480" w:firstLineChars="200"/>
        <w:rPr>
          <w:rFonts w:eastAsia="宋体"/>
        </w:rPr>
      </w:pPr>
      <w:r>
        <w:rPr>
          <w:rFonts w:eastAsia="宋体"/>
        </w:rPr>
        <w:t>（26）《省政府关于印发江苏省生态空间管控区域规划的通知》（苏政发[2020]1号）；</w:t>
      </w:r>
    </w:p>
    <w:p>
      <w:pPr>
        <w:adjustRightInd w:val="0"/>
        <w:snapToGrid w:val="0"/>
        <w:spacing w:line="500" w:lineRule="exact"/>
        <w:ind w:firstLine="480" w:firstLineChars="200"/>
        <w:rPr>
          <w:rFonts w:eastAsia="宋体"/>
        </w:rPr>
      </w:pPr>
      <w:r>
        <w:rPr>
          <w:rFonts w:eastAsia="宋体"/>
        </w:rPr>
        <w:t>（27）《省政府关于印发江苏省“三线一单”生态环境分区管控方案的通知》（苏政发〔2020〕49号）。</w:t>
      </w:r>
    </w:p>
    <w:p>
      <w:pPr>
        <w:pStyle w:val="2"/>
        <w:adjustRightInd w:val="0"/>
        <w:snapToGrid w:val="0"/>
        <w:spacing w:line="500" w:lineRule="exact"/>
        <w:rPr>
          <w:rFonts w:eastAsia="宋体"/>
        </w:rPr>
      </w:pPr>
      <w:bookmarkStart w:id="26" w:name="_Toc512608511"/>
      <w:bookmarkStart w:id="27" w:name="_Toc31049"/>
      <w:bookmarkStart w:id="28" w:name="_Toc3846"/>
      <w:bookmarkStart w:id="29" w:name="_Toc1162"/>
      <w:bookmarkStart w:id="30" w:name="_Toc573"/>
      <w:r>
        <w:rPr>
          <w:rFonts w:eastAsia="宋体"/>
        </w:rPr>
        <w:t>2.2.2 标准规范</w:t>
      </w:r>
      <w:bookmarkEnd w:id="24"/>
      <w:bookmarkEnd w:id="26"/>
      <w:bookmarkEnd w:id="27"/>
      <w:bookmarkEnd w:id="28"/>
      <w:bookmarkEnd w:id="29"/>
      <w:bookmarkEnd w:id="30"/>
    </w:p>
    <w:p>
      <w:pPr>
        <w:adjustRightInd w:val="0"/>
        <w:snapToGrid w:val="0"/>
        <w:spacing w:line="500" w:lineRule="exact"/>
        <w:ind w:firstLine="480" w:firstLineChars="200"/>
        <w:rPr>
          <w:rFonts w:eastAsia="宋体"/>
        </w:rPr>
      </w:pPr>
      <w:r>
        <w:rPr>
          <w:rFonts w:eastAsia="宋体"/>
        </w:rPr>
        <w:t>（1）《</w:t>
      </w:r>
      <w:r>
        <w:rPr>
          <w:rFonts w:hint="eastAsia" w:eastAsia="宋体"/>
          <w:lang w:eastAsia="zh-CN"/>
        </w:rPr>
        <w:t>危险化学品重大危险源辨识</w:t>
      </w:r>
      <w:r>
        <w:rPr>
          <w:rFonts w:eastAsia="宋体"/>
        </w:rPr>
        <w:t>》（GB18218-2018）；</w:t>
      </w:r>
    </w:p>
    <w:p>
      <w:pPr>
        <w:adjustRightInd w:val="0"/>
        <w:snapToGrid w:val="0"/>
        <w:spacing w:line="500" w:lineRule="exact"/>
        <w:ind w:firstLine="480" w:firstLineChars="200"/>
        <w:rPr>
          <w:rFonts w:eastAsia="宋体"/>
        </w:rPr>
      </w:pPr>
      <w:r>
        <w:rPr>
          <w:rFonts w:eastAsia="宋体"/>
        </w:rPr>
        <w:t>（2）《化工建设项目环境保护</w:t>
      </w:r>
      <w:r>
        <w:rPr>
          <w:rFonts w:hint="eastAsia" w:eastAsia="宋体"/>
        </w:rPr>
        <w:t>工程</w:t>
      </w:r>
      <w:r>
        <w:rPr>
          <w:rFonts w:eastAsia="宋体"/>
        </w:rPr>
        <w:t>设计</w:t>
      </w:r>
      <w:r>
        <w:rPr>
          <w:rFonts w:hint="eastAsia" w:eastAsia="宋体"/>
        </w:rPr>
        <w:t>标准</w:t>
      </w:r>
      <w:r>
        <w:rPr>
          <w:rFonts w:eastAsia="宋体"/>
        </w:rPr>
        <w:t>》（</w:t>
      </w:r>
      <w:r>
        <w:rPr>
          <w:rFonts w:hint="eastAsia" w:eastAsia="宋体"/>
          <w:lang w:eastAsia="zh-CN"/>
        </w:rPr>
        <w:t>GB/T 50483-2019</w:t>
      </w:r>
      <w:r>
        <w:rPr>
          <w:rFonts w:eastAsia="宋体"/>
        </w:rPr>
        <w:t>）；</w:t>
      </w:r>
    </w:p>
    <w:p>
      <w:pPr>
        <w:adjustRightInd w:val="0"/>
        <w:snapToGrid w:val="0"/>
        <w:spacing w:line="500" w:lineRule="exact"/>
        <w:ind w:firstLine="480" w:firstLineChars="200"/>
        <w:rPr>
          <w:rFonts w:eastAsia="宋体"/>
        </w:rPr>
      </w:pPr>
      <w:r>
        <w:rPr>
          <w:rFonts w:eastAsia="宋体"/>
        </w:rPr>
        <w:t>（3）《建筑设计防火规范》（</w:t>
      </w:r>
      <w:r>
        <w:rPr>
          <w:rFonts w:hint="eastAsia" w:eastAsia="宋体"/>
          <w:lang w:eastAsia="zh-CN"/>
        </w:rPr>
        <w:t>GB 50016-2014[2018年版]</w:t>
      </w:r>
      <w:r>
        <w:rPr>
          <w:rFonts w:eastAsia="宋体"/>
        </w:rPr>
        <w:t>）；</w:t>
      </w:r>
    </w:p>
    <w:p>
      <w:pPr>
        <w:adjustRightInd w:val="0"/>
        <w:snapToGrid w:val="0"/>
        <w:spacing w:line="500" w:lineRule="exact"/>
        <w:ind w:firstLine="480" w:firstLineChars="200"/>
        <w:rPr>
          <w:rFonts w:eastAsia="宋体"/>
        </w:rPr>
      </w:pPr>
      <w:r>
        <w:rPr>
          <w:rFonts w:eastAsia="宋体"/>
        </w:rPr>
        <w:t>（4）《</w:t>
      </w:r>
      <w:r>
        <w:rPr>
          <w:rFonts w:eastAsia="宋体"/>
          <w:kern w:val="0"/>
          <w:szCs w:val="28"/>
        </w:rPr>
        <w:t>危险货物品名表》（GB12268-2012）；</w:t>
      </w:r>
    </w:p>
    <w:p>
      <w:pPr>
        <w:adjustRightInd w:val="0"/>
        <w:snapToGrid w:val="0"/>
        <w:spacing w:line="500" w:lineRule="exact"/>
        <w:ind w:firstLine="480" w:firstLineChars="200"/>
        <w:rPr>
          <w:rFonts w:eastAsia="宋体"/>
        </w:rPr>
      </w:pPr>
      <w:r>
        <w:rPr>
          <w:rFonts w:eastAsia="宋体"/>
        </w:rPr>
        <w:t>（5）《化学品分类、警示标签和警示性说明安全规程》（GB20576—GB20591）；</w:t>
      </w:r>
    </w:p>
    <w:p>
      <w:pPr>
        <w:adjustRightInd w:val="0"/>
        <w:snapToGrid w:val="0"/>
        <w:spacing w:line="500" w:lineRule="exact"/>
        <w:ind w:firstLine="480" w:firstLineChars="200"/>
        <w:rPr>
          <w:rFonts w:eastAsia="宋体"/>
        </w:rPr>
      </w:pPr>
      <w:r>
        <w:rPr>
          <w:rFonts w:eastAsia="宋体"/>
        </w:rPr>
        <w:t>（6）《环境影响评价技术导则 地下水环境》（HJ610-2016）；</w:t>
      </w:r>
    </w:p>
    <w:p>
      <w:pPr>
        <w:adjustRightInd w:val="0"/>
        <w:snapToGrid w:val="0"/>
        <w:spacing w:line="500" w:lineRule="exact"/>
        <w:ind w:firstLine="480" w:firstLineChars="200"/>
        <w:rPr>
          <w:rFonts w:eastAsia="宋体"/>
        </w:rPr>
      </w:pPr>
      <w:r>
        <w:rPr>
          <w:rFonts w:eastAsia="宋体"/>
        </w:rPr>
        <w:t>（7）《环境影响评价技术导则 地表水环境》（HJ2.3-2018）；</w:t>
      </w:r>
    </w:p>
    <w:p>
      <w:pPr>
        <w:adjustRightInd w:val="0"/>
        <w:snapToGrid w:val="0"/>
        <w:spacing w:line="500" w:lineRule="exact"/>
        <w:ind w:firstLine="480" w:firstLineChars="200"/>
        <w:rPr>
          <w:rFonts w:eastAsia="宋体"/>
        </w:rPr>
      </w:pPr>
      <w:r>
        <w:rPr>
          <w:rFonts w:eastAsia="宋体"/>
        </w:rPr>
        <w:t>（8）《环境影响评价技术导则 大气环境》（HJ2.2-2018）；</w:t>
      </w:r>
    </w:p>
    <w:p>
      <w:pPr>
        <w:adjustRightInd w:val="0"/>
        <w:snapToGrid w:val="0"/>
        <w:spacing w:line="500" w:lineRule="exact"/>
        <w:ind w:firstLine="480" w:firstLineChars="200"/>
        <w:rPr>
          <w:rFonts w:eastAsia="宋体"/>
        </w:rPr>
      </w:pPr>
      <w:r>
        <w:rPr>
          <w:rFonts w:eastAsia="宋体"/>
        </w:rPr>
        <w:t>（9）《建设项目环境风险评价技术导则》（HJ169-2018）；</w:t>
      </w:r>
    </w:p>
    <w:p>
      <w:pPr>
        <w:adjustRightInd w:val="0"/>
        <w:snapToGrid w:val="0"/>
        <w:spacing w:line="500" w:lineRule="exact"/>
        <w:ind w:firstLine="480" w:firstLineChars="200"/>
        <w:rPr>
          <w:rFonts w:eastAsia="宋体"/>
        </w:rPr>
      </w:pPr>
      <w:r>
        <w:rPr>
          <w:rFonts w:eastAsia="宋体"/>
        </w:rPr>
        <w:t>（10）《危险废物贮存污染控制标准》（GB 18597-2001）；</w:t>
      </w:r>
    </w:p>
    <w:p>
      <w:pPr>
        <w:adjustRightInd w:val="0"/>
        <w:snapToGrid w:val="0"/>
        <w:spacing w:line="500" w:lineRule="exact"/>
        <w:ind w:firstLine="480" w:firstLineChars="200"/>
        <w:rPr>
          <w:rFonts w:eastAsia="宋体"/>
        </w:rPr>
      </w:pPr>
      <w:r>
        <w:rPr>
          <w:rFonts w:eastAsia="宋体"/>
        </w:rPr>
        <w:t>（11）《化学品毒性鉴定技术规范》（卫监督发〔2005〕272号）；</w:t>
      </w:r>
    </w:p>
    <w:p>
      <w:pPr>
        <w:adjustRightInd w:val="0"/>
        <w:snapToGrid w:val="0"/>
        <w:spacing w:line="500" w:lineRule="exact"/>
        <w:ind w:firstLine="480" w:firstLineChars="200"/>
        <w:rPr>
          <w:rFonts w:eastAsia="宋体"/>
        </w:rPr>
      </w:pPr>
      <w:r>
        <w:rPr>
          <w:rFonts w:eastAsia="宋体"/>
        </w:rPr>
        <w:t>（12）《重点监管的化学物质安全措施和应急处置原则》（国家安全生产监督管理总局）；</w:t>
      </w:r>
    </w:p>
    <w:p>
      <w:pPr>
        <w:adjustRightInd w:val="0"/>
        <w:snapToGrid w:val="0"/>
        <w:spacing w:line="500" w:lineRule="exact"/>
        <w:ind w:firstLine="480" w:firstLineChars="200"/>
        <w:rPr>
          <w:rFonts w:eastAsia="宋体"/>
        </w:rPr>
      </w:pPr>
      <w:r>
        <w:rPr>
          <w:rFonts w:eastAsia="宋体"/>
        </w:rPr>
        <w:t>（13）关于印发《工业危险废物产生单位规范化管理实施指南》的通知（苏环办﹝2014﹞232号）；</w:t>
      </w:r>
    </w:p>
    <w:p>
      <w:pPr>
        <w:adjustRightInd w:val="0"/>
        <w:snapToGrid w:val="0"/>
        <w:spacing w:line="500" w:lineRule="exact"/>
        <w:ind w:firstLine="480" w:firstLineChars="200"/>
      </w:pPr>
      <w:r>
        <w:rPr>
          <w:rFonts w:eastAsia="宋体"/>
        </w:rPr>
        <w:t>（1</w:t>
      </w:r>
      <w:r>
        <w:rPr>
          <w:rFonts w:hint="eastAsia" w:eastAsia="宋体"/>
        </w:rPr>
        <w:t>4</w:t>
      </w:r>
      <w:r>
        <w:rPr>
          <w:rFonts w:eastAsia="宋体"/>
        </w:rPr>
        <w:t>）</w:t>
      </w:r>
      <w:r>
        <w:rPr>
          <w:rFonts w:hint="eastAsia" w:ascii="宋体" w:hAnsi="宋体" w:eastAsia="宋体" w:cs="宋体"/>
        </w:rPr>
        <w:t>《省生态环境厅关于进一步加强危险废物污染防治工作的实施意见》（苏环办</w:t>
      </w:r>
      <w:r>
        <w:rPr>
          <w:rFonts w:eastAsia="宋体"/>
        </w:rPr>
        <w:t>〔2019〕327</w:t>
      </w:r>
      <w:r>
        <w:rPr>
          <w:rFonts w:hint="eastAsia" w:ascii="宋体" w:hAnsi="宋体" w:eastAsia="宋体" w:cs="宋体"/>
        </w:rPr>
        <w:t>号）；</w:t>
      </w:r>
    </w:p>
    <w:p>
      <w:pPr>
        <w:adjustRightInd w:val="0"/>
        <w:snapToGrid w:val="0"/>
        <w:spacing w:line="500" w:lineRule="exact"/>
        <w:ind w:firstLine="480" w:firstLineChars="200"/>
        <w:rPr>
          <w:rFonts w:eastAsia="宋体"/>
        </w:rPr>
      </w:pPr>
      <w:r>
        <w:rPr>
          <w:rFonts w:eastAsia="宋体"/>
        </w:rPr>
        <w:t>（1</w:t>
      </w:r>
      <w:r>
        <w:rPr>
          <w:rFonts w:hint="eastAsia" w:eastAsia="宋体"/>
        </w:rPr>
        <w:t>5</w:t>
      </w:r>
      <w:r>
        <w:rPr>
          <w:rFonts w:eastAsia="宋体"/>
        </w:rPr>
        <w:t>）《江苏省环境安全企业建设标准（试行）》；</w:t>
      </w:r>
    </w:p>
    <w:p>
      <w:pPr>
        <w:adjustRightInd w:val="0"/>
        <w:snapToGrid w:val="0"/>
        <w:spacing w:line="500" w:lineRule="exact"/>
        <w:ind w:firstLine="480" w:firstLineChars="200"/>
        <w:rPr>
          <w:rFonts w:eastAsia="宋体"/>
        </w:rPr>
      </w:pPr>
      <w:bookmarkStart w:id="31" w:name="_Hlk13477127"/>
      <w:r>
        <w:rPr>
          <w:rFonts w:eastAsia="宋体"/>
        </w:rPr>
        <w:t>（1</w:t>
      </w:r>
      <w:r>
        <w:rPr>
          <w:rFonts w:hint="eastAsia" w:eastAsia="宋体"/>
        </w:rPr>
        <w:t>6</w:t>
      </w:r>
      <w:r>
        <w:rPr>
          <w:rFonts w:eastAsia="宋体"/>
        </w:rPr>
        <w:t>）《环境应急资源调查指南(试行)》环办应急(2019)17号；</w:t>
      </w:r>
    </w:p>
    <w:bookmarkEnd w:id="31"/>
    <w:p>
      <w:pPr>
        <w:adjustRightInd w:val="0"/>
        <w:snapToGrid w:val="0"/>
        <w:spacing w:line="500" w:lineRule="exact"/>
        <w:ind w:firstLine="480" w:firstLineChars="200"/>
        <w:rPr>
          <w:rFonts w:eastAsia="宋体"/>
        </w:rPr>
      </w:pPr>
      <w:r>
        <w:rPr>
          <w:rFonts w:eastAsia="宋体"/>
        </w:rPr>
        <w:t>（1</w:t>
      </w:r>
      <w:r>
        <w:rPr>
          <w:rFonts w:hint="eastAsia" w:eastAsia="宋体"/>
        </w:rPr>
        <w:t>7</w:t>
      </w:r>
      <w:r>
        <w:rPr>
          <w:rFonts w:eastAsia="宋体"/>
        </w:rPr>
        <w:t>）《企业突发环境事件风险分级方法》（HJ941-2018）</w:t>
      </w:r>
      <w:r>
        <w:rPr>
          <w:rFonts w:hint="eastAsia" w:eastAsia="宋体"/>
        </w:rPr>
        <w:t>；</w:t>
      </w:r>
    </w:p>
    <w:p>
      <w:pPr>
        <w:adjustRightInd w:val="0"/>
        <w:snapToGrid w:val="0"/>
        <w:spacing w:line="500" w:lineRule="exact"/>
        <w:ind w:firstLine="480" w:firstLineChars="200"/>
        <w:rPr>
          <w:rFonts w:eastAsia="宋体"/>
        </w:rPr>
      </w:pPr>
      <w:r>
        <w:rPr>
          <w:rFonts w:hint="eastAsia" w:eastAsia="宋体"/>
        </w:rPr>
        <w:t>（18）</w:t>
      </w:r>
      <w:r>
        <w:rPr>
          <w:rFonts w:eastAsia="宋体"/>
        </w:rPr>
        <w:t>《危险化学品安全管理条例》（</w:t>
      </w:r>
      <w:r>
        <w:rPr>
          <w:rFonts w:hint="eastAsia" w:eastAsia="宋体"/>
        </w:rPr>
        <w:t>2013年修正版</w:t>
      </w:r>
      <w:r>
        <w:rPr>
          <w:rFonts w:eastAsia="宋体"/>
        </w:rPr>
        <w:t xml:space="preserve">）； </w:t>
      </w:r>
    </w:p>
    <w:p>
      <w:pPr>
        <w:adjustRightInd w:val="0"/>
        <w:snapToGrid w:val="0"/>
        <w:spacing w:line="500" w:lineRule="exact"/>
        <w:ind w:firstLine="480" w:firstLineChars="200"/>
        <w:rPr>
          <w:rFonts w:eastAsia="宋体"/>
        </w:rPr>
      </w:pPr>
      <w:r>
        <w:rPr>
          <w:rFonts w:eastAsia="宋体"/>
        </w:rPr>
        <w:t>（</w:t>
      </w:r>
      <w:r>
        <w:rPr>
          <w:rFonts w:hint="eastAsia" w:eastAsia="宋体"/>
        </w:rPr>
        <w:t>19</w:t>
      </w:r>
      <w:r>
        <w:rPr>
          <w:rFonts w:eastAsia="宋体"/>
        </w:rPr>
        <w:t>）《危险化学品登记管理办法》（国家安全生产监督管理总局局长办公会议，2012年5月21日）</w:t>
      </w:r>
      <w:r>
        <w:rPr>
          <w:rFonts w:hint="eastAsia" w:eastAsia="宋体"/>
        </w:rPr>
        <w:t>；</w:t>
      </w:r>
    </w:p>
    <w:p>
      <w:pPr>
        <w:adjustRightInd w:val="0"/>
        <w:snapToGrid w:val="0"/>
        <w:spacing w:line="500" w:lineRule="exact"/>
        <w:ind w:firstLine="480" w:firstLineChars="200"/>
        <w:rPr>
          <w:rFonts w:eastAsia="宋体"/>
        </w:rPr>
      </w:pPr>
      <w:r>
        <w:rPr>
          <w:rFonts w:hint="eastAsia" w:eastAsia="宋体"/>
        </w:rPr>
        <w:t>（20）《</w:t>
      </w:r>
      <w:r>
        <w:rPr>
          <w:rFonts w:hint="eastAsia" w:eastAsia="宋体"/>
          <w:lang w:eastAsia="zh-CN"/>
        </w:rPr>
        <w:t>危险化学品重大危险源辨识</w:t>
      </w:r>
      <w:r>
        <w:rPr>
          <w:rFonts w:hint="eastAsia" w:eastAsia="宋体"/>
        </w:rPr>
        <w:t>》（GB18218-2018）</w:t>
      </w:r>
    </w:p>
    <w:p>
      <w:pPr>
        <w:adjustRightInd w:val="0"/>
        <w:snapToGrid w:val="0"/>
        <w:spacing w:line="500" w:lineRule="exact"/>
        <w:ind w:firstLine="480" w:firstLineChars="200"/>
        <w:rPr>
          <w:rFonts w:eastAsia="宋体"/>
        </w:rPr>
      </w:pPr>
      <w:r>
        <w:rPr>
          <w:rFonts w:hint="eastAsia" w:eastAsia="宋体"/>
        </w:rPr>
        <w:t>（</w:t>
      </w:r>
      <w:r>
        <w:rPr>
          <w:rFonts w:eastAsia="宋体"/>
        </w:rPr>
        <w:t>2</w:t>
      </w:r>
      <w:r>
        <w:rPr>
          <w:rFonts w:hint="eastAsia" w:eastAsia="宋体"/>
        </w:rPr>
        <w:t>1）</w:t>
      </w:r>
      <w:r>
        <w:rPr>
          <w:rFonts w:eastAsia="宋体"/>
        </w:rPr>
        <w:t>《大气污染物综合排放标准》(DB32/4041-2021)</w:t>
      </w:r>
    </w:p>
    <w:p>
      <w:pPr>
        <w:adjustRightInd w:val="0"/>
        <w:snapToGrid w:val="0"/>
        <w:spacing w:line="500" w:lineRule="exact"/>
        <w:ind w:firstLine="480" w:firstLineChars="200"/>
        <w:rPr>
          <w:rFonts w:eastAsia="宋体"/>
        </w:rPr>
      </w:pPr>
      <w:r>
        <w:rPr>
          <w:rFonts w:hint="eastAsia" w:eastAsia="宋体"/>
        </w:rPr>
        <w:t>（22）</w:t>
      </w:r>
      <w:r>
        <w:rPr>
          <w:rFonts w:hint="eastAsia" w:eastAsiaTheme="minorEastAsia"/>
          <w:kern w:val="0"/>
        </w:rPr>
        <w:t>《</w:t>
      </w:r>
      <w:r>
        <w:rPr>
          <w:rFonts w:eastAsiaTheme="minorEastAsia"/>
          <w:kern w:val="0"/>
        </w:rPr>
        <w:t>表面涂装（家具制造业）挥发性有机物排放标准</w:t>
      </w:r>
      <w:r>
        <w:rPr>
          <w:rFonts w:hint="eastAsia" w:eastAsiaTheme="minorEastAsia"/>
          <w:kern w:val="0"/>
        </w:rPr>
        <w:t>》</w:t>
      </w:r>
      <w:r>
        <w:rPr>
          <w:rFonts w:eastAsiaTheme="minorEastAsia"/>
          <w:kern w:val="0"/>
        </w:rPr>
        <w:t>(</w:t>
      </w:r>
      <w:r>
        <w:rPr>
          <w:rFonts w:hint="eastAsia" w:eastAsiaTheme="minorEastAsia"/>
          <w:kern w:val="0"/>
        </w:rPr>
        <w:t>DB32/3152-2016</w:t>
      </w:r>
      <w:r>
        <w:rPr>
          <w:rFonts w:eastAsiaTheme="minorEastAsia"/>
          <w:kern w:val="0"/>
        </w:rPr>
        <w:t>)</w:t>
      </w:r>
      <w:r>
        <w:rPr>
          <w:rFonts w:eastAsia="宋体"/>
        </w:rPr>
        <w:t>。</w:t>
      </w:r>
    </w:p>
    <w:p>
      <w:pPr>
        <w:pStyle w:val="2"/>
        <w:adjustRightInd w:val="0"/>
        <w:snapToGrid w:val="0"/>
        <w:spacing w:line="500" w:lineRule="exact"/>
        <w:rPr>
          <w:rFonts w:eastAsia="宋体"/>
        </w:rPr>
      </w:pPr>
      <w:bookmarkStart w:id="32" w:name="_Toc1853"/>
      <w:bookmarkStart w:id="33" w:name="_Toc7977"/>
      <w:bookmarkStart w:id="34" w:name="_Toc32074"/>
      <w:bookmarkStart w:id="35" w:name="_Toc3109"/>
      <w:r>
        <w:rPr>
          <w:rFonts w:eastAsia="宋体"/>
        </w:rPr>
        <w:t>2.2.3 其他文件</w:t>
      </w:r>
      <w:bookmarkEnd w:id="32"/>
      <w:bookmarkEnd w:id="33"/>
      <w:bookmarkEnd w:id="34"/>
      <w:bookmarkEnd w:id="35"/>
    </w:p>
    <w:p>
      <w:pPr>
        <w:widowControl/>
        <w:adjustRightInd w:val="0"/>
        <w:snapToGrid w:val="0"/>
        <w:spacing w:line="500" w:lineRule="exact"/>
        <w:ind w:firstLine="480" w:firstLineChars="200"/>
        <w:rPr>
          <w:rFonts w:eastAsia="宋体"/>
          <w:kern w:val="0"/>
          <w:szCs w:val="28"/>
        </w:rPr>
      </w:pPr>
      <w:r>
        <w:rPr>
          <w:rFonts w:hint="eastAsia" w:eastAsiaTheme="minorEastAsia"/>
          <w:kern w:val="0"/>
          <w:lang w:eastAsia="zh-CN"/>
        </w:rPr>
        <w:t>家得福家具海安有限公司</w:t>
      </w:r>
      <w:r>
        <w:rPr>
          <w:rFonts w:eastAsiaTheme="minorEastAsia"/>
          <w:kern w:val="0"/>
        </w:rPr>
        <w:t>其他文件资料。</w:t>
      </w:r>
    </w:p>
    <w:p>
      <w:pPr>
        <w:pStyle w:val="4"/>
        <w:adjustRightInd w:val="0"/>
        <w:snapToGrid w:val="0"/>
        <w:spacing w:line="500" w:lineRule="exact"/>
        <w:rPr>
          <w:rFonts w:eastAsia="宋体"/>
          <w:sz w:val="24"/>
          <w:szCs w:val="24"/>
        </w:rPr>
      </w:pPr>
      <w:bookmarkStart w:id="36" w:name="_Toc20254"/>
      <w:bookmarkStart w:id="37" w:name="_Toc4975"/>
      <w:bookmarkStart w:id="38" w:name="_Toc31581"/>
      <w:bookmarkStart w:id="39" w:name="_Toc31986"/>
      <w:r>
        <w:rPr>
          <w:rFonts w:eastAsia="宋体"/>
          <w:sz w:val="24"/>
          <w:szCs w:val="24"/>
        </w:rPr>
        <w:t>2.3 评估范围</w:t>
      </w:r>
      <w:bookmarkEnd w:id="36"/>
      <w:bookmarkEnd w:id="37"/>
      <w:bookmarkEnd w:id="38"/>
      <w:bookmarkEnd w:id="39"/>
    </w:p>
    <w:p>
      <w:pPr>
        <w:pStyle w:val="34"/>
        <w:widowControl w:val="0"/>
        <w:adjustRightInd w:val="0"/>
        <w:snapToGrid w:val="0"/>
        <w:spacing w:before="0" w:beforeAutospacing="0" w:after="0" w:afterAutospacing="0" w:line="500" w:lineRule="exact"/>
        <w:ind w:firstLine="480" w:firstLineChars="200"/>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家得福家具海安有限公司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(1)公司使用的化学物质的存储、使用过程中的环境风险评估； </w:t>
      </w:r>
    </w:p>
    <w:p>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14:textFill>
            <w14:solidFill>
              <w14:schemeClr w14:val="tx1"/>
            </w14:solidFill>
          </w14:textFill>
        </w:rPr>
        <w:t>废气非正常排放的环境风险评估；</w:t>
      </w:r>
    </w:p>
    <w:p>
      <w:pPr>
        <w:pStyle w:val="34"/>
        <w:widowControl w:val="0"/>
        <w:adjustRightInd w:val="0"/>
        <w:snapToGrid w:val="0"/>
        <w:spacing w:before="0" w:beforeAutospacing="0" w:after="0" w:afterAutospacing="0" w:line="500" w:lineRule="exact"/>
        <w:ind w:firstLine="480" w:firstLineChars="200"/>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pPr>
        <w:pStyle w:val="4"/>
        <w:adjustRightInd w:val="0"/>
        <w:snapToGrid w:val="0"/>
        <w:spacing w:line="500" w:lineRule="exact"/>
        <w:rPr>
          <w:rFonts w:eastAsia="宋体"/>
          <w:sz w:val="24"/>
          <w:szCs w:val="24"/>
        </w:rPr>
      </w:pPr>
      <w:bookmarkStart w:id="40" w:name="_Toc12721"/>
      <w:bookmarkStart w:id="41" w:name="_Toc7104"/>
      <w:bookmarkStart w:id="42" w:name="_Toc26808"/>
      <w:bookmarkStart w:id="43" w:name="_Toc3727"/>
      <w:r>
        <w:rPr>
          <w:rFonts w:eastAsia="宋体"/>
          <w:sz w:val="24"/>
          <w:szCs w:val="24"/>
        </w:rPr>
        <w:t xml:space="preserve">2.4 </w:t>
      </w:r>
      <w:r>
        <w:rPr>
          <w:rFonts w:eastAsia="宋体"/>
          <w:color w:val="000000" w:themeColor="text1"/>
          <w:sz w:val="24"/>
          <w:szCs w:val="24"/>
          <w14:textFill>
            <w14:solidFill>
              <w14:schemeClr w14:val="tx1"/>
            </w14:solidFill>
          </w14:textFill>
        </w:rPr>
        <w:t>环境风险评估程序</w:t>
      </w:r>
      <w:bookmarkEnd w:id="40"/>
      <w:bookmarkEnd w:id="41"/>
      <w:bookmarkEnd w:id="42"/>
      <w:bookmarkEnd w:id="43"/>
    </w:p>
    <w:p>
      <w:pPr>
        <w:adjustRightInd w:val="0"/>
        <w:snapToGrid w:val="0"/>
        <w:spacing w:line="500" w:lineRule="exact"/>
        <w:ind w:firstLine="480" w:firstLineChars="200"/>
        <w:rPr>
          <w:rFonts w:eastAsia="宋体"/>
        </w:rPr>
      </w:pPr>
      <w:r>
        <w:rPr>
          <w:rFonts w:hint="eastAsia" w:eastAsia="宋体"/>
          <w:color w:val="000000" w:themeColor="text1"/>
          <w:lang w:eastAsia="zh-CN"/>
          <w14:textFill>
            <w14:solidFill>
              <w14:schemeClr w14:val="tx1"/>
            </w14:solidFill>
          </w14:textFill>
        </w:rPr>
        <w:t>家得福家具海安有限公司</w:t>
      </w:r>
      <w:r>
        <w:rPr>
          <w:rFonts w:eastAsia="宋体"/>
        </w:rPr>
        <w:t>突发环境事件风险评估报告的风险评估程序见图2-1所示。</w:t>
      </w:r>
    </w:p>
    <w:p>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5"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pPr>
        <w:adjustRightInd w:val="0"/>
        <w:snapToGrid w:val="0"/>
        <w:spacing w:line="500" w:lineRule="exact"/>
        <w:jc w:val="center"/>
        <w:rPr>
          <w:rFonts w:eastAsia="宋体"/>
          <w:sz w:val="21"/>
          <w:szCs w:val="21"/>
        </w:rPr>
      </w:pPr>
      <w:r>
        <w:rPr>
          <w:rFonts w:eastAsia="宋体"/>
          <w:b/>
          <w:sz w:val="21"/>
          <w:szCs w:val="21"/>
        </w:rPr>
        <w:t>图2-1 突发环境事件风险评估报告的风险评估程序图</w:t>
      </w:r>
    </w:p>
    <w:p>
      <w:pPr>
        <w:pStyle w:val="4"/>
        <w:adjustRightInd w:val="0"/>
        <w:snapToGrid w:val="0"/>
        <w:spacing w:line="500" w:lineRule="exact"/>
        <w:rPr>
          <w:rFonts w:eastAsia="宋体"/>
          <w:sz w:val="24"/>
          <w:szCs w:val="24"/>
        </w:rPr>
      </w:pPr>
      <w:bookmarkStart w:id="44" w:name="_Toc19560"/>
      <w:bookmarkStart w:id="45" w:name="_Toc27051"/>
      <w:bookmarkStart w:id="46" w:name="_Toc4383"/>
      <w:r>
        <w:rPr>
          <w:rFonts w:eastAsia="宋体"/>
          <w:sz w:val="24"/>
          <w:szCs w:val="24"/>
        </w:rPr>
        <w:t>2.</w:t>
      </w:r>
      <w:r>
        <w:rPr>
          <w:rFonts w:hint="eastAsia" w:eastAsia="宋体"/>
          <w:sz w:val="24"/>
          <w:szCs w:val="24"/>
        </w:rPr>
        <w:t>5</w:t>
      </w:r>
      <w:r>
        <w:rPr>
          <w:rFonts w:eastAsia="宋体"/>
          <w:sz w:val="24"/>
          <w:szCs w:val="24"/>
        </w:rPr>
        <w:t xml:space="preserve"> </w:t>
      </w:r>
      <w:r>
        <w:rPr>
          <w:rFonts w:eastAsia="宋体"/>
          <w:color w:val="000000" w:themeColor="text1"/>
          <w:sz w:val="24"/>
          <w:szCs w:val="24"/>
          <w14:textFill>
            <w14:solidFill>
              <w14:schemeClr w14:val="tx1"/>
            </w14:solidFill>
          </w14:textFill>
        </w:rPr>
        <w:t>环境风险评估</w:t>
      </w:r>
      <w:r>
        <w:rPr>
          <w:rFonts w:hint="eastAsia" w:eastAsia="宋体"/>
          <w:color w:val="000000" w:themeColor="text1"/>
          <w:sz w:val="24"/>
          <w:szCs w:val="24"/>
          <w14:textFill>
            <w14:solidFill>
              <w14:schemeClr w14:val="tx1"/>
            </w14:solidFill>
          </w14:textFill>
        </w:rPr>
        <w:t>的一般要求</w:t>
      </w:r>
      <w:bookmarkEnd w:id="44"/>
      <w:bookmarkEnd w:id="45"/>
      <w:bookmarkEnd w:id="46"/>
    </w:p>
    <w:p>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pPr>
        <w:pStyle w:val="34"/>
        <w:adjustRightInd w:val="0"/>
        <w:snapToGrid w:val="0"/>
        <w:spacing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pPr>
        <w:pStyle w:val="34"/>
        <w:adjustRightInd w:val="0"/>
        <w:snapToGrid w:val="0"/>
        <w:spacing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pPr>
        <w:pStyle w:val="4"/>
        <w:adjustRightInd w:val="0"/>
        <w:snapToGrid w:val="0"/>
        <w:spacing w:line="500" w:lineRule="exact"/>
        <w:rPr>
          <w:rFonts w:eastAsia="宋体"/>
          <w:sz w:val="24"/>
          <w:szCs w:val="24"/>
        </w:rPr>
      </w:pPr>
      <w:bookmarkStart w:id="47" w:name="_Toc12603"/>
      <w:bookmarkStart w:id="48" w:name="_Toc489"/>
      <w:bookmarkStart w:id="49" w:name="_Toc9077"/>
      <w:r>
        <w:rPr>
          <w:rFonts w:eastAsia="宋体"/>
          <w:sz w:val="24"/>
          <w:szCs w:val="24"/>
        </w:rPr>
        <w:t>2.</w:t>
      </w:r>
      <w:r>
        <w:rPr>
          <w:rFonts w:hint="eastAsia" w:eastAsia="宋体"/>
          <w:sz w:val="24"/>
          <w:szCs w:val="24"/>
        </w:rPr>
        <w:t>6</w:t>
      </w:r>
      <w:r>
        <w:rPr>
          <w:rFonts w:eastAsia="宋体"/>
          <w:sz w:val="24"/>
          <w:szCs w:val="24"/>
        </w:rPr>
        <w:t xml:space="preserve"> </w:t>
      </w:r>
      <w:r>
        <w:rPr>
          <w:rFonts w:hint="eastAsia" w:eastAsia="宋体"/>
          <w:color w:val="000000" w:themeColor="text1"/>
          <w:sz w:val="24"/>
          <w:szCs w:val="24"/>
          <w14:textFill>
            <w14:solidFill>
              <w14:schemeClr w14:val="tx1"/>
            </w14:solidFill>
          </w14:textFill>
        </w:rPr>
        <w:t>术语与定义</w:t>
      </w:r>
      <w:bookmarkEnd w:id="47"/>
      <w:bookmarkEnd w:id="48"/>
      <w:bookmarkEnd w:id="49"/>
    </w:p>
    <w:p>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 P 与事故造成的环境（或健康）后果C的乘积，用R表示。</w:t>
      </w:r>
    </w:p>
    <w:p>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14:textFill>
            <w14:solidFill>
              <w14:schemeClr w14:val="tx1"/>
            </w14:solidFill>
          </w14:textFill>
        </w:rPr>
        <w:t>。</w:t>
      </w:r>
    </w:p>
    <w:p>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pPr>
        <w:pStyle w:val="34"/>
        <w:adjustRightInd w:val="0"/>
        <w:snapToGrid w:val="0"/>
        <w:spacing w:before="0" w:beforeAutospacing="0" w:after="0" w:afterAutospacing="0" w:line="500" w:lineRule="exact"/>
        <w:ind w:left="881" w:firstLine="480" w:firstLineChars="200"/>
        <w:rPr>
          <w:rFonts w:ascii="Times New Roman" w:hAnsi="Times New Roman" w:eastAsia="宋体"/>
          <w:color w:val="000000" w:themeColor="text1"/>
          <w14:textFill>
            <w14:solidFill>
              <w14:schemeClr w14:val="tx1"/>
            </w14:solidFill>
          </w14:textFill>
        </w:rPr>
      </w:pPr>
    </w:p>
    <w:p>
      <w:pPr>
        <w:sectPr>
          <w:footerReference r:id="rId8" w:type="default"/>
          <w:pgSz w:w="11906" w:h="16838"/>
          <w:pgMar w:top="1474" w:right="1417" w:bottom="1474" w:left="1417" w:header="851" w:footer="992" w:gutter="0"/>
          <w:cols w:space="720" w:num="1"/>
          <w:docGrid w:linePitch="312" w:charSpace="0"/>
        </w:sectPr>
      </w:pPr>
    </w:p>
    <w:p>
      <w:pPr>
        <w:pStyle w:val="3"/>
        <w:adjustRightInd w:val="0"/>
        <w:snapToGrid w:val="0"/>
        <w:spacing w:line="500" w:lineRule="exact"/>
        <w:rPr>
          <w:rFonts w:eastAsia="宋体"/>
          <w:sz w:val="24"/>
          <w:szCs w:val="24"/>
        </w:rPr>
      </w:pPr>
      <w:bookmarkStart w:id="50" w:name="_Toc18151"/>
      <w:bookmarkStart w:id="51" w:name="_Toc12045"/>
      <w:bookmarkStart w:id="52" w:name="_Toc14635"/>
      <w:bookmarkStart w:id="53" w:name="_Toc2364"/>
      <w:r>
        <w:rPr>
          <w:rFonts w:eastAsia="宋体"/>
          <w:sz w:val="24"/>
          <w:szCs w:val="24"/>
        </w:rPr>
        <w:t>3 资料准备与环境风险识别</w:t>
      </w:r>
      <w:bookmarkEnd w:id="50"/>
      <w:bookmarkEnd w:id="51"/>
      <w:bookmarkEnd w:id="52"/>
      <w:bookmarkEnd w:id="53"/>
    </w:p>
    <w:p>
      <w:pPr>
        <w:pStyle w:val="4"/>
        <w:adjustRightInd w:val="0"/>
        <w:snapToGrid w:val="0"/>
        <w:spacing w:line="500" w:lineRule="exact"/>
        <w:rPr>
          <w:rFonts w:eastAsia="宋体"/>
          <w:sz w:val="24"/>
          <w:szCs w:val="24"/>
        </w:rPr>
      </w:pPr>
      <w:bookmarkStart w:id="54" w:name="_Toc16038"/>
      <w:bookmarkStart w:id="55" w:name="_Toc28482"/>
      <w:bookmarkStart w:id="56" w:name="_Toc376"/>
      <w:bookmarkStart w:id="57" w:name="_Toc4446"/>
      <w:r>
        <w:rPr>
          <w:rFonts w:eastAsia="宋体"/>
          <w:sz w:val="24"/>
          <w:szCs w:val="24"/>
        </w:rPr>
        <w:t>3.1 企业基本信息</w:t>
      </w:r>
      <w:bookmarkEnd w:id="54"/>
      <w:bookmarkEnd w:id="55"/>
      <w:bookmarkEnd w:id="56"/>
      <w:bookmarkEnd w:id="57"/>
    </w:p>
    <w:p>
      <w:pPr>
        <w:pStyle w:val="2"/>
        <w:adjustRightInd w:val="0"/>
        <w:snapToGrid w:val="0"/>
        <w:spacing w:line="500" w:lineRule="exact"/>
        <w:rPr>
          <w:rFonts w:eastAsia="宋体"/>
          <w:szCs w:val="24"/>
        </w:rPr>
      </w:pPr>
      <w:bookmarkStart w:id="58" w:name="_Toc23827"/>
      <w:bookmarkStart w:id="59" w:name="_Toc30507"/>
      <w:bookmarkStart w:id="60" w:name="_Toc2782"/>
      <w:bookmarkStart w:id="61" w:name="_Toc21550"/>
      <w:r>
        <w:rPr>
          <w:rFonts w:eastAsia="宋体"/>
          <w:szCs w:val="24"/>
        </w:rPr>
        <w:t>3.1.1企业概况</w:t>
      </w:r>
      <w:bookmarkEnd w:id="58"/>
      <w:bookmarkEnd w:id="59"/>
      <w:bookmarkEnd w:id="60"/>
      <w:bookmarkEnd w:id="61"/>
    </w:p>
    <w:p>
      <w:pPr>
        <w:widowControl/>
        <w:adjustRightInd w:val="0"/>
        <w:snapToGrid w:val="0"/>
        <w:spacing w:line="500" w:lineRule="exact"/>
        <w:ind w:firstLine="480" w:firstLineChars="200"/>
        <w:rPr>
          <w:rFonts w:ascii="宋体" w:hAnsi="宋体" w:eastAsia="宋体" w:cs="宋体"/>
          <w:kern w:val="0"/>
          <w:szCs w:val="28"/>
        </w:rPr>
      </w:pPr>
      <w:r>
        <w:rPr>
          <w:rFonts w:hint="eastAsia" w:eastAsia="宋体"/>
          <w:bCs/>
          <w:color w:val="000000"/>
          <w:lang w:eastAsia="zh-CN"/>
        </w:rPr>
        <w:t>家得福家具海安有限公司</w:t>
      </w:r>
      <w:r>
        <w:rPr>
          <w:rFonts w:eastAsia="宋体"/>
          <w:bCs/>
          <w:color w:val="000000"/>
        </w:rPr>
        <w:t>成立于</w:t>
      </w:r>
      <w:r>
        <w:rPr>
          <w:rFonts w:hint="eastAsia" w:eastAsia="宋体"/>
          <w:bCs/>
          <w:color w:val="000000"/>
        </w:rPr>
        <w:t>201</w:t>
      </w:r>
      <w:r>
        <w:rPr>
          <w:rFonts w:hint="eastAsia" w:eastAsia="宋体"/>
          <w:bCs/>
          <w:color w:val="000000"/>
          <w:lang w:val="en-US" w:eastAsia="zh-CN"/>
        </w:rPr>
        <w:t>9</w:t>
      </w:r>
      <w:r>
        <w:rPr>
          <w:rFonts w:hint="eastAsia" w:eastAsia="宋体"/>
          <w:bCs/>
          <w:color w:val="000000"/>
        </w:rPr>
        <w:t>年</w:t>
      </w:r>
      <w:r>
        <w:rPr>
          <w:rFonts w:hint="eastAsia" w:eastAsia="宋体"/>
          <w:bCs/>
          <w:color w:val="000000"/>
          <w:lang w:val="en-US" w:eastAsia="zh-CN"/>
        </w:rPr>
        <w:t>6</w:t>
      </w:r>
      <w:r>
        <w:rPr>
          <w:rFonts w:hint="eastAsia" w:eastAsia="宋体"/>
          <w:bCs/>
          <w:color w:val="000000"/>
        </w:rPr>
        <w:t>月2</w:t>
      </w:r>
      <w:r>
        <w:rPr>
          <w:rFonts w:hint="eastAsia" w:eastAsia="宋体"/>
          <w:bCs/>
          <w:color w:val="000000"/>
          <w:lang w:val="en-US" w:eastAsia="zh-CN"/>
        </w:rPr>
        <w:t>0</w:t>
      </w:r>
      <w:r>
        <w:rPr>
          <w:rFonts w:hint="eastAsia" w:eastAsia="宋体"/>
          <w:bCs/>
          <w:color w:val="000000"/>
        </w:rPr>
        <w:t>日</w:t>
      </w:r>
      <w:r>
        <w:rPr>
          <w:rFonts w:eastAsia="宋体"/>
          <w:bCs/>
          <w:color w:val="000000"/>
        </w:rPr>
        <w:t>，</w:t>
      </w:r>
      <w:r>
        <w:rPr>
          <w:rFonts w:eastAsiaTheme="minorEastAsia"/>
          <w:kern w:val="0"/>
        </w:rPr>
        <w:t>位于</w:t>
      </w:r>
      <w:r>
        <w:rPr>
          <w:rFonts w:hint="eastAsia" w:eastAsiaTheme="minorEastAsia"/>
          <w:kern w:val="0"/>
        </w:rPr>
        <w:t>海安市经济技术开发区</w:t>
      </w:r>
      <w:r>
        <w:rPr>
          <w:rFonts w:hint="eastAsia" w:eastAsiaTheme="minorEastAsia"/>
          <w:kern w:val="0"/>
          <w:lang w:eastAsia="zh-CN"/>
        </w:rPr>
        <w:t>桃源路26号</w:t>
      </w:r>
      <w:r>
        <w:rPr>
          <w:rFonts w:eastAsiaTheme="minorEastAsia"/>
          <w:kern w:val="0"/>
        </w:rPr>
        <w:t>，</w:t>
      </w:r>
      <w:r>
        <w:rPr>
          <w:rFonts w:eastAsia="宋体"/>
          <w:bCs/>
          <w:color w:val="000000"/>
        </w:rPr>
        <w:t>是一家</w:t>
      </w:r>
      <w:r>
        <w:rPr>
          <w:rFonts w:eastAsia="宋体"/>
          <w:bCs/>
        </w:rPr>
        <w:t>专业</w:t>
      </w:r>
      <w:r>
        <w:rPr>
          <w:rFonts w:eastAsiaTheme="minorEastAsia"/>
          <w:kern w:val="0"/>
        </w:rPr>
        <w:t>从事</w:t>
      </w:r>
      <w:r>
        <w:rPr>
          <w:rFonts w:hint="eastAsia" w:ascii="Times New Roman" w:hAnsi="Times New Roman" w:cs="Times New Roman" w:eastAsiaTheme="minorEastAsia"/>
          <w:kern w:val="0"/>
          <w:sz w:val="24"/>
          <w:szCs w:val="24"/>
          <w:lang w:val="en-US" w:eastAsia="zh-CN"/>
        </w:rPr>
        <w:t>家具、木制品等生产</w:t>
      </w:r>
      <w:r>
        <w:rPr>
          <w:rFonts w:hint="eastAsia" w:ascii="Times New Roman" w:hAnsi="Times New Roman" w:cs="Times New Roman" w:eastAsiaTheme="minorEastAsia"/>
          <w:kern w:val="0"/>
          <w:sz w:val="24"/>
          <w:szCs w:val="24"/>
          <w:lang w:eastAsia="zh-CN"/>
        </w:rPr>
        <w:t>制造</w:t>
      </w:r>
      <w:r>
        <w:rPr>
          <w:rFonts w:eastAsia="宋体"/>
          <w:bCs/>
          <w:color w:val="000000"/>
        </w:rPr>
        <w:t>的企业。</w:t>
      </w:r>
      <w:r>
        <w:rPr>
          <w:rFonts w:hint="eastAsia" w:eastAsia="宋体"/>
          <w:bCs/>
          <w:color w:val="000000"/>
          <w:lang w:eastAsia="zh-CN"/>
        </w:rPr>
        <w:t>家得福家具</w:t>
      </w:r>
      <w:r>
        <w:rPr>
          <w:rFonts w:eastAsia="宋体"/>
          <w:color w:val="000000" w:themeColor="text1"/>
          <w14:textFill>
            <w14:solidFill>
              <w14:schemeClr w14:val="tx1"/>
            </w14:solidFill>
          </w14:textFill>
        </w:rPr>
        <w:t>占地</w:t>
      </w:r>
      <w:r>
        <w:rPr>
          <w:rFonts w:hint="eastAsia" w:eastAsiaTheme="minorEastAsia"/>
          <w:kern w:val="0"/>
          <w:lang w:val="en-US" w:eastAsia="zh-CN"/>
        </w:rPr>
        <w:t>9740</w:t>
      </w:r>
      <w:r>
        <w:rPr>
          <w:rFonts w:eastAsiaTheme="minorEastAsia"/>
          <w:kern w:val="0"/>
        </w:rPr>
        <w:t>平方米</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建筑面积</w:t>
      </w:r>
      <w:r>
        <w:rPr>
          <w:rFonts w:hint="eastAsia" w:ascii="Times New Roman" w:hAnsi="Times New Roman" w:cs="Times New Roman" w:eastAsiaTheme="minorEastAsia"/>
          <w:kern w:val="0"/>
          <w:sz w:val="24"/>
          <w:szCs w:val="24"/>
          <w:highlight w:val="none"/>
          <w:lang w:eastAsia="zh-CN"/>
        </w:rPr>
        <w:t>1</w:t>
      </w:r>
      <w:r>
        <w:rPr>
          <w:rFonts w:hint="eastAsia" w:ascii="Times New Roman" w:hAnsi="Times New Roman" w:cs="Times New Roman" w:eastAsiaTheme="minorEastAsia"/>
          <w:kern w:val="0"/>
          <w:sz w:val="24"/>
          <w:szCs w:val="24"/>
          <w:highlight w:val="none"/>
          <w:lang w:val="en-US" w:eastAsia="zh-CN"/>
        </w:rPr>
        <w:t>8898.35</w:t>
      </w:r>
      <w:r>
        <w:rPr>
          <w:rFonts w:hint="eastAsia" w:eastAsiaTheme="minorEastAsia"/>
          <w:kern w:val="0"/>
        </w:rPr>
        <w:t>平方米</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职工</w:t>
      </w:r>
      <w:r>
        <w:rPr>
          <w:rFonts w:hint="eastAsia" w:eastAsia="宋体"/>
          <w:lang w:val="en-US" w:eastAsia="zh-CN"/>
        </w:rPr>
        <w:t>5</w:t>
      </w:r>
      <w:r>
        <w:rPr>
          <w:rFonts w:hint="eastAsia" w:eastAsia="宋体"/>
        </w:rPr>
        <w:t>0</w:t>
      </w:r>
      <w:r>
        <w:rPr>
          <w:rFonts w:eastAsia="宋体"/>
          <w:color w:val="000000" w:themeColor="text1"/>
          <w14:textFill>
            <w14:solidFill>
              <w14:schemeClr w14:val="tx1"/>
            </w14:solidFill>
          </w14:textFill>
        </w:rPr>
        <w:t>人，</w:t>
      </w:r>
      <w:r>
        <w:rPr>
          <w:rFonts w:hint="eastAsia" w:eastAsia="宋体"/>
          <w:color w:val="000000" w:themeColor="text1"/>
          <w14:textFill>
            <w14:solidFill>
              <w14:schemeClr w14:val="tx1"/>
            </w14:solidFill>
          </w14:textFill>
        </w:rPr>
        <w:t>年工作300天，单班制，每班工作8小时，年生产时数2400h/a</w:t>
      </w:r>
      <w:r>
        <w:rPr>
          <w:rFonts w:eastAsia="宋体"/>
          <w:color w:val="000000" w:themeColor="text1"/>
          <w14:textFill>
            <w14:solidFill>
              <w14:schemeClr w14:val="tx1"/>
            </w14:solidFill>
          </w14:textFill>
        </w:rPr>
        <w:t>。</w:t>
      </w:r>
      <w:r>
        <w:rPr>
          <w:rFonts w:eastAsia="宋体"/>
          <w:bCs/>
          <w:color w:val="000000"/>
        </w:rPr>
        <w:t>公司基本情况汇总见表3-1。</w:t>
      </w:r>
    </w:p>
    <w:p>
      <w:pPr>
        <w:widowControl/>
        <w:tabs>
          <w:tab w:val="left" w:pos="1815"/>
          <w:tab w:val="left" w:pos="1845"/>
        </w:tabs>
        <w:adjustRightInd w:val="0"/>
        <w:snapToGrid w:val="0"/>
        <w:spacing w:line="500" w:lineRule="exact"/>
        <w:ind w:firstLine="562"/>
        <w:jc w:val="center"/>
        <w:rPr>
          <w:rFonts w:eastAsia="宋体"/>
          <w:b/>
          <w:szCs w:val="28"/>
        </w:rPr>
      </w:pPr>
      <w:r>
        <w:rPr>
          <w:rFonts w:eastAsia="宋体"/>
          <w:b/>
          <w:szCs w:val="28"/>
        </w:rPr>
        <w:t xml:space="preserve">表3-1 </w:t>
      </w:r>
      <w:r>
        <w:rPr>
          <w:rFonts w:hint="eastAsia" w:eastAsia="宋体"/>
          <w:b/>
          <w:szCs w:val="28"/>
          <w:lang w:eastAsia="zh-CN"/>
        </w:rPr>
        <w:t>家得福家具</w:t>
      </w:r>
      <w:r>
        <w:rPr>
          <w:rFonts w:eastAsia="宋体"/>
          <w:b/>
          <w:szCs w:val="28"/>
        </w:rPr>
        <w:t>基本情况汇总表</w:t>
      </w:r>
    </w:p>
    <w:tbl>
      <w:tblPr>
        <w:tblStyle w:val="38"/>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pPr>
              <w:pStyle w:val="102"/>
              <w:jc w:val="center"/>
              <w:rPr>
                <w:rFonts w:hint="eastAsia" w:ascii="Times New Roman" w:eastAsia="宋体" w:cs="Times New Roman"/>
                <w:sz w:val="21"/>
                <w:szCs w:val="21"/>
                <w:lang w:eastAsia="zh-CN"/>
              </w:rPr>
            </w:pPr>
            <w:r>
              <w:rPr>
                <w:rFonts w:hint="eastAsia" w:ascii="Times New Roman" w:eastAsia="宋体" w:cs="Times New Roman"/>
                <w:bCs/>
                <w:sz w:val="21"/>
                <w:szCs w:val="21"/>
                <w:lang w:eastAsia="zh-CN"/>
              </w:rPr>
              <w:t>家得福家具海安有限公司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hint="eastAsia" w:ascii="Times New Roman" w:eastAsia="宋体" w:cs="Times New Roman"/>
                <w:sz w:val="21"/>
                <w:szCs w:val="21"/>
                <w:lang w:eastAsia="zh-CN"/>
              </w:rPr>
            </w:pPr>
            <w:r>
              <w:rPr>
                <w:rFonts w:hint="eastAsia" w:ascii="Times New Roman" w:eastAsia="宋体" w:cs="Times New Roman"/>
                <w:sz w:val="21"/>
                <w:szCs w:val="21"/>
              </w:rPr>
              <w:t>海安市经济技术开发区</w:t>
            </w:r>
            <w:r>
              <w:rPr>
                <w:rFonts w:hint="eastAsia" w:ascii="Times New Roman" w:eastAsia="宋体" w:cs="Times New Roman"/>
                <w:sz w:val="21"/>
                <w:szCs w:val="21"/>
                <w:lang w:eastAsia="zh-CN"/>
              </w:rPr>
              <w:t>桃源路26号</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2"/>
              <w:jc w:val="center"/>
              <w:rPr>
                <w:rFonts w:ascii="Times New Roman" w:eastAsia="宋体" w:cs="Times New Roman"/>
                <w:sz w:val="21"/>
                <w:szCs w:val="21"/>
              </w:rPr>
            </w:pPr>
            <w:r>
              <w:rPr>
                <w:rFonts w:hint="eastAsia" w:ascii="Times New Roman" w:eastAsia="宋体" w:cs="Times New Roman"/>
                <w:sz w:val="21"/>
                <w:szCs w:val="21"/>
              </w:rPr>
              <w:t>经济技术开发区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2"/>
              <w:jc w:val="center"/>
              <w:rPr>
                <w:rFonts w:ascii="Times New Roman" w:eastAsia="宋体" w:cs="Times New Roman"/>
                <w:sz w:val="21"/>
                <w:szCs w:val="21"/>
              </w:rPr>
            </w:pPr>
            <w:r>
              <w:rPr>
                <w:rFonts w:hint="eastAsia" w:ascii="Times New Roman" w:eastAsia="宋体" w:cs="Times New Roman"/>
                <w:sz w:val="21"/>
                <w:szCs w:val="21"/>
              </w:rPr>
              <w:t>城东镇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hint="eastAsia" w:ascii="Times New Roman" w:eastAsia="宋体" w:cs="Times New Roman"/>
                <w:sz w:val="21"/>
                <w:szCs w:val="21"/>
                <w:lang w:eastAsia="zh-CN"/>
              </w:rPr>
            </w:pPr>
            <w:r>
              <w:rPr>
                <w:rFonts w:hint="eastAsia" w:ascii="Times New Roman" w:eastAsia="宋体" w:cs="Times New Roman"/>
                <w:sz w:val="21"/>
                <w:szCs w:val="21"/>
                <w:lang w:eastAsia="zh-CN"/>
              </w:rPr>
              <w:t>邱家锋</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2"/>
              <w:jc w:val="center"/>
              <w:rPr>
                <w:rFonts w:ascii="Times New Roman" w:eastAsia="宋体" w:cs="Times New Roman"/>
                <w:sz w:val="21"/>
                <w:szCs w:val="21"/>
              </w:rPr>
            </w:pPr>
            <w:r>
              <w:rPr>
                <w:rFonts w:hint="eastAsia" w:ascii="Times New Roman" w:eastAsia="宋体" w:cs="Times New Roman"/>
                <w:sz w:val="21"/>
                <w:szCs w:val="21"/>
              </w:rPr>
              <w:t>韩徐村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91320621MA1WFDMW7R</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hint="eastAsia" w:ascii="Times New Roman" w:eastAsia="宋体" w:cs="Times New Roman"/>
                <w:sz w:val="21"/>
                <w:szCs w:val="21"/>
              </w:rPr>
              <w:t>占地</w:t>
            </w:r>
            <w:r>
              <w:rPr>
                <w:rFonts w:ascii="Times New Roman" w:eastAsia="宋体" w:cs="Times New Roman"/>
                <w:sz w:val="21"/>
                <w:szCs w:val="21"/>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2"/>
              <w:jc w:val="center"/>
              <w:rPr>
                <w:rFonts w:ascii="Times New Roman" w:eastAsia="宋体" w:cs="Times New Roman"/>
                <w:sz w:val="21"/>
                <w:szCs w:val="21"/>
              </w:rPr>
            </w:pPr>
            <w:r>
              <w:rPr>
                <w:rFonts w:hint="eastAsia" w:ascii="Times New Roman" w:cs="Times New Roman" w:eastAsiaTheme="minorEastAsia"/>
                <w:sz w:val="21"/>
                <w:szCs w:val="21"/>
                <w:lang w:val="en-US" w:eastAsia="zh-CN"/>
              </w:rPr>
              <w:t>9740</w:t>
            </w:r>
            <w:r>
              <w:rPr>
                <w:rFonts w:hint="eastAsia" w:ascii="Times New Roman"/>
                <w:sz w:val="21"/>
              </w:rPr>
              <w:t>m</w:t>
            </w:r>
            <w:r>
              <w:rPr>
                <w:rFonts w:hint="eastAsia" w:ascii="Times New Roman"/>
                <w:sz w:val="21"/>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hint="eastAsia" w:ascii="Times New Roman" w:eastAsia="宋体" w:cs="Times New Roman"/>
                <w:sz w:val="21"/>
                <w:szCs w:val="21"/>
              </w:rPr>
              <w:t>/</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hint="eastAsia" w:ascii="Times New Roman" w:eastAsia="宋体" w:cs="Times New Roman"/>
                <w:sz w:val="21"/>
                <w:szCs w:val="21"/>
              </w:rPr>
              <w:t>建筑面积</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2"/>
              <w:jc w:val="center"/>
              <w:rPr>
                <w:rFonts w:ascii="Times New Roman" w:eastAsia="宋体" w:cs="Times New Roman"/>
                <w:sz w:val="21"/>
                <w:szCs w:val="21"/>
              </w:rPr>
            </w:pPr>
            <w:r>
              <w:rPr>
                <w:rFonts w:hint="eastAsia" w:ascii="Times New Roman"/>
                <w:sz w:val="21"/>
                <w:lang w:val="en-US" w:eastAsia="zh-CN"/>
              </w:rPr>
              <w:t>18898.35</w:t>
            </w:r>
            <w:r>
              <w:rPr>
                <w:rFonts w:hint="eastAsia" w:ascii="Times New Roman"/>
                <w:sz w:val="21"/>
              </w:rPr>
              <w:t>m</w:t>
            </w:r>
            <w:r>
              <w:rPr>
                <w:rFonts w:hint="eastAsia" w:ascii="Times New Roman"/>
                <w:sz w:val="21"/>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hint="eastAsia" w:ascii="Times New Roman" w:eastAsia="宋体" w:cs="Times New Roman"/>
                <w:sz w:val="21"/>
                <w:szCs w:val="21"/>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cs="Times New Roman"/>
                <w:sz w:val="21"/>
                <w:szCs w:val="21"/>
              </w:rPr>
            </w:pPr>
            <w:r>
              <w:rPr>
                <w:rFonts w:hint="eastAsia" w:ascii="宋体" w:hAnsi="宋体" w:eastAsia="宋体" w:cs="宋体"/>
                <w:sz w:val="21"/>
                <w:szCs w:val="21"/>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2"/>
              <w:jc w:val="center"/>
              <w:rPr>
                <w:rFonts w:ascii="Times New Roman" w:eastAsia="宋体" w:cs="Times New Roman"/>
                <w:sz w:val="21"/>
                <w:szCs w:val="21"/>
              </w:rPr>
            </w:pPr>
            <w:r>
              <w:rPr>
                <w:rFonts w:hint="eastAsia" w:ascii="Times New Roman" w:eastAsia="宋体" w:cs="Times New Roman"/>
                <w:color w:val="auto"/>
                <w:sz w:val="21"/>
                <w:szCs w:val="21"/>
                <w:lang w:val="en-US" w:eastAsia="zh-CN"/>
              </w:rPr>
              <w:t>5</w:t>
            </w:r>
            <w:r>
              <w:rPr>
                <w:rFonts w:hint="eastAsia" w:ascii="Times New Roman" w:eastAsia="宋体" w:cs="Times New Roman"/>
                <w:color w:val="auto"/>
                <w:sz w:val="21"/>
                <w:szCs w:val="21"/>
              </w:rPr>
              <w:t>0</w:t>
            </w:r>
            <w:r>
              <w:rPr>
                <w:rFonts w:hint="eastAsia" w:ascii="Times New Roman" w:eastAsia="宋体" w:cs="Times New Roman"/>
                <w:sz w:val="21"/>
                <w:szCs w:val="21"/>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hint="eastAsia" w:ascii="Times New Roman" w:eastAsia="宋体" w:cs="Times New Roman"/>
                <w:sz w:val="21"/>
                <w:szCs w:val="21"/>
              </w:rPr>
              <w:t>木材、水性漆等</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2"/>
              <w:jc w:val="center"/>
              <w:rPr>
                <w:rFonts w:ascii="Times New Roman" w:eastAsia="宋体" w:cs="Times New Roman"/>
                <w:sz w:val="21"/>
                <w:szCs w:val="21"/>
              </w:rPr>
            </w:pPr>
            <w:r>
              <w:rPr>
                <w:rFonts w:hint="eastAsia" w:ascii="Times New Roman" w:eastAsia="宋体" w:cs="Times New Roman"/>
                <w:sz w:val="21"/>
                <w:szCs w:val="21"/>
              </w:rPr>
              <w:t>C2110 木质家具制造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hint="eastAsia" w:ascii="Times New Roman" w:eastAsia="宋体" w:cs="Times New Roman"/>
                <w:sz w:val="21"/>
                <w:szCs w:val="21"/>
              </w:rPr>
              <w:t>家具</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2"/>
              <w:jc w:val="center"/>
              <w:rPr>
                <w:rFonts w:hint="default" w:ascii="Times New Roman" w:eastAsia="仿宋_GB2312" w:cs="Times New Roman"/>
                <w:sz w:val="21"/>
                <w:szCs w:val="21"/>
                <w:lang w:val="en-US" w:eastAsia="zh-CN"/>
              </w:rPr>
            </w:pPr>
            <w:r>
              <w:rPr>
                <w:rFonts w:hint="eastAsia" w:ascii="Times New Roman" w:eastAsia="宋体" w:cs="Times New Roman"/>
                <w:sz w:val="21"/>
                <w:szCs w:val="21"/>
              </w:rPr>
              <w:t>E</w:t>
            </w:r>
            <w:r>
              <w:rPr>
                <w:rFonts w:hint="eastAsia" w:ascii="Times New Roman" w:cs="Times New Roman"/>
                <w:sz w:val="21"/>
                <w:szCs w:val="21"/>
              </w:rPr>
              <w:t>120.53</w:t>
            </w:r>
            <w:r>
              <w:rPr>
                <w:rFonts w:hint="eastAsia" w:ascii="Times New Roman" w:cs="Times New Roman"/>
                <w:sz w:val="21"/>
                <w:szCs w:val="21"/>
                <w:lang w:val="en-US" w:eastAsia="zh-CN"/>
              </w:rPr>
              <w:t>8841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color w:val="auto"/>
                <w:sz w:val="21"/>
                <w:szCs w:val="21"/>
              </w:rPr>
            </w:pPr>
            <w:r>
              <w:rPr>
                <w:rFonts w:hint="eastAsia" w:ascii="Times New Roman" w:eastAsia="宋体" w:cs="Times New Roman"/>
                <w:sz w:val="21"/>
                <w:szCs w:val="21"/>
                <w:lang w:eastAsia="zh-CN"/>
              </w:rPr>
              <w:t>邱家锋</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2"/>
              <w:jc w:val="center"/>
              <w:rPr>
                <w:rFonts w:hint="default" w:ascii="Times New Roman" w:eastAsia="仿宋_GB2312" w:cs="Times New Roman"/>
                <w:sz w:val="21"/>
                <w:szCs w:val="21"/>
                <w:lang w:val="en-US" w:eastAsia="zh-CN"/>
              </w:rPr>
            </w:pPr>
            <w:r>
              <w:rPr>
                <w:rFonts w:hint="eastAsia" w:ascii="Times New Roman" w:eastAsia="宋体" w:cs="Times New Roman"/>
                <w:sz w:val="21"/>
                <w:szCs w:val="21"/>
              </w:rPr>
              <w:t>N</w:t>
            </w:r>
            <w:r>
              <w:rPr>
                <w:rFonts w:hint="eastAsia" w:ascii="Times New Roman" w:cs="Times New Roman"/>
                <w:sz w:val="21"/>
                <w:szCs w:val="21"/>
              </w:rPr>
              <w:t>32.5</w:t>
            </w:r>
            <w:r>
              <w:rPr>
                <w:rFonts w:hint="eastAsia" w:ascii="Times New Roman" w:cs="Times New Roman"/>
                <w:sz w:val="21"/>
                <w:szCs w:val="21"/>
                <w:lang w:val="en-US" w:eastAsia="zh-CN"/>
              </w:rPr>
              <w:t>70288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hint="eastAsia" w:ascii="Times New Roman" w:eastAsia="宋体" w:cs="Times New Roman"/>
                <w:sz w:val="21"/>
                <w:szCs w:val="21"/>
                <w:lang w:val="en-US" w:eastAsia="zh-CN"/>
              </w:rPr>
              <w:t>13901943235</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2"/>
              <w:jc w:val="center"/>
              <w:rPr>
                <w:rFonts w:ascii="Times New Roman" w:eastAsia="宋体" w:cs="Times New Roman"/>
                <w:sz w:val="21"/>
                <w:szCs w:val="21"/>
              </w:rPr>
            </w:pPr>
            <w:r>
              <w:rPr>
                <w:rFonts w:ascii="Times New Roman" w:eastAsia="宋体" w:cs="Times New Roman"/>
                <w:sz w:val="21"/>
                <w:szCs w:val="21"/>
              </w:rPr>
              <w:t>无</w:t>
            </w:r>
          </w:p>
        </w:tc>
      </w:tr>
    </w:tbl>
    <w:p>
      <w:pPr>
        <w:adjustRightInd w:val="0"/>
        <w:snapToGrid w:val="0"/>
        <w:spacing w:line="500" w:lineRule="exact"/>
        <w:ind w:firstLine="480" w:firstLineChars="200"/>
        <w:jc w:val="left"/>
        <w:rPr>
          <w:rFonts w:eastAsia="宋体"/>
        </w:rPr>
      </w:pPr>
      <w:r>
        <w:rPr>
          <w:rFonts w:eastAsia="宋体"/>
        </w:rPr>
        <w:t>公司具体</w:t>
      </w:r>
      <w:r>
        <w:rPr>
          <w:rFonts w:hint="eastAsia" w:eastAsia="宋体"/>
        </w:rPr>
        <w:t>环评</w:t>
      </w:r>
      <w:r>
        <w:rPr>
          <w:rFonts w:eastAsia="宋体"/>
        </w:rPr>
        <w:t>情况见表3-2。</w:t>
      </w:r>
    </w:p>
    <w:p>
      <w:pPr>
        <w:widowControl/>
        <w:tabs>
          <w:tab w:val="left" w:pos="1815"/>
          <w:tab w:val="left" w:pos="1845"/>
        </w:tabs>
        <w:adjustRightInd w:val="0"/>
        <w:snapToGrid w:val="0"/>
        <w:spacing w:line="500" w:lineRule="exact"/>
        <w:ind w:firstLine="562"/>
        <w:jc w:val="center"/>
        <w:rPr>
          <w:rFonts w:eastAsia="宋体"/>
          <w:b/>
          <w:szCs w:val="28"/>
        </w:rPr>
      </w:pPr>
      <w:r>
        <w:rPr>
          <w:rFonts w:eastAsia="宋体"/>
          <w:b/>
          <w:szCs w:val="28"/>
        </w:rPr>
        <w:t xml:space="preserve">表3-2 </w:t>
      </w:r>
      <w:r>
        <w:rPr>
          <w:rFonts w:hint="eastAsia" w:eastAsia="宋体"/>
          <w:b/>
          <w:szCs w:val="28"/>
        </w:rPr>
        <w:t>环评收情况</w:t>
      </w:r>
    </w:p>
    <w:tbl>
      <w:tblPr>
        <w:tblStyle w:val="3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62"/>
        <w:gridCol w:w="2055"/>
        <w:gridCol w:w="2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pPr>
              <w:widowControl/>
              <w:adjustRightInd w:val="0"/>
              <w:snapToGrid w:val="0"/>
              <w:jc w:val="center"/>
              <w:rPr>
                <w:rFonts w:eastAsia="宋体"/>
                <w:sz w:val="21"/>
                <w:szCs w:val="21"/>
              </w:rPr>
            </w:pPr>
            <w:r>
              <w:rPr>
                <w:rFonts w:eastAsia="宋体"/>
                <w:sz w:val="21"/>
                <w:szCs w:val="21"/>
              </w:rPr>
              <w:t>项目</w:t>
            </w:r>
          </w:p>
        </w:tc>
        <w:tc>
          <w:tcPr>
            <w:tcW w:w="2574" w:type="pct"/>
            <w:gridSpan w:val="2"/>
            <w:tcBorders>
              <w:tl2br w:val="nil"/>
              <w:tr2bl w:val="nil"/>
            </w:tcBorders>
            <w:shd w:val="clear" w:color="auto" w:fill="auto"/>
            <w:vAlign w:val="center"/>
          </w:tcPr>
          <w:p>
            <w:pPr>
              <w:widowControl/>
              <w:adjustRightInd w:val="0"/>
              <w:snapToGrid w:val="0"/>
              <w:jc w:val="center"/>
              <w:rPr>
                <w:rFonts w:eastAsia="宋体"/>
                <w:sz w:val="21"/>
                <w:szCs w:val="21"/>
              </w:rPr>
            </w:pPr>
            <w:r>
              <w:rPr>
                <w:rFonts w:hint="eastAsia" w:eastAsia="宋体"/>
                <w:sz w:val="21"/>
                <w:szCs w:val="21"/>
              </w:rPr>
              <w:t>环评</w:t>
            </w:r>
            <w:r>
              <w:rPr>
                <w:rFonts w:eastAsia="宋体"/>
                <w:sz w:val="21"/>
                <w:szCs w:val="21"/>
              </w:rPr>
              <w:t>批复情况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pPr>
              <w:widowControl/>
              <w:adjustRightInd w:val="0"/>
              <w:snapToGrid w:val="0"/>
              <w:jc w:val="center"/>
              <w:rPr>
                <w:rFonts w:eastAsia="宋体"/>
                <w:sz w:val="21"/>
                <w:szCs w:val="21"/>
              </w:rPr>
            </w:pPr>
          </w:p>
        </w:tc>
        <w:tc>
          <w:tcPr>
            <w:tcW w:w="1117" w:type="pct"/>
            <w:tcBorders>
              <w:tl2br w:val="nil"/>
              <w:tr2bl w:val="nil"/>
            </w:tcBorders>
            <w:shd w:val="clear" w:color="auto" w:fill="auto"/>
            <w:vAlign w:val="center"/>
          </w:tcPr>
          <w:p>
            <w:pPr>
              <w:widowControl/>
              <w:adjustRightInd w:val="0"/>
              <w:snapToGrid w:val="0"/>
              <w:jc w:val="center"/>
              <w:rPr>
                <w:rFonts w:eastAsia="宋体"/>
                <w:sz w:val="21"/>
                <w:szCs w:val="21"/>
              </w:rPr>
            </w:pPr>
            <w:r>
              <w:rPr>
                <w:rFonts w:eastAsia="宋体"/>
                <w:sz w:val="21"/>
                <w:szCs w:val="21"/>
              </w:rPr>
              <w:t>审批单位</w:t>
            </w:r>
          </w:p>
        </w:tc>
        <w:tc>
          <w:tcPr>
            <w:tcW w:w="1456" w:type="pct"/>
            <w:tcBorders>
              <w:tl2br w:val="nil"/>
              <w:tr2bl w:val="nil"/>
            </w:tcBorders>
            <w:shd w:val="clear" w:color="auto" w:fill="auto"/>
            <w:vAlign w:val="center"/>
          </w:tcPr>
          <w:p>
            <w:pPr>
              <w:widowControl/>
              <w:adjustRightInd w:val="0"/>
              <w:snapToGrid w:val="0"/>
              <w:jc w:val="center"/>
              <w:rPr>
                <w:rFonts w:eastAsia="宋体"/>
                <w:sz w:val="21"/>
                <w:szCs w:val="21"/>
              </w:rPr>
            </w:pPr>
            <w:r>
              <w:rPr>
                <w:rFonts w:eastAsia="宋体"/>
                <w:sz w:val="21"/>
                <w:szCs w:val="21"/>
              </w:rPr>
              <w:t>审批文号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pPr>
              <w:widowControl/>
              <w:adjustRightInd w:val="0"/>
              <w:snapToGrid w:val="0"/>
              <w:jc w:val="center"/>
              <w:rPr>
                <w:rFonts w:eastAsia="宋体"/>
                <w:sz w:val="21"/>
                <w:szCs w:val="21"/>
              </w:rPr>
            </w:pPr>
            <w:r>
              <w:rPr>
                <w:rFonts w:hint="eastAsia" w:eastAsia="宋体"/>
                <w:sz w:val="21"/>
                <w:szCs w:val="21"/>
                <w:lang w:eastAsia="zh-CN"/>
              </w:rPr>
              <w:t>家得福家具海安有限公司</w:t>
            </w:r>
            <w:r>
              <w:rPr>
                <w:rFonts w:hint="eastAsia" w:eastAsia="宋体"/>
                <w:sz w:val="21"/>
                <w:szCs w:val="21"/>
              </w:rPr>
              <w:t>家具制造项目</w:t>
            </w:r>
          </w:p>
        </w:tc>
        <w:tc>
          <w:tcPr>
            <w:tcW w:w="1117" w:type="pct"/>
            <w:tcBorders>
              <w:tl2br w:val="nil"/>
              <w:tr2bl w:val="nil"/>
            </w:tcBorders>
            <w:shd w:val="clear" w:color="auto" w:fill="auto"/>
            <w:vAlign w:val="center"/>
          </w:tcPr>
          <w:p>
            <w:pPr>
              <w:widowControl/>
              <w:adjustRightInd w:val="0"/>
              <w:snapToGrid w:val="0"/>
              <w:jc w:val="center"/>
              <w:rPr>
                <w:rFonts w:eastAsia="宋体"/>
                <w:sz w:val="21"/>
                <w:szCs w:val="21"/>
              </w:rPr>
            </w:pPr>
            <w:r>
              <w:rPr>
                <w:rFonts w:eastAsia="宋体"/>
                <w:sz w:val="21"/>
                <w:szCs w:val="21"/>
              </w:rPr>
              <w:t>海安经济技术开发区行政审批局</w:t>
            </w:r>
          </w:p>
        </w:tc>
        <w:tc>
          <w:tcPr>
            <w:tcW w:w="1456" w:type="pct"/>
            <w:tcBorders>
              <w:tl2br w:val="nil"/>
              <w:tr2bl w:val="nil"/>
            </w:tcBorders>
            <w:shd w:val="clear" w:color="auto" w:fill="auto"/>
            <w:vAlign w:val="center"/>
          </w:tcPr>
          <w:p>
            <w:pPr>
              <w:widowControl/>
              <w:adjustRightInd w:val="0"/>
              <w:snapToGrid w:val="0"/>
              <w:jc w:val="center"/>
              <w:rPr>
                <w:rFonts w:eastAsia="宋体"/>
                <w:sz w:val="21"/>
                <w:szCs w:val="21"/>
              </w:rPr>
            </w:pPr>
            <w:r>
              <w:rPr>
                <w:rFonts w:hint="eastAsia" w:eastAsia="宋体"/>
                <w:sz w:val="21"/>
                <w:szCs w:val="21"/>
              </w:rPr>
              <w:t>海开行审〔2022〕</w:t>
            </w:r>
            <w:r>
              <w:rPr>
                <w:rFonts w:hint="eastAsia" w:eastAsia="宋体"/>
                <w:sz w:val="21"/>
                <w:szCs w:val="21"/>
                <w:lang w:val="en-US" w:eastAsia="zh-CN"/>
              </w:rPr>
              <w:t>27</w:t>
            </w:r>
            <w:r>
              <w:rPr>
                <w:rFonts w:hint="eastAsia" w:eastAsia="宋体"/>
                <w:sz w:val="21"/>
                <w:szCs w:val="21"/>
              </w:rPr>
              <w:t>号</w:t>
            </w:r>
          </w:p>
        </w:tc>
      </w:tr>
    </w:tbl>
    <w:p>
      <w:pPr>
        <w:pStyle w:val="2"/>
        <w:adjustRightInd w:val="0"/>
        <w:snapToGrid w:val="0"/>
        <w:spacing w:line="500" w:lineRule="exact"/>
        <w:jc w:val="left"/>
        <w:rPr>
          <w:rFonts w:eastAsia="宋体"/>
        </w:rPr>
      </w:pPr>
      <w:bookmarkStart w:id="62" w:name="_Toc12964"/>
      <w:bookmarkStart w:id="63" w:name="_Toc16237"/>
      <w:bookmarkStart w:id="64" w:name="_Toc21080"/>
      <w:bookmarkStart w:id="65" w:name="_Toc496887104"/>
      <w:bookmarkStart w:id="66" w:name="_Toc510092931"/>
      <w:bookmarkStart w:id="67" w:name="_Toc16743"/>
      <w:r>
        <w:rPr>
          <w:rFonts w:eastAsia="宋体"/>
        </w:rPr>
        <w:t>3.1.2自然环境</w:t>
      </w:r>
      <w:bookmarkEnd w:id="62"/>
      <w:bookmarkEnd w:id="63"/>
      <w:bookmarkEnd w:id="64"/>
      <w:bookmarkEnd w:id="65"/>
      <w:bookmarkEnd w:id="66"/>
      <w:bookmarkEnd w:id="67"/>
    </w:p>
    <w:p>
      <w:pPr>
        <w:pStyle w:val="18"/>
        <w:spacing w:line="500" w:lineRule="exact"/>
        <w:ind w:firstLine="48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14:textFill>
            <w14:solidFill>
              <w14:schemeClr w14:val="tx1"/>
            </w14:solidFill>
          </w14:textFill>
        </w:rPr>
        <w:t>经济技术开发区</w:t>
      </w:r>
      <w:r>
        <w:rPr>
          <w:rFonts w:ascii="Times New Roman" w:hAnsi="Times New Roman" w:eastAsia="宋体" w:cs="Times New Roman"/>
          <w:color w:val="000000" w:themeColor="text1"/>
          <w:szCs w:val="24"/>
          <w14:textFill>
            <w14:solidFill>
              <w14:schemeClr w14:val="tx1"/>
            </w14:solidFill>
          </w14:textFill>
        </w:rPr>
        <w:t>，具体位置见附图。</w:t>
      </w:r>
    </w:p>
    <w:p>
      <w:pPr>
        <w:pStyle w:val="18"/>
        <w:snapToGrid w:val="0"/>
        <w:spacing w:line="500" w:lineRule="exact"/>
        <w:ind w:firstLine="480" w:firstLineChars="200"/>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1）地理位置：海安市地处江苏省中南部，地处北纬32°32′～32°43′</w:t>
      </w:r>
      <w:r>
        <w:rPr>
          <w:rFonts w:hint="eastAsia" w:ascii="Times New Roman" w:hAnsi="Times New Roman" w:eastAsia="宋体" w:cs="Times New Roman"/>
          <w:color w:val="000000" w:themeColor="text1"/>
          <w:szCs w:val="24"/>
          <w14:textFill>
            <w14:solidFill>
              <w14:schemeClr w14:val="tx1"/>
            </w14:solidFill>
          </w14:textFill>
        </w:rPr>
        <w:t>，东经</w:t>
      </w:r>
      <w:r>
        <w:rPr>
          <w:rFonts w:ascii="Times New Roman" w:hAnsi="Times New Roman" w:eastAsia="宋体" w:cs="Times New Roman"/>
          <w:color w:val="000000" w:themeColor="text1"/>
          <w:szCs w:val="24"/>
          <w14:textFill>
            <w14:solidFill>
              <w14:schemeClr w14:val="tx1"/>
            </w14:solidFill>
          </w14:textFill>
        </w:rPr>
        <w:t>120°12′～120°53′，坐落于长江三角洲东北翼，西接姜堰市，东临南黄海，北接东台市，南与泰兴市、如皋市、如东县毗连，地理位置优越。204国道、328国道和202省道贯穿全境，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洋蛮河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pPr>
        <w:adjustRightInd w:val="0"/>
        <w:snapToGrid w:val="0"/>
        <w:spacing w:line="500" w:lineRule="exact"/>
        <w:ind w:firstLine="480" w:firstLineChars="200"/>
        <w:rPr>
          <w:rFonts w:eastAsia="宋体"/>
          <w:kern w:val="0"/>
        </w:rPr>
      </w:pPr>
      <w:r>
        <w:rPr>
          <w:rFonts w:eastAsia="宋体"/>
          <w:kern w:val="0"/>
        </w:rPr>
        <w:t>2）地形地貌</w:t>
      </w:r>
    </w:p>
    <w:p>
      <w:pPr>
        <w:adjustRightInd w:val="0"/>
        <w:snapToGrid w:val="0"/>
        <w:spacing w:line="500" w:lineRule="exact"/>
        <w:ind w:firstLine="480" w:firstLineChars="200"/>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pPr>
        <w:adjustRightInd w:val="0"/>
        <w:snapToGrid w:val="0"/>
        <w:spacing w:line="500" w:lineRule="exact"/>
        <w:ind w:firstLine="480" w:firstLineChars="200"/>
        <w:rPr>
          <w:rFonts w:eastAsia="宋体"/>
          <w:kern w:val="0"/>
        </w:rPr>
      </w:pPr>
      <w:r>
        <w:rPr>
          <w:rFonts w:eastAsia="宋体"/>
          <w:kern w:val="0"/>
        </w:rPr>
        <w:t>3）地质</w:t>
      </w:r>
    </w:p>
    <w:p>
      <w:pPr>
        <w:adjustRightInd w:val="0"/>
        <w:snapToGrid w:val="0"/>
        <w:spacing w:line="500" w:lineRule="exact"/>
        <w:ind w:firstLine="480" w:firstLineChars="200"/>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pPr>
        <w:pStyle w:val="13"/>
        <w:spacing w:after="0" w:line="500" w:lineRule="exact"/>
        <w:ind w:firstLine="480" w:firstLineChars="200"/>
        <w:rPr>
          <w:rFonts w:eastAsia="宋体"/>
          <w:kern w:val="0"/>
        </w:rPr>
      </w:pPr>
      <w:r>
        <w:rPr>
          <w:rFonts w:eastAsia="宋体"/>
          <w:kern w:val="0"/>
        </w:rPr>
        <w:t>4）土壤</w:t>
      </w:r>
    </w:p>
    <w:p>
      <w:pPr>
        <w:pStyle w:val="18"/>
        <w:snapToGrid w:val="0"/>
        <w:spacing w:line="500" w:lineRule="exact"/>
        <w:ind w:firstLine="480" w:firstLineChars="200"/>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pPr>
        <w:adjustRightInd w:val="0"/>
        <w:snapToGrid w:val="0"/>
        <w:spacing w:line="500" w:lineRule="exact"/>
        <w:ind w:firstLine="480" w:firstLineChars="200"/>
        <w:rPr>
          <w:rFonts w:eastAsia="宋体"/>
          <w:kern w:val="0"/>
        </w:rPr>
      </w:pPr>
      <w:r>
        <w:rPr>
          <w:rFonts w:eastAsia="宋体"/>
          <w:kern w:val="0"/>
        </w:rPr>
        <w:t>5）气象</w:t>
      </w:r>
    </w:p>
    <w:p>
      <w:pPr>
        <w:adjustRightInd w:val="0"/>
        <w:snapToGrid w:val="0"/>
        <w:spacing w:line="500" w:lineRule="exact"/>
        <w:ind w:firstLine="480" w:firstLineChars="200"/>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pPr>
        <w:adjustRightInd w:val="0"/>
        <w:snapToGrid w:val="0"/>
        <w:spacing w:line="500" w:lineRule="exact"/>
        <w:ind w:firstLine="480" w:firstLineChars="200"/>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pPr>
        <w:adjustRightInd w:val="0"/>
        <w:snapToGrid w:val="0"/>
        <w:spacing w:line="500" w:lineRule="exact"/>
        <w:ind w:firstLine="480" w:firstLineChars="200"/>
        <w:rPr>
          <w:rFonts w:ascii="宋体" w:hAnsi="宋体" w:eastAsia="宋体" w:cs="宋体"/>
          <w:kern w:val="0"/>
          <w:szCs w:val="28"/>
        </w:rPr>
      </w:pPr>
      <w:r>
        <w:rPr>
          <w:rFonts w:eastAsia="宋体"/>
          <w:kern w:val="0"/>
        </w:rPr>
        <w:t>海安全年风玫瑰图，见图3-1。</w:t>
      </w:r>
    </w:p>
    <w:p>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6" cstate="print"/>
                    <a:stretch>
                      <a:fillRect/>
                    </a:stretch>
                  </pic:blipFill>
                  <pic:spPr>
                    <a:xfrm>
                      <a:off x="0" y="0"/>
                      <a:ext cx="2828925" cy="3886200"/>
                    </a:xfrm>
                    <a:prstGeom prst="rect">
                      <a:avLst/>
                    </a:prstGeom>
                    <a:noFill/>
                    <a:ln>
                      <a:noFill/>
                    </a:ln>
                  </pic:spPr>
                </pic:pic>
              </a:graphicData>
            </a:graphic>
          </wp:anchor>
        </w:drawing>
      </w:r>
    </w:p>
    <w:p>
      <w:pPr>
        <w:adjustRightInd w:val="0"/>
        <w:snapToGrid w:val="0"/>
        <w:spacing w:line="500" w:lineRule="exact"/>
        <w:ind w:firstLine="561"/>
        <w:jc w:val="center"/>
        <w:rPr>
          <w:rFonts w:eastAsia="宋体"/>
          <w:b/>
          <w:bCs/>
        </w:rPr>
      </w:pPr>
      <w:r>
        <w:rPr>
          <w:rFonts w:eastAsia="宋体"/>
          <w:b/>
          <w:bCs/>
        </w:rPr>
        <w:t>图3-1 海安全年风玫瑰图</w:t>
      </w:r>
    </w:p>
    <w:p>
      <w:pPr>
        <w:adjustRightInd w:val="0"/>
        <w:snapToGrid w:val="0"/>
        <w:spacing w:line="500" w:lineRule="exact"/>
        <w:ind w:firstLine="480" w:firstLineChars="200"/>
        <w:rPr>
          <w:rFonts w:eastAsia="宋体"/>
        </w:rPr>
      </w:pPr>
      <w:r>
        <w:rPr>
          <w:rFonts w:eastAsia="宋体"/>
        </w:rPr>
        <w:t>6）水文</w:t>
      </w:r>
    </w:p>
    <w:p>
      <w:pPr>
        <w:adjustRightInd w:val="0"/>
        <w:snapToGrid w:val="0"/>
        <w:spacing w:line="500" w:lineRule="exact"/>
        <w:ind w:firstLine="480" w:firstLineChars="200"/>
        <w:rPr>
          <w:rFonts w:eastAsia="宋体"/>
        </w:rPr>
      </w:pPr>
      <w:r>
        <w:rPr>
          <w:rFonts w:eastAsia="宋体"/>
        </w:rPr>
        <w:t>海安市西向来水来自姜黄河各支流及新北凌河等，南向来水来自长江引水。</w:t>
      </w:r>
    </w:p>
    <w:p>
      <w:pPr>
        <w:adjustRightInd w:val="0"/>
        <w:snapToGrid w:val="0"/>
        <w:spacing w:line="500" w:lineRule="exact"/>
        <w:ind w:firstLine="480" w:firstLineChars="200"/>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pPr>
        <w:adjustRightInd w:val="0"/>
        <w:snapToGrid w:val="0"/>
        <w:spacing w:line="500" w:lineRule="exact"/>
        <w:ind w:firstLine="480" w:firstLineChars="200"/>
        <w:rPr>
          <w:rFonts w:eastAsia="宋体"/>
        </w:rPr>
      </w:pPr>
      <w:r>
        <w:rPr>
          <w:rFonts w:eastAsia="宋体"/>
        </w:rPr>
        <w:t>（</w:t>
      </w:r>
      <w:r>
        <w:rPr>
          <w:rFonts w:hint="eastAsia" w:eastAsia="宋体"/>
        </w:rPr>
        <w:t>A</w:t>
      </w:r>
      <w:r>
        <w:rPr>
          <w:rFonts w:eastAsia="宋体"/>
        </w:rPr>
        <w:t>）长江水系</w:t>
      </w:r>
    </w:p>
    <w:p>
      <w:pPr>
        <w:adjustRightInd w:val="0"/>
        <w:snapToGrid w:val="0"/>
        <w:spacing w:line="500" w:lineRule="exact"/>
        <w:ind w:firstLine="480" w:firstLineChars="200"/>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如海运河、北凌河、丁堡河等河道，兼起着调度引江水源的作用。</w:t>
      </w:r>
    </w:p>
    <w:p>
      <w:pPr>
        <w:adjustRightInd w:val="0"/>
        <w:snapToGrid w:val="0"/>
        <w:spacing w:line="500" w:lineRule="exact"/>
        <w:ind w:firstLine="480" w:firstLineChars="200"/>
        <w:rPr>
          <w:rFonts w:eastAsia="宋体"/>
        </w:rPr>
      </w:pPr>
      <w:r>
        <w:rPr>
          <w:rFonts w:eastAsia="宋体"/>
        </w:rPr>
        <w:t>栟茶运河由泰州市塔子里入境，由西往东，途径海安市雅周、营溪、仁桥、城东、洋蛮河、西场、李堡镇、角斜镇等8个乡镇。出境经如东小洋口入海。是海安市高沙土片和河东盐碱片东区的主要干河，境内总长度53.64公里，沿河两岸有不少工业废水及生活废水排入，污染较重的</w:t>
      </w:r>
      <w:r>
        <w:rPr>
          <w:rFonts w:hint="eastAsia" w:eastAsia="宋体"/>
          <w:lang w:eastAsia="zh-CN"/>
        </w:rPr>
        <w:t>洋蛮河</w:t>
      </w:r>
      <w:r>
        <w:rPr>
          <w:rFonts w:eastAsia="宋体"/>
        </w:rPr>
        <w:t>在城东镇出境时，与拼茶运河交汇，也对其水质产生一定影响。</w:t>
      </w:r>
    </w:p>
    <w:p>
      <w:pPr>
        <w:adjustRightInd w:val="0"/>
        <w:snapToGrid w:val="0"/>
        <w:spacing w:line="500" w:lineRule="exact"/>
        <w:ind w:firstLine="480" w:firstLineChars="200"/>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pPr>
        <w:adjustRightInd w:val="0"/>
        <w:snapToGrid w:val="0"/>
        <w:spacing w:line="500" w:lineRule="exact"/>
        <w:ind w:firstLine="480" w:firstLineChars="200"/>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洋蛮河</w:t>
      </w:r>
      <w:r>
        <w:rPr>
          <w:rFonts w:eastAsia="宋体"/>
          <w:kern w:val="0"/>
        </w:rPr>
        <w:t>的补水河，水流方向基本由南向北，沿河工业污染源较少。如海运河、焦港河主要功能为工业和农业用水。</w:t>
      </w:r>
    </w:p>
    <w:p>
      <w:pPr>
        <w:adjustRightInd w:val="0"/>
        <w:snapToGrid w:val="0"/>
        <w:spacing w:line="500" w:lineRule="exact"/>
        <w:ind w:firstLine="480" w:firstLineChars="200"/>
        <w:rPr>
          <w:rFonts w:eastAsia="宋体"/>
        </w:rPr>
      </w:pPr>
      <w:r>
        <w:rPr>
          <w:rFonts w:eastAsia="宋体"/>
        </w:rPr>
        <w:t>（</w:t>
      </w:r>
      <w:r>
        <w:rPr>
          <w:rFonts w:hint="eastAsia" w:eastAsia="宋体"/>
        </w:rPr>
        <w:t>B</w:t>
      </w:r>
      <w:r>
        <w:rPr>
          <w:rFonts w:eastAsia="宋体"/>
        </w:rPr>
        <w:t>）淮河水系</w:t>
      </w:r>
    </w:p>
    <w:p>
      <w:pPr>
        <w:adjustRightInd w:val="0"/>
        <w:snapToGrid w:val="0"/>
        <w:spacing w:line="500" w:lineRule="exact"/>
        <w:ind w:firstLine="480" w:firstLineChars="200"/>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pPr>
        <w:pStyle w:val="5"/>
        <w:adjustRightInd w:val="0"/>
        <w:snapToGrid w:val="0"/>
        <w:spacing w:line="500" w:lineRule="exact"/>
        <w:ind w:firstLine="480"/>
        <w:rPr>
          <w:rFonts w:eastAsia="宋体"/>
        </w:rPr>
      </w:pPr>
      <w:r>
        <w:rPr>
          <w:rFonts w:eastAsia="宋体"/>
        </w:rPr>
        <w:t>新</w:t>
      </w:r>
      <w:r>
        <w:rPr>
          <w:rFonts w:hint="eastAsia" w:eastAsia="宋体"/>
          <w:lang w:eastAsia="zh-CN"/>
        </w:rPr>
        <w:t>洋蛮河</w:t>
      </w:r>
      <w:r>
        <w:rPr>
          <w:rFonts w:eastAsia="宋体"/>
        </w:rPr>
        <w:t>——通榆运河，新</w:t>
      </w:r>
      <w:r>
        <w:rPr>
          <w:rFonts w:hint="eastAsia" w:eastAsia="宋体"/>
          <w:lang w:eastAsia="zh-CN"/>
        </w:rPr>
        <w:t>洋蛮河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从泰州市经海安市章郭乡入境，途经双搂、胡集至海安镇，与通榆运河相接，境内全长20.7公里，水流常年流向由西往东；通榆运河由海安镇向北入盐城市，境内全长7.8公里，水流常年流向由南往北，新</w:t>
      </w:r>
      <w:r>
        <w:rPr>
          <w:rFonts w:hint="eastAsia" w:eastAsia="宋体"/>
          <w:lang w:eastAsia="zh-CN"/>
        </w:rPr>
        <w:t>洋蛮河</w:t>
      </w:r>
      <w:r>
        <w:rPr>
          <w:rFonts w:eastAsia="宋体"/>
        </w:rPr>
        <w:t>——通榆运河是海安境内主要水路交通通道，同时也是海安境内工业、农业、城镇饮用水源。</w:t>
      </w:r>
    </w:p>
    <w:p>
      <w:pPr>
        <w:pStyle w:val="5"/>
        <w:adjustRightInd w:val="0"/>
        <w:snapToGrid w:val="0"/>
        <w:spacing w:line="500" w:lineRule="exact"/>
        <w:ind w:firstLine="480"/>
        <w:rPr>
          <w:rFonts w:eastAsia="宋体"/>
        </w:rPr>
      </w:pPr>
      <w:r>
        <w:rPr>
          <w:rFonts w:hint="eastAsia" w:eastAsia="宋体"/>
        </w:rPr>
        <w:t>（C）</w:t>
      </w:r>
      <w:r>
        <w:rPr>
          <w:rFonts w:eastAsia="宋体"/>
        </w:rPr>
        <w:t>水源保护区</w:t>
      </w:r>
    </w:p>
    <w:p>
      <w:pPr>
        <w:pStyle w:val="5"/>
        <w:adjustRightInd w:val="0"/>
        <w:snapToGrid w:val="0"/>
        <w:spacing w:line="500" w:lineRule="exact"/>
        <w:ind w:firstLine="480"/>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pPr>
        <w:pStyle w:val="5"/>
        <w:adjustRightInd w:val="0"/>
        <w:snapToGrid w:val="0"/>
        <w:spacing w:line="500" w:lineRule="exact"/>
        <w:ind w:firstLine="48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7）生态环境</w:t>
      </w:r>
    </w:p>
    <w:p>
      <w:pPr>
        <w:pStyle w:val="18"/>
        <w:snapToGrid w:val="0"/>
        <w:spacing w:line="500" w:lineRule="exact"/>
        <w:ind w:firstLine="480" w:firstLineChars="200"/>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pPr>
        <w:pStyle w:val="2"/>
        <w:adjustRightInd w:val="0"/>
        <w:snapToGrid w:val="0"/>
        <w:spacing w:line="500" w:lineRule="exact"/>
        <w:rPr>
          <w:rFonts w:eastAsia="宋体"/>
        </w:rPr>
      </w:pPr>
      <w:bookmarkStart w:id="68" w:name="_Toc510092932"/>
      <w:bookmarkStart w:id="69" w:name="_Toc6990"/>
      <w:bookmarkStart w:id="70" w:name="_Toc496887105"/>
      <w:bookmarkStart w:id="71" w:name="_Toc24036"/>
      <w:bookmarkStart w:id="72" w:name="_Toc20763"/>
      <w:bookmarkStart w:id="73" w:name="_Toc23991"/>
      <w:r>
        <w:rPr>
          <w:rFonts w:eastAsia="宋体"/>
        </w:rPr>
        <w:t>3.1.3环境功能区划及环境质量</w:t>
      </w:r>
      <w:bookmarkEnd w:id="68"/>
      <w:bookmarkEnd w:id="69"/>
      <w:bookmarkEnd w:id="70"/>
      <w:bookmarkEnd w:id="71"/>
      <w:bookmarkEnd w:id="72"/>
      <w:bookmarkEnd w:id="73"/>
    </w:p>
    <w:p>
      <w:pPr>
        <w:numPr>
          <w:ilvl w:val="0"/>
          <w:numId w:val="3"/>
        </w:numPr>
        <w:adjustRightInd w:val="0"/>
        <w:snapToGrid w:val="0"/>
        <w:spacing w:line="500" w:lineRule="exact"/>
        <w:ind w:firstLine="480" w:firstLineChars="200"/>
        <w:rPr>
          <w:rFonts w:ascii="宋体" w:hAnsi="宋体" w:eastAsia="宋体" w:cs="宋体"/>
        </w:rPr>
      </w:pPr>
      <w:r>
        <w:rPr>
          <w:rFonts w:hint="eastAsia" w:ascii="宋体" w:hAnsi="宋体" w:eastAsia="宋体" w:cs="宋体"/>
        </w:rPr>
        <w:t>环境质量标准</w:t>
      </w:r>
    </w:p>
    <w:p>
      <w:pPr>
        <w:pStyle w:val="18"/>
        <w:snapToGrid w:val="0"/>
        <w:spacing w:line="500" w:lineRule="exact"/>
        <w:ind w:firstLine="480" w:firstLineChars="200"/>
        <w:rPr>
          <w:rFonts w:ascii="Times New Roman" w:hAnsi="Times New Roman" w:eastAsia="宋体" w:cs="Times New Roman"/>
          <w:szCs w:val="24"/>
        </w:rPr>
      </w:pPr>
      <w:r>
        <w:rPr>
          <w:rFonts w:hint="eastAsia" w:ascii="Times New Roman" w:hAnsi="Times New Roman" w:eastAsia="宋体" w:cs="Times New Roman"/>
          <w:szCs w:val="24"/>
          <w:lang w:eastAsia="zh-CN"/>
        </w:rPr>
        <w:t>家得福家具</w:t>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rPr>
        <w:t>-3</w:t>
      </w:r>
      <w:r>
        <w:rPr>
          <w:rFonts w:ascii="Times New Roman" w:hAnsi="Times New Roman" w:eastAsia="宋体" w:cs="Times New Roman"/>
          <w:szCs w:val="24"/>
        </w:rPr>
        <w:t>。</w:t>
      </w:r>
    </w:p>
    <w:p>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-3</w:t>
      </w:r>
      <w:r>
        <w:rPr>
          <w:rFonts w:eastAsia="宋体"/>
          <w:b/>
          <w:color w:val="000000" w:themeColor="text1"/>
          <w14:textFill>
            <w14:solidFill>
              <w14:schemeClr w14:val="tx1"/>
            </w14:solidFill>
          </w14:textFill>
        </w:rPr>
        <w:t xml:space="preserve"> </w:t>
      </w:r>
      <w:r>
        <w:rPr>
          <w:rFonts w:hint="eastAsia" w:eastAsia="宋体"/>
          <w:b/>
          <w:color w:val="000000" w:themeColor="text1"/>
          <w:highlight w:val="none"/>
          <w:lang w:eastAsia="zh-CN"/>
          <w14:textFill>
            <w14:solidFill>
              <w14:schemeClr w14:val="tx1"/>
            </w14:solidFill>
          </w14:textFill>
        </w:rPr>
        <w:t>家得福家具</w:t>
      </w:r>
      <w:r>
        <w:rPr>
          <w:rFonts w:eastAsia="宋体"/>
          <w:b/>
          <w:color w:val="000000" w:themeColor="text1"/>
          <w:highlight w:val="none"/>
          <w14:textFill>
            <w14:solidFill>
              <w14:schemeClr w14:val="tx1"/>
            </w14:solidFill>
          </w14:textFill>
        </w:rPr>
        <w:t>所在地</w:t>
      </w:r>
      <w:r>
        <w:rPr>
          <w:rFonts w:eastAsia="宋体"/>
          <w:b/>
          <w:color w:val="000000" w:themeColor="text1"/>
          <w14:textFill>
            <w14:solidFill>
              <w14:schemeClr w14:val="tx1"/>
            </w14:solidFill>
          </w14:textFill>
        </w:rPr>
        <w:t>环境功能区划</w:t>
      </w:r>
    </w:p>
    <w:tbl>
      <w:tblPr>
        <w:tblStyle w:val="38"/>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pPr>
              <w:adjustRightInd w:val="0"/>
              <w:snapToGrid w:val="0"/>
              <w:jc w:val="center"/>
              <w:rPr>
                <w:rFonts w:eastAsia="宋体"/>
                <w:b/>
                <w:sz w:val="21"/>
                <w:szCs w:val="21"/>
              </w:rPr>
            </w:pPr>
            <w:r>
              <w:rPr>
                <w:rFonts w:hint="eastAsia" w:eastAsia="宋体"/>
                <w:b/>
                <w:sz w:val="21"/>
                <w:szCs w:val="21"/>
              </w:rPr>
              <w:t>功能区划</w:t>
            </w:r>
          </w:p>
        </w:tc>
        <w:tc>
          <w:tcPr>
            <w:tcW w:w="4930" w:type="dxa"/>
            <w:tcBorders>
              <w:tl2br w:val="nil"/>
              <w:tr2bl w:val="nil"/>
            </w:tcBorders>
            <w:vAlign w:val="center"/>
          </w:tcPr>
          <w:p>
            <w:pPr>
              <w:adjustRightInd w:val="0"/>
              <w:snapToGrid w:val="0"/>
              <w:jc w:val="center"/>
              <w:rPr>
                <w:rFonts w:eastAsia="宋体"/>
                <w:b/>
                <w:sz w:val="21"/>
                <w:szCs w:val="21"/>
              </w:rPr>
            </w:pPr>
            <w:r>
              <w:rPr>
                <w:rFonts w:eastAsia="宋体"/>
                <w:b/>
                <w:sz w:val="21"/>
                <w:szCs w:val="21"/>
              </w:rPr>
              <w:t>环境功能要求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pPr>
              <w:pStyle w:val="142"/>
              <w:rPr>
                <w:sz w:val="21"/>
              </w:rPr>
            </w:pPr>
            <w:r>
              <w:rPr>
                <w:sz w:val="21"/>
              </w:rPr>
              <w:t>环境空气</w:t>
            </w:r>
          </w:p>
        </w:tc>
        <w:tc>
          <w:tcPr>
            <w:tcW w:w="2770" w:type="dxa"/>
            <w:tcBorders>
              <w:tl2br w:val="nil"/>
              <w:tr2bl w:val="nil"/>
            </w:tcBorders>
            <w:vAlign w:val="center"/>
          </w:tcPr>
          <w:p>
            <w:pPr>
              <w:pStyle w:val="142"/>
              <w:rPr>
                <w:sz w:val="21"/>
              </w:rPr>
            </w:pPr>
            <w:r>
              <w:rPr>
                <w:sz w:val="21"/>
              </w:rPr>
              <w:t>工业区、居住、工商文教、农村地区</w:t>
            </w:r>
          </w:p>
        </w:tc>
        <w:tc>
          <w:tcPr>
            <w:tcW w:w="4930" w:type="dxa"/>
            <w:tcBorders>
              <w:tl2br w:val="nil"/>
              <w:tr2bl w:val="nil"/>
            </w:tcBorders>
            <w:vAlign w:val="center"/>
          </w:tcPr>
          <w:p>
            <w:pPr>
              <w:adjustRightInd w:val="0"/>
              <w:snapToGrid w:val="0"/>
              <w:jc w:val="left"/>
              <w:rPr>
                <w:rFonts w:eastAsia="宋体"/>
                <w:sz w:val="21"/>
                <w:szCs w:val="21"/>
              </w:rPr>
            </w:pPr>
            <w:r>
              <w:rPr>
                <w:rFonts w:eastAsia="宋体"/>
                <w:sz w:val="21"/>
                <w:szCs w:val="21"/>
              </w:rPr>
              <w:t>《环境空气质量标准》（GB 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pPr>
              <w:pStyle w:val="142"/>
              <w:rPr>
                <w:sz w:val="21"/>
              </w:rPr>
            </w:pPr>
            <w:r>
              <w:rPr>
                <w:sz w:val="21"/>
              </w:rPr>
              <w:t>地表水</w:t>
            </w:r>
          </w:p>
        </w:tc>
        <w:tc>
          <w:tcPr>
            <w:tcW w:w="2770" w:type="dxa"/>
            <w:tcBorders>
              <w:tl2br w:val="nil"/>
              <w:tr2bl w:val="nil"/>
            </w:tcBorders>
            <w:vAlign w:val="center"/>
          </w:tcPr>
          <w:p>
            <w:pPr>
              <w:pStyle w:val="142"/>
              <w:rPr>
                <w:sz w:val="21"/>
              </w:rPr>
            </w:pPr>
            <w:r>
              <w:rPr>
                <w:rFonts w:hint="eastAsia"/>
                <w:sz w:val="21"/>
              </w:rPr>
              <w:t>洋蛮河</w:t>
            </w:r>
          </w:p>
        </w:tc>
        <w:tc>
          <w:tcPr>
            <w:tcW w:w="4930" w:type="dxa"/>
            <w:vMerge w:val="restart"/>
            <w:tcBorders>
              <w:tl2br w:val="nil"/>
              <w:tr2bl w:val="nil"/>
            </w:tcBorders>
            <w:vAlign w:val="center"/>
          </w:tcPr>
          <w:p>
            <w:pPr>
              <w:adjustRightInd w:val="0"/>
              <w:snapToGrid w:val="0"/>
              <w:jc w:val="left"/>
              <w:rPr>
                <w:rFonts w:eastAsia="宋体"/>
                <w:sz w:val="21"/>
                <w:szCs w:val="21"/>
              </w:rPr>
            </w:pPr>
            <w:r>
              <w:rPr>
                <w:rFonts w:eastAsia="宋体"/>
                <w:sz w:val="21"/>
                <w:szCs w:val="21"/>
              </w:rPr>
              <w:t>《地表水环境质量标准》（GB 3838-2002）Ⅲ类标准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pPr>
              <w:pStyle w:val="142"/>
            </w:pPr>
          </w:p>
        </w:tc>
        <w:tc>
          <w:tcPr>
            <w:tcW w:w="2770" w:type="dxa"/>
            <w:tcBorders>
              <w:tl2br w:val="nil"/>
              <w:tr2bl w:val="nil"/>
            </w:tcBorders>
            <w:vAlign w:val="center"/>
          </w:tcPr>
          <w:p>
            <w:pPr>
              <w:pStyle w:val="142"/>
              <w:rPr>
                <w:rFonts w:hint="eastAsia" w:eastAsia="宋体"/>
                <w:sz w:val="21"/>
                <w:lang w:eastAsia="zh-CN"/>
              </w:rPr>
            </w:pPr>
            <w:r>
              <w:rPr>
                <w:rFonts w:hint="eastAsia"/>
                <w:sz w:val="21"/>
                <w:lang w:val="en-US" w:eastAsia="zh-CN"/>
              </w:rPr>
              <w:t>新风一号河</w:t>
            </w:r>
          </w:p>
        </w:tc>
        <w:tc>
          <w:tcPr>
            <w:tcW w:w="4930" w:type="dxa"/>
            <w:vMerge w:val="continue"/>
            <w:tcBorders>
              <w:tl2br w:val="nil"/>
              <w:tr2bl w:val="nil"/>
            </w:tcBorders>
            <w:vAlign w:val="center"/>
          </w:tcPr>
          <w:p>
            <w:pPr>
              <w:pStyle w:val="142"/>
              <w:rPr>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pPr>
              <w:pStyle w:val="142"/>
              <w:rPr>
                <w:sz w:val="21"/>
              </w:rPr>
            </w:pPr>
          </w:p>
        </w:tc>
        <w:tc>
          <w:tcPr>
            <w:tcW w:w="2770" w:type="dxa"/>
            <w:tcBorders>
              <w:tl2br w:val="nil"/>
              <w:tr2bl w:val="nil"/>
            </w:tcBorders>
            <w:vAlign w:val="center"/>
          </w:tcPr>
          <w:p>
            <w:pPr>
              <w:pStyle w:val="142"/>
              <w:rPr>
                <w:sz w:val="21"/>
              </w:rPr>
            </w:pPr>
            <w:r>
              <w:rPr>
                <w:rFonts w:hint="eastAsia"/>
                <w:sz w:val="21"/>
              </w:rPr>
              <w:t>北翻身河</w:t>
            </w:r>
          </w:p>
        </w:tc>
        <w:tc>
          <w:tcPr>
            <w:tcW w:w="4930" w:type="dxa"/>
            <w:vMerge w:val="continue"/>
            <w:tcBorders>
              <w:tl2br w:val="nil"/>
              <w:tr2bl w:val="nil"/>
            </w:tcBorders>
            <w:vAlign w:val="center"/>
          </w:tcPr>
          <w:p>
            <w:pPr>
              <w:pStyle w:val="142"/>
              <w:rPr>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pPr>
              <w:pStyle w:val="142"/>
              <w:rPr>
                <w:sz w:val="21"/>
              </w:rPr>
            </w:pPr>
          </w:p>
        </w:tc>
        <w:tc>
          <w:tcPr>
            <w:tcW w:w="2770" w:type="dxa"/>
            <w:tcBorders>
              <w:tl2br w:val="nil"/>
              <w:tr2bl w:val="nil"/>
            </w:tcBorders>
            <w:vAlign w:val="center"/>
          </w:tcPr>
          <w:p>
            <w:pPr>
              <w:pStyle w:val="142"/>
              <w:rPr>
                <w:sz w:val="21"/>
              </w:rPr>
            </w:pPr>
            <w:r>
              <w:rPr>
                <w:rFonts w:hint="eastAsia"/>
                <w:sz w:val="21"/>
              </w:rPr>
              <w:t>栟茶运河</w:t>
            </w:r>
          </w:p>
        </w:tc>
        <w:tc>
          <w:tcPr>
            <w:tcW w:w="4930" w:type="dxa"/>
            <w:vMerge w:val="continue"/>
            <w:tcBorders>
              <w:tl2br w:val="nil"/>
              <w:tr2bl w:val="nil"/>
            </w:tcBorders>
            <w:vAlign w:val="center"/>
          </w:tcPr>
          <w:p>
            <w:pPr>
              <w:pStyle w:val="142"/>
              <w:rPr>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pPr>
              <w:pStyle w:val="142"/>
              <w:rPr>
                <w:sz w:val="21"/>
              </w:rPr>
            </w:pPr>
          </w:p>
        </w:tc>
        <w:tc>
          <w:tcPr>
            <w:tcW w:w="2770" w:type="dxa"/>
            <w:tcBorders>
              <w:tl2br w:val="nil"/>
              <w:tr2bl w:val="nil"/>
            </w:tcBorders>
            <w:vAlign w:val="center"/>
          </w:tcPr>
          <w:p>
            <w:pPr>
              <w:pStyle w:val="142"/>
              <w:rPr>
                <w:sz w:val="21"/>
              </w:rPr>
            </w:pPr>
            <w:r>
              <w:rPr>
                <w:rFonts w:hint="eastAsia"/>
                <w:sz w:val="21"/>
              </w:rPr>
              <w:t>北凌河</w:t>
            </w:r>
          </w:p>
        </w:tc>
        <w:tc>
          <w:tcPr>
            <w:tcW w:w="4930" w:type="dxa"/>
            <w:vMerge w:val="continue"/>
            <w:tcBorders>
              <w:tl2br w:val="nil"/>
              <w:tr2bl w:val="nil"/>
            </w:tcBorders>
            <w:vAlign w:val="center"/>
          </w:tcPr>
          <w:p>
            <w:pPr>
              <w:pStyle w:val="142"/>
              <w:rPr>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pPr>
              <w:pStyle w:val="142"/>
              <w:rPr>
                <w:sz w:val="21"/>
              </w:rPr>
            </w:pPr>
            <w:r>
              <w:rPr>
                <w:sz w:val="21"/>
              </w:rPr>
              <w:t>声环境</w:t>
            </w:r>
          </w:p>
        </w:tc>
        <w:tc>
          <w:tcPr>
            <w:tcW w:w="2770" w:type="dxa"/>
            <w:tcBorders>
              <w:tl2br w:val="nil"/>
              <w:tr2bl w:val="nil"/>
            </w:tcBorders>
            <w:vAlign w:val="center"/>
          </w:tcPr>
          <w:p>
            <w:pPr>
              <w:pStyle w:val="142"/>
              <w:rPr>
                <w:sz w:val="21"/>
              </w:rPr>
            </w:pPr>
            <w:r>
              <w:rPr>
                <w:rFonts w:hint="eastAsia"/>
                <w:sz w:val="21"/>
              </w:rPr>
              <w:t>项目厂界</w:t>
            </w:r>
          </w:p>
        </w:tc>
        <w:tc>
          <w:tcPr>
            <w:tcW w:w="4930" w:type="dxa"/>
            <w:tcBorders>
              <w:tl2br w:val="nil"/>
              <w:tr2bl w:val="nil"/>
            </w:tcBorders>
            <w:vAlign w:val="center"/>
          </w:tcPr>
          <w:p>
            <w:pPr>
              <w:adjustRightInd w:val="0"/>
              <w:snapToGrid w:val="0"/>
              <w:jc w:val="left"/>
              <w:rPr>
                <w:rFonts w:eastAsia="宋体"/>
                <w:sz w:val="21"/>
                <w:szCs w:val="21"/>
              </w:rPr>
            </w:pPr>
            <w:r>
              <w:rPr>
                <w:rFonts w:eastAsia="宋体"/>
                <w:sz w:val="21"/>
                <w:szCs w:val="21"/>
              </w:rPr>
              <w:t>《声环境质量标准》(GB3096—2008)</w:t>
            </w:r>
            <w:r>
              <w:rPr>
                <w:rFonts w:hint="eastAsia" w:eastAsia="宋体"/>
                <w:sz w:val="21"/>
                <w:szCs w:val="21"/>
              </w:rPr>
              <w:t>3</w:t>
            </w:r>
            <w:r>
              <w:rPr>
                <w:rFonts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tcBorders>
              <w:tl2br w:val="nil"/>
              <w:tr2bl w:val="nil"/>
            </w:tcBorders>
            <w:vAlign w:val="center"/>
          </w:tcPr>
          <w:p>
            <w:pPr>
              <w:pStyle w:val="142"/>
              <w:rPr>
                <w:sz w:val="21"/>
              </w:rPr>
            </w:pPr>
            <w:r>
              <w:rPr>
                <w:rFonts w:hint="eastAsia"/>
                <w:sz w:val="21"/>
              </w:rPr>
              <w:t>生态环境</w:t>
            </w:r>
          </w:p>
        </w:tc>
        <w:tc>
          <w:tcPr>
            <w:tcW w:w="2770" w:type="dxa"/>
            <w:tcBorders>
              <w:tl2br w:val="nil"/>
              <w:tr2bl w:val="nil"/>
            </w:tcBorders>
            <w:vAlign w:val="center"/>
          </w:tcPr>
          <w:p>
            <w:pPr>
              <w:pStyle w:val="142"/>
              <w:rPr>
                <w:rFonts w:ascii="Times New Roman"/>
                <w:sz w:val="20"/>
              </w:rPr>
            </w:pPr>
            <w:r>
              <w:rPr>
                <w:rFonts w:hint="eastAsia" w:ascii="Times New Roman"/>
                <w:sz w:val="20"/>
              </w:rPr>
              <w:t>新通扬-通榆运河清水通道维护区</w:t>
            </w:r>
          </w:p>
        </w:tc>
        <w:tc>
          <w:tcPr>
            <w:tcW w:w="4930" w:type="dxa"/>
            <w:tcBorders>
              <w:tl2br w:val="nil"/>
              <w:tr2bl w:val="nil"/>
            </w:tcBorders>
            <w:vAlign w:val="center"/>
          </w:tcPr>
          <w:p>
            <w:pPr>
              <w:adjustRightInd w:val="0"/>
              <w:snapToGrid w:val="0"/>
              <w:jc w:val="left"/>
              <w:rPr>
                <w:rFonts w:eastAsia="宋体"/>
                <w:sz w:val="21"/>
                <w:szCs w:val="21"/>
              </w:rPr>
            </w:pPr>
            <w:r>
              <w:rPr>
                <w:rFonts w:hint="eastAsia" w:eastAsia="宋体"/>
                <w:sz w:val="21"/>
                <w:szCs w:val="21"/>
              </w:rPr>
              <w:t>水源水质保护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tcBorders>
              <w:tl2br w:val="nil"/>
              <w:tr2bl w:val="nil"/>
            </w:tcBorders>
            <w:vAlign w:val="center"/>
          </w:tcPr>
          <w:p>
            <w:pPr>
              <w:pStyle w:val="142"/>
              <w:rPr>
                <w:sz w:val="21"/>
              </w:rPr>
            </w:pPr>
          </w:p>
        </w:tc>
        <w:tc>
          <w:tcPr>
            <w:tcW w:w="2770" w:type="dxa"/>
            <w:tcBorders>
              <w:tl2br w:val="nil"/>
              <w:tr2bl w:val="nil"/>
            </w:tcBorders>
            <w:vAlign w:val="center"/>
          </w:tcPr>
          <w:p>
            <w:pPr>
              <w:pStyle w:val="142"/>
              <w:rPr>
                <w:rFonts w:ascii="Times New Roman"/>
                <w:sz w:val="20"/>
              </w:rPr>
            </w:pPr>
            <w:r>
              <w:rPr>
                <w:rFonts w:hint="eastAsia" w:ascii="Times New Roman"/>
                <w:sz w:val="20"/>
              </w:rPr>
              <w:t>大公镇蚕桑种质资源保护区</w:t>
            </w:r>
          </w:p>
        </w:tc>
        <w:tc>
          <w:tcPr>
            <w:tcW w:w="4930" w:type="dxa"/>
            <w:tcBorders>
              <w:tl2br w:val="nil"/>
              <w:tr2bl w:val="nil"/>
            </w:tcBorders>
            <w:vAlign w:val="center"/>
          </w:tcPr>
          <w:p>
            <w:pPr>
              <w:adjustRightInd w:val="0"/>
              <w:snapToGrid w:val="0"/>
              <w:jc w:val="left"/>
              <w:rPr>
                <w:rFonts w:eastAsia="宋体"/>
                <w:sz w:val="21"/>
                <w:szCs w:val="21"/>
              </w:rPr>
            </w:pPr>
            <w:r>
              <w:rPr>
                <w:rFonts w:hint="eastAsia" w:eastAsia="宋体"/>
                <w:sz w:val="21"/>
                <w:szCs w:val="21"/>
              </w:rPr>
              <w:t>种质资源保护</w:t>
            </w:r>
          </w:p>
        </w:tc>
      </w:tr>
    </w:tbl>
    <w:p>
      <w:pPr>
        <w:adjustRightInd w:val="0"/>
        <w:snapToGrid w:val="0"/>
        <w:spacing w:line="500" w:lineRule="exact"/>
        <w:ind w:firstLine="480" w:firstLineChars="200"/>
        <w:rPr>
          <w:rFonts w:eastAsia="宋体"/>
        </w:rPr>
      </w:pPr>
      <w:r>
        <w:rPr>
          <w:rFonts w:eastAsia="宋体"/>
        </w:rPr>
        <w:t>（2）环境质量现状</w:t>
      </w:r>
    </w:p>
    <w:p>
      <w:pPr>
        <w:adjustRightInd w:val="0"/>
        <w:snapToGrid w:val="0"/>
        <w:spacing w:line="500" w:lineRule="exact"/>
        <w:ind w:firstLine="480" w:firstLineChars="200"/>
        <w:rPr>
          <w:rFonts w:eastAsia="宋体"/>
        </w:rPr>
      </w:pPr>
      <w:r>
        <w:rPr>
          <w:rFonts w:eastAsia="宋体"/>
        </w:rPr>
        <w:t>①环境空气</w:t>
      </w:r>
    </w:p>
    <w:p>
      <w:pPr>
        <w:adjustRightInd w:val="0"/>
        <w:snapToGrid w:val="0"/>
        <w:spacing w:line="500" w:lineRule="exact"/>
        <w:ind w:firstLine="480" w:firstLineChars="200"/>
        <w:rPr>
          <w:rFonts w:eastAsia="宋体"/>
        </w:rPr>
      </w:pPr>
      <w:r>
        <w:rPr>
          <w:rFonts w:eastAsia="宋体"/>
        </w:rPr>
        <w:t>由《20</w:t>
      </w:r>
      <w:r>
        <w:rPr>
          <w:rFonts w:hint="eastAsia" w:eastAsia="宋体"/>
        </w:rPr>
        <w:t>21</w:t>
      </w:r>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-8h-90%）分别为45微克/立方米、6微克/立方米、26微克/立方米、1.0毫克/立方米和156微克/立方米。与2020年相比，PM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、SO</w:t>
      </w:r>
      <w:r>
        <w:rPr>
          <w:rFonts w:hint="eastAsia" w:eastAsia="宋体"/>
          <w:vertAlign w:val="subscript"/>
        </w:rPr>
        <w:t>2</w:t>
      </w:r>
      <w:r>
        <w:rPr>
          <w:rFonts w:hint="eastAsia" w:eastAsia="宋体"/>
        </w:rPr>
        <w:t>、NO</w:t>
      </w:r>
      <w:r>
        <w:rPr>
          <w:rFonts w:hint="eastAsia" w:eastAsia="宋体"/>
          <w:vertAlign w:val="subscript"/>
        </w:rPr>
        <w:t>2</w:t>
      </w:r>
      <w:r>
        <w:rPr>
          <w:rFonts w:hint="eastAsia" w:eastAsia="宋体"/>
        </w:rPr>
        <w:t>和CO第95百分位数浓度均有下降，降幅分别为11.8%、2.2%、33.3%、3.7%和9.1%；O</w:t>
      </w:r>
      <w:r>
        <w:rPr>
          <w:rFonts w:hint="eastAsia" w:eastAsia="宋体"/>
          <w:vertAlign w:val="subscript"/>
        </w:rPr>
        <w:t>3</w:t>
      </w:r>
      <w:r>
        <w:rPr>
          <w:rFonts w:hint="eastAsia" w:eastAsia="宋体"/>
        </w:rPr>
        <w:t>第90百分位数浓度上升，升幅为5.4%。</w:t>
      </w:r>
    </w:p>
    <w:p>
      <w:pPr>
        <w:adjustRightInd w:val="0"/>
        <w:snapToGrid w:val="0"/>
        <w:spacing w:line="500" w:lineRule="exact"/>
        <w:ind w:firstLine="480" w:firstLineChars="200"/>
        <w:rPr>
          <w:rFonts w:eastAsia="宋体"/>
        </w:rPr>
      </w:pPr>
      <w:r>
        <w:rPr>
          <w:rFonts w:hint="eastAsia" w:eastAsia="宋体"/>
        </w:rPr>
        <w:t>2021年，按照省政府发布的《江苏省重污染天气应急预案》，我市共发布1次黄色预警，预警天数2天，比2020年减少20天。</w:t>
      </w:r>
    </w:p>
    <w:p>
      <w:pPr>
        <w:adjustRightInd w:val="0"/>
        <w:snapToGrid w:val="0"/>
        <w:spacing w:line="500" w:lineRule="exact"/>
        <w:ind w:firstLine="480" w:firstLineChars="200"/>
        <w:rPr>
          <w:rFonts w:eastAsia="宋体"/>
        </w:rPr>
      </w:pPr>
      <w:r>
        <w:rPr>
          <w:rFonts w:eastAsia="宋体"/>
        </w:rPr>
        <w:t>②水环境</w:t>
      </w:r>
    </w:p>
    <w:p>
      <w:pPr>
        <w:adjustRightInd w:val="0"/>
        <w:snapToGrid w:val="0"/>
        <w:spacing w:line="500" w:lineRule="exact"/>
        <w:ind w:firstLine="480" w:firstLineChars="200"/>
        <w:rPr>
          <w:rFonts w:eastAsia="宋体"/>
        </w:rPr>
      </w:pPr>
      <w:r>
        <w:rPr>
          <w:rFonts w:hint="eastAsia" w:eastAsia="宋体"/>
        </w:rPr>
        <w:t>南通市共有16个国家考核断面，其中14个断面达到或优于《地表水环境质量标准》（GB3838-2002）Ⅲ类标准。55个省考以上断面中，姚港、九圩港桥、团结闸、节制闸内、焦港桥等14个断面水质符合Ⅱ类标准，李堡大桥、聚南大桥、孙窑大桥、碾砣港闸、城港路等38个断面水质符合Ⅲ类标准，优Ⅲ类比例94.5%，高于省定87.3%的考核标准；无Ⅴ类和劣Ⅴ类断面。</w:t>
      </w:r>
    </w:p>
    <w:p>
      <w:pPr>
        <w:adjustRightInd w:val="0"/>
        <w:snapToGrid w:val="0"/>
        <w:spacing w:line="500" w:lineRule="exact"/>
        <w:ind w:firstLine="480" w:firstLineChars="200"/>
        <w:rPr>
          <w:rFonts w:eastAsia="宋体"/>
        </w:rPr>
      </w:pPr>
      <w:r>
        <w:rPr>
          <w:rFonts w:eastAsia="宋体"/>
        </w:rPr>
        <w:t>地表水：</w:t>
      </w:r>
    </w:p>
    <w:p>
      <w:pPr>
        <w:adjustRightInd w:val="0"/>
        <w:snapToGrid w:val="0"/>
        <w:spacing w:line="500" w:lineRule="exact"/>
        <w:ind w:firstLine="480" w:firstLineChars="200"/>
        <w:rPr>
          <w:rFonts w:eastAsia="宋体"/>
        </w:rPr>
      </w:pPr>
      <w:r>
        <w:rPr>
          <w:rFonts w:hint="eastAsia" w:eastAsia="宋体"/>
        </w:rPr>
        <w:t>市区濠河水质总体达到地表水Ⅲ类标准，水质良好；各县（市、区）城区水质在地表水Ⅲ～Ⅳ类之间波动。</w:t>
      </w:r>
    </w:p>
    <w:p>
      <w:pPr>
        <w:adjustRightInd w:val="0"/>
        <w:snapToGrid w:val="0"/>
        <w:spacing w:line="500" w:lineRule="exact"/>
        <w:ind w:firstLine="480" w:firstLineChars="200"/>
        <w:rPr>
          <w:rFonts w:eastAsia="宋体"/>
        </w:rPr>
      </w:pPr>
      <w:r>
        <w:rPr>
          <w:rFonts w:eastAsia="宋体"/>
        </w:rPr>
        <w:t>地下水：</w:t>
      </w:r>
    </w:p>
    <w:p>
      <w:pPr>
        <w:adjustRightInd w:val="0"/>
        <w:snapToGrid w:val="0"/>
        <w:spacing w:line="500" w:lineRule="exact"/>
        <w:ind w:firstLine="480" w:firstLineChars="200"/>
        <w:rPr>
          <w:rFonts w:eastAsia="宋体"/>
        </w:rPr>
      </w:pPr>
      <w:r>
        <w:rPr>
          <w:rFonts w:hint="eastAsia" w:eastAsia="宋体"/>
        </w:rPr>
        <w:t>全市共6个国考区域点位，2021年Ⅴ类水比例为66.7%，同比改善16.7个百分点。其中如东长沙三民村点位水质从Ⅴ类提升至Ⅳ类，同比改善；如皋码头（南通岛香食品有限公司）点位水质稳定达Ⅳ类，如东县长沙北渔冷冻食品厂、启东市新人民武装部大楼对面电信基站、海门市三厂镇备用自来水、通州区兴仁布厂点位水质类别仍为Ⅴ类，5个点位同比持平。</w:t>
      </w:r>
    </w:p>
    <w:p>
      <w:pPr>
        <w:adjustRightInd w:val="0"/>
        <w:snapToGrid w:val="0"/>
        <w:spacing w:line="500" w:lineRule="exact"/>
        <w:ind w:firstLine="480" w:firstLineChars="200"/>
        <w:rPr>
          <w:rFonts w:eastAsia="宋体"/>
        </w:rPr>
      </w:pPr>
      <w:r>
        <w:rPr>
          <w:rFonts w:hint="eastAsia" w:eastAsia="宋体"/>
        </w:rPr>
        <w:t>全市共3个国考污染风险监控点位，分别为南通市如东沿海经济开发区1、2、3号点位，2021年水质类别仍为Ⅴ类，同比持平。</w:t>
      </w:r>
    </w:p>
    <w:p>
      <w:pPr>
        <w:adjustRightInd w:val="0"/>
        <w:snapToGrid w:val="0"/>
        <w:spacing w:line="500" w:lineRule="exact"/>
        <w:ind w:firstLine="480" w:firstLineChars="200"/>
        <w:rPr>
          <w:rFonts w:eastAsia="宋体"/>
        </w:rPr>
      </w:pPr>
      <w:r>
        <w:rPr>
          <w:rFonts w:hint="eastAsia" w:eastAsia="宋体"/>
        </w:rPr>
        <w:t>全市共6个省考区域点位，2021年Ⅴ类水比例为16.7%，同比改善33.3个百分点。其中崇川区礼巷1号点位水质从Ⅴ类提升至Ⅲ类，海安市范雪琴潜井点位水质从Ⅴ类提升至Ⅳ类，2个点位同比改善；通州区新中食品公司、如皋市皋鑫电子、海门区江滨季士昌点位水质稳定达Ⅳ类，启东市永阳村70号点位仍为Ⅴ类，4个点位同比持平。</w:t>
      </w:r>
    </w:p>
    <w:p>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pPr>
        <w:adjustRightInd w:val="0"/>
        <w:snapToGrid w:val="0"/>
        <w:spacing w:line="500" w:lineRule="exact"/>
        <w:ind w:firstLine="480" w:firstLineChars="200"/>
        <w:rPr>
          <w:rFonts w:eastAsia="宋体"/>
        </w:rPr>
      </w:pPr>
      <w:r>
        <w:rPr>
          <w:rFonts w:eastAsia="宋体"/>
        </w:rPr>
        <w:t>2021年，对全市5个污染区域周边共24个土壤省级风险监控点开展了监测，分别为南通醋酸纤维有限公司区域、江山农药化工股份有限公司区域、苏中科技发展有限公司区域、启东天楹环保能源有限公司和五山漂染有限责任公司区域，其中7个农用地监测点位、17个建设用地监测点位。监测结果显示，我市24个土壤省级风险监控点土壤环境质量较好，均低于相应风险筛选值，其中有4个点位土壤轻度碱化，占比16.6%，其余点位土壤未出现酸化或碱化。</w:t>
      </w:r>
    </w:p>
    <w:p>
      <w:pPr>
        <w:adjustRightInd w:val="0"/>
        <w:snapToGrid w:val="0"/>
        <w:spacing w:line="500" w:lineRule="exact"/>
        <w:ind w:firstLine="480" w:firstLineChars="200"/>
        <w:rPr>
          <w:rFonts w:eastAsia="宋体"/>
        </w:rPr>
      </w:pPr>
      <w:r>
        <w:rPr>
          <w:rFonts w:eastAsia="宋体"/>
        </w:rPr>
        <w:t>④声环境质量</w:t>
      </w:r>
    </w:p>
    <w:p>
      <w:pPr>
        <w:adjustRightInd w:val="0"/>
        <w:snapToGrid w:val="0"/>
        <w:spacing w:line="500" w:lineRule="exact"/>
        <w:ind w:firstLine="480" w:firstLineChars="200"/>
        <w:rPr>
          <w:rFonts w:eastAsia="宋体"/>
        </w:rPr>
      </w:pPr>
      <w:r>
        <w:rPr>
          <w:rFonts w:eastAsia="宋体"/>
        </w:rPr>
        <w:t>2021年，我市声环境质量总体较好，昼间和夜间声环境质量基本保持稳定。</w:t>
      </w:r>
    </w:p>
    <w:p>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p>
    <w:p>
      <w:pPr>
        <w:adjustRightInd w:val="0"/>
        <w:snapToGrid w:val="0"/>
        <w:spacing w:line="500" w:lineRule="exact"/>
        <w:ind w:firstLine="480" w:firstLineChars="200"/>
        <w:rPr>
          <w:rFonts w:eastAsia="宋体"/>
        </w:rPr>
      </w:pPr>
      <w:r>
        <w:rPr>
          <w:rFonts w:eastAsia="宋体"/>
        </w:rPr>
        <w:t>根据对卫星遥感资料开展的高精度解译结果，全市生物丰度指数为30.32，植被覆盖指数为74.47，水网密度指数为80.92，土地胁迫指数为6.43，污染负荷指数为0.61（详见表5）。按照《</w:t>
      </w:r>
      <w:r>
        <w:rPr>
          <w:rFonts w:hint="eastAsia" w:eastAsia="宋体"/>
          <w:lang w:eastAsia="zh-CN"/>
        </w:rPr>
        <w:t>生态环境状况评价技术规范</w:t>
      </w:r>
      <w:r>
        <w:rPr>
          <w:rFonts w:eastAsia="宋体"/>
        </w:rPr>
        <w:t>》（</w:t>
      </w:r>
      <w:r>
        <w:rPr>
          <w:rFonts w:hint="eastAsia" w:eastAsia="宋体"/>
          <w:lang w:eastAsia="zh-CN"/>
        </w:rPr>
        <w:t>HJ 192-2015</w:t>
      </w:r>
      <w:r>
        <w:rPr>
          <w:rFonts w:eastAsia="宋体"/>
        </w:rPr>
        <w:t>），全市生态环境状况指数为65.34，处于良好状态。四县（市）、通州区、海门区生态环境状况指数分别为：海安66.87、如皋66.23、如东66.91、启东65.42、通州62.62、海门64.03，均处于良好状态。</w:t>
      </w:r>
    </w:p>
    <w:p>
      <w:pPr>
        <w:pStyle w:val="4"/>
        <w:adjustRightInd w:val="0"/>
        <w:snapToGrid w:val="0"/>
        <w:spacing w:line="480" w:lineRule="exact"/>
        <w:rPr>
          <w:rFonts w:eastAsia="宋体"/>
          <w:sz w:val="24"/>
          <w:szCs w:val="24"/>
        </w:rPr>
      </w:pPr>
      <w:bookmarkStart w:id="74" w:name="_Toc5947"/>
      <w:bookmarkStart w:id="75" w:name="_Toc23710"/>
      <w:bookmarkStart w:id="76" w:name="_Toc28750"/>
      <w:bookmarkStart w:id="77" w:name="_Toc17812"/>
      <w:r>
        <w:rPr>
          <w:rFonts w:eastAsia="宋体"/>
          <w:sz w:val="24"/>
          <w:szCs w:val="24"/>
        </w:rPr>
        <w:t>3.2 企业周边环境风险受体情况</w:t>
      </w:r>
      <w:bookmarkEnd w:id="74"/>
      <w:bookmarkEnd w:id="75"/>
      <w:bookmarkEnd w:id="76"/>
      <w:bookmarkEnd w:id="77"/>
    </w:p>
    <w:p>
      <w:pPr>
        <w:pStyle w:val="2"/>
        <w:adjustRightInd w:val="0"/>
        <w:snapToGrid w:val="0"/>
        <w:spacing w:line="480" w:lineRule="exact"/>
        <w:rPr>
          <w:rFonts w:eastAsia="宋体"/>
          <w:szCs w:val="24"/>
        </w:rPr>
      </w:pPr>
      <w:bookmarkStart w:id="78" w:name="_Toc8985"/>
      <w:bookmarkStart w:id="79" w:name="_Toc32178"/>
      <w:bookmarkStart w:id="80" w:name="_Toc4629"/>
      <w:bookmarkStart w:id="81" w:name="_Toc16476"/>
      <w:r>
        <w:rPr>
          <w:rFonts w:eastAsia="宋体"/>
          <w:szCs w:val="24"/>
        </w:rPr>
        <w:t>3.2.1大气环境风险受体</w:t>
      </w:r>
      <w:bookmarkEnd w:id="78"/>
      <w:bookmarkEnd w:id="79"/>
      <w:bookmarkEnd w:id="80"/>
      <w:bookmarkEnd w:id="81"/>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lang w:eastAsia="zh-CN"/>
        </w:rPr>
        <w:t>家得福家具</w:t>
      </w:r>
      <w:r>
        <w:rPr>
          <w:rFonts w:eastAsia="宋体"/>
        </w:rPr>
        <w:t>位于</w:t>
      </w:r>
      <w:r>
        <w:rPr>
          <w:rFonts w:hint="eastAsia" w:eastAsia="宋体"/>
        </w:rPr>
        <w:t>海安经济技术开发区</w:t>
      </w:r>
      <w:r>
        <w:rPr>
          <w:rFonts w:hint="eastAsia" w:eastAsia="宋体"/>
          <w:lang w:eastAsia="zh-CN"/>
        </w:rPr>
        <w:t>桃源路26号</w:t>
      </w:r>
      <w:r>
        <w:rPr>
          <w:rFonts w:eastAsia="宋体"/>
        </w:rPr>
        <w:t>，</w:t>
      </w:r>
      <w:r>
        <w:rPr>
          <w:rFonts w:hint="eastAsia" w:eastAsia="宋体"/>
          <w:lang w:eastAsia="zh-CN"/>
        </w:rPr>
        <w:t>家得福家具</w:t>
      </w:r>
      <w:r>
        <w:rPr>
          <w:rFonts w:eastAsia="宋体"/>
          <w:color w:val="000000" w:themeColor="text1"/>
          <w14:textFill>
            <w14:solidFill>
              <w14:schemeClr w14:val="tx1"/>
            </w14:solidFill>
          </w14:textFill>
        </w:rPr>
        <w:t>周围环境详见附</w:t>
      </w:r>
      <w:r>
        <w:rPr>
          <w:rFonts w:hint="eastAsia" w:eastAsia="宋体"/>
          <w:color w:val="000000" w:themeColor="text1"/>
          <w14:textFill>
            <w14:solidFill>
              <w14:schemeClr w14:val="tx1"/>
            </w14:solidFill>
          </w14:textFill>
        </w:rPr>
        <w:t>图</w:t>
      </w:r>
      <w:r>
        <w:rPr>
          <w:rFonts w:eastAsia="宋体"/>
          <w:color w:val="000000" w:themeColor="text1"/>
          <w14:textFill>
            <w14:solidFill>
              <w14:schemeClr w14:val="tx1"/>
            </w14:solidFill>
          </w14:textFill>
        </w:rPr>
        <w:t>。</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企业周边</w:t>
      </w:r>
      <w:r>
        <w:rPr>
          <w:rFonts w:hint="eastAsia" w:eastAsia="宋体"/>
          <w:color w:val="000000" w:themeColor="text1"/>
          <w14:textFill>
            <w14:solidFill>
              <w14:schemeClr w14:val="tx1"/>
            </w14:solidFill>
          </w14:textFill>
        </w:rPr>
        <w:t>500m、</w:t>
      </w:r>
      <w:r>
        <w:rPr>
          <w:rFonts w:eastAsia="宋体"/>
          <w:color w:val="000000" w:themeColor="text1"/>
          <w14:textFill>
            <w14:solidFill>
              <w14:schemeClr w14:val="tx1"/>
            </w14:solidFill>
          </w14:textFill>
        </w:rPr>
        <w:t>5公里范围内大气环境风险受体情况见表</w:t>
      </w:r>
      <w:r>
        <w:rPr>
          <w:rFonts w:hint="eastAsia" w:eastAsia="宋体"/>
          <w:color w:val="000000" w:themeColor="text1"/>
          <w14:textFill>
            <w14:solidFill>
              <w14:schemeClr w14:val="tx1"/>
            </w14:solidFill>
          </w14:textFill>
        </w:rPr>
        <w:t>3-4、</w:t>
      </w:r>
      <w:r>
        <w:rPr>
          <w:rFonts w:eastAsia="宋体"/>
          <w:color w:val="000000" w:themeColor="text1"/>
          <w14:textFill>
            <w14:solidFill>
              <w14:schemeClr w14:val="tx1"/>
            </w14:solidFill>
          </w14:textFill>
        </w:rPr>
        <w:t>3-</w:t>
      </w:r>
      <w:r>
        <w:rPr>
          <w:rFonts w:hint="eastAsia" w:eastAsia="宋体"/>
          <w:color w:val="000000" w:themeColor="text1"/>
          <w14:textFill>
            <w14:solidFill>
              <w14:schemeClr w14:val="tx1"/>
            </w14:solidFill>
          </w14:textFill>
        </w:rPr>
        <w:t>5</w:t>
      </w:r>
      <w:r>
        <w:rPr>
          <w:rFonts w:eastAsia="宋体"/>
          <w:color w:val="000000" w:themeColor="text1"/>
          <w14:textFill>
            <w14:solidFill>
              <w14:schemeClr w14:val="tx1"/>
            </w14:solidFill>
          </w14:textFill>
        </w:rPr>
        <w:t>。</w:t>
      </w:r>
    </w:p>
    <w:p>
      <w:pPr>
        <w:adjustRightInd w:val="0"/>
        <w:snapToGrid w:val="0"/>
        <w:spacing w:line="480" w:lineRule="exact"/>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表3-</w:t>
      </w:r>
      <w:r>
        <w:rPr>
          <w:rFonts w:hint="eastAsia" w:eastAsia="宋体"/>
          <w:b/>
          <w:bCs/>
          <w:color w:val="000000" w:themeColor="text1"/>
          <w14:textFill>
            <w14:solidFill>
              <w14:schemeClr w14:val="tx1"/>
            </w14:solidFill>
          </w14:textFill>
        </w:rPr>
        <w:t>4</w:t>
      </w:r>
      <w:r>
        <w:rPr>
          <w:rFonts w:eastAsia="宋体"/>
          <w:b/>
          <w:bCs/>
          <w:color w:val="000000" w:themeColor="text1"/>
          <w14:textFill>
            <w14:solidFill>
              <w14:schemeClr w14:val="tx1"/>
            </w14:solidFill>
          </w14:textFill>
        </w:rPr>
        <w:t xml:space="preserve"> </w:t>
      </w:r>
      <w:r>
        <w:rPr>
          <w:rFonts w:hint="eastAsia" w:eastAsia="宋体"/>
          <w:b/>
          <w:bCs/>
          <w:color w:val="000000" w:themeColor="text1"/>
          <w:lang w:eastAsia="zh-CN"/>
          <w14:textFill>
            <w14:solidFill>
              <w14:schemeClr w14:val="tx1"/>
            </w14:solidFill>
          </w14:textFill>
        </w:rPr>
        <w:t>家得福家具</w:t>
      </w:r>
      <w:r>
        <w:rPr>
          <w:rFonts w:eastAsia="宋体"/>
          <w:b/>
          <w:bCs/>
          <w:color w:val="000000" w:themeColor="text1"/>
          <w14:textFill>
            <w14:solidFill>
              <w14:schemeClr w14:val="tx1"/>
            </w14:solidFill>
          </w14:textFill>
        </w:rPr>
        <w:t>周</w:t>
      </w:r>
      <w:r>
        <w:rPr>
          <w:rFonts w:hint="eastAsia" w:eastAsia="宋体"/>
          <w:b/>
          <w:bCs/>
          <w:color w:val="000000" w:themeColor="text1"/>
          <w:highlight w:val="none"/>
          <w14:textFill>
            <w14:solidFill>
              <w14:schemeClr w14:val="tx1"/>
            </w14:solidFill>
          </w14:textFill>
        </w:rPr>
        <w:t>边</w:t>
      </w:r>
      <w:r>
        <w:rPr>
          <w:rFonts w:eastAsia="宋体"/>
          <w:b/>
          <w:bCs/>
          <w:color w:val="000000" w:themeColor="text1"/>
          <w:highlight w:val="none"/>
          <w14:textFill>
            <w14:solidFill>
              <w14:schemeClr w14:val="tx1"/>
            </w14:solidFill>
          </w14:textFill>
        </w:rPr>
        <w:t>500m</w:t>
      </w:r>
      <w:r>
        <w:rPr>
          <w:rFonts w:hint="eastAsia" w:eastAsia="宋体"/>
          <w:b/>
          <w:bCs/>
          <w:color w:val="000000" w:themeColor="text1"/>
          <w:highlight w:val="none"/>
          <w14:textFill>
            <w14:solidFill>
              <w14:schemeClr w14:val="tx1"/>
            </w14:solidFill>
          </w14:textFill>
        </w:rPr>
        <w:t>范</w:t>
      </w:r>
      <w:r>
        <w:rPr>
          <w:rFonts w:eastAsia="宋体"/>
          <w:b/>
          <w:bCs/>
          <w:color w:val="000000" w:themeColor="text1"/>
          <w14:textFill>
            <w14:solidFill>
              <w14:schemeClr w14:val="tx1"/>
            </w14:solidFill>
          </w14:textFill>
        </w:rPr>
        <w:t>围内大气环境风险受体</w:t>
      </w:r>
    </w:p>
    <w:tbl>
      <w:tblPr>
        <w:tblStyle w:val="39"/>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537"/>
        <w:gridCol w:w="1674"/>
        <w:gridCol w:w="987"/>
        <w:gridCol w:w="978"/>
        <w:gridCol w:w="1159"/>
        <w:gridCol w:w="1574"/>
        <w:gridCol w:w="18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restar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环境</w:t>
            </w:r>
          </w:p>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要素</w:t>
            </w:r>
          </w:p>
        </w:tc>
        <w:tc>
          <w:tcPr>
            <w:tcW w:w="1178" w:type="pct"/>
            <w:gridSpan w:val="2"/>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环境保护对象名称</w:t>
            </w:r>
          </w:p>
        </w:tc>
        <w:tc>
          <w:tcPr>
            <w:tcW w:w="526" w:type="pct"/>
            <w:vMerge w:val="restar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方位</w:t>
            </w:r>
          </w:p>
        </w:tc>
        <w:tc>
          <w:tcPr>
            <w:tcW w:w="520" w:type="pct"/>
            <w:vMerge w:val="restar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距项目厂界最近距离（m）</w:t>
            </w:r>
          </w:p>
        </w:tc>
        <w:tc>
          <w:tcPr>
            <w:tcW w:w="618" w:type="pct"/>
            <w:vMerge w:val="restar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规模（人）</w:t>
            </w:r>
          </w:p>
        </w:tc>
        <w:tc>
          <w:tcPr>
            <w:tcW w:w="839" w:type="pct"/>
            <w:vMerge w:val="restart"/>
            <w:tcBorders>
              <w:tl2br w:val="nil"/>
              <w:tr2bl w:val="nil"/>
            </w:tcBorders>
            <w:vAlign w:val="center"/>
          </w:tcPr>
          <w:p>
            <w:pPr>
              <w:pStyle w:val="102"/>
              <w:jc w:val="center"/>
              <w:rPr>
                <w:rFonts w:ascii="Times New Roman" w:eastAsia="宋体" w:cs="Times New Roman"/>
                <w:b/>
                <w:bCs/>
                <w:color w:val="auto"/>
                <w:sz w:val="21"/>
                <w:szCs w:val="21"/>
              </w:rPr>
            </w:pPr>
            <w:r>
              <w:rPr>
                <w:rFonts w:hint="eastAsia" w:ascii="Times New Roman" w:eastAsia="宋体" w:cs="Times New Roman"/>
                <w:b/>
                <w:bCs/>
                <w:color w:val="auto"/>
                <w:sz w:val="21"/>
                <w:szCs w:val="21"/>
              </w:rPr>
              <w:t>联系方式</w:t>
            </w:r>
          </w:p>
        </w:tc>
        <w:tc>
          <w:tcPr>
            <w:tcW w:w="980" w:type="pct"/>
            <w:vMerge w:val="restar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序号</w:t>
            </w:r>
          </w:p>
        </w:tc>
        <w:tc>
          <w:tcPr>
            <w:tcW w:w="892" w:type="pc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敏感点</w:t>
            </w:r>
          </w:p>
        </w:tc>
        <w:tc>
          <w:tcPr>
            <w:tcW w:w="52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520"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618"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839"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w:t>
            </w:r>
          </w:p>
        </w:tc>
        <w:tc>
          <w:tcPr>
            <w:tcW w:w="892"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江苏康瑞生态农业有限公司</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NE</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390</w:t>
            </w:r>
          </w:p>
        </w:tc>
        <w:tc>
          <w:tcPr>
            <w:tcW w:w="61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80</w:t>
            </w:r>
          </w:p>
        </w:tc>
        <w:tc>
          <w:tcPr>
            <w:tcW w:w="839" w:type="pct"/>
            <w:tcBorders>
              <w:tl2br w:val="nil"/>
              <w:tr2bl w:val="nil"/>
            </w:tcBorders>
            <w:vAlign w:val="center"/>
          </w:tcPr>
          <w:p>
            <w:pPr>
              <w:pStyle w:val="10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0513-88963908</w:t>
            </w:r>
          </w:p>
        </w:tc>
        <w:tc>
          <w:tcPr>
            <w:tcW w:w="980" w:type="pct"/>
            <w:vMerge w:val="restar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w:t>
            </w:r>
          </w:p>
        </w:tc>
        <w:tc>
          <w:tcPr>
            <w:tcW w:w="892"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海安翊林家具有限公司</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54</w:t>
            </w:r>
          </w:p>
        </w:tc>
        <w:tc>
          <w:tcPr>
            <w:tcW w:w="618"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50</w:t>
            </w:r>
          </w:p>
        </w:tc>
        <w:tc>
          <w:tcPr>
            <w:tcW w:w="839" w:type="pct"/>
            <w:tcBorders>
              <w:tl2br w:val="nil"/>
              <w:tr2bl w:val="nil"/>
            </w:tcBorders>
            <w:vAlign w:val="center"/>
          </w:tcPr>
          <w:p>
            <w:pPr>
              <w:pStyle w:val="102"/>
              <w:jc w:val="center"/>
              <w:rPr>
                <w:rFonts w:hint="eastAsia" w:ascii="Times New Roman" w:hAnsi="Times New Roman" w:eastAsia="宋体" w:cs="Times New Roman"/>
                <w:color w:val="auto"/>
                <w:sz w:val="21"/>
                <w:szCs w:val="21"/>
                <w:lang w:val="en-US" w:eastAsia="zh-CN" w:bidi="ar-SA"/>
              </w:rPr>
            </w:pPr>
            <w:r>
              <w:rPr>
                <w:rFonts w:hint="eastAsia" w:ascii="Times New Roman" w:eastAsia="宋体" w:cs="Times New Roman"/>
                <w:color w:val="auto"/>
                <w:sz w:val="21"/>
                <w:szCs w:val="21"/>
              </w:rPr>
              <w:t>18915501888</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3</w:t>
            </w:r>
          </w:p>
        </w:tc>
        <w:tc>
          <w:tcPr>
            <w:tcW w:w="892"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海安苏木释家具有限公司</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150</w:t>
            </w:r>
          </w:p>
        </w:tc>
        <w:tc>
          <w:tcPr>
            <w:tcW w:w="618"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60</w:t>
            </w:r>
          </w:p>
        </w:tc>
        <w:tc>
          <w:tcPr>
            <w:tcW w:w="839" w:type="pct"/>
            <w:tcBorders>
              <w:tl2br w:val="nil"/>
              <w:tr2bl w:val="nil"/>
            </w:tcBorders>
            <w:vAlign w:val="center"/>
          </w:tcPr>
          <w:p>
            <w:pPr>
              <w:pStyle w:val="102"/>
              <w:jc w:val="center"/>
              <w:rPr>
                <w:rFonts w:hint="eastAsia" w:ascii="Times New Roman" w:hAnsi="Times New Roman" w:eastAsia="宋体" w:cs="Times New Roman"/>
                <w:color w:val="auto"/>
                <w:sz w:val="21"/>
                <w:szCs w:val="21"/>
                <w:lang w:val="en-US" w:eastAsia="zh-CN" w:bidi="ar-SA"/>
              </w:rPr>
            </w:pPr>
            <w:r>
              <w:rPr>
                <w:rFonts w:hint="eastAsia" w:ascii="Times New Roman" w:eastAsia="宋体" w:cs="Times New Roman"/>
                <w:color w:val="auto"/>
                <w:sz w:val="21"/>
                <w:szCs w:val="21"/>
              </w:rPr>
              <w:t>13952403748</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4</w:t>
            </w:r>
          </w:p>
        </w:tc>
        <w:tc>
          <w:tcPr>
            <w:tcW w:w="892"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蓝尚家具海安有限公司</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200</w:t>
            </w:r>
          </w:p>
        </w:tc>
        <w:tc>
          <w:tcPr>
            <w:tcW w:w="618"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60</w:t>
            </w:r>
          </w:p>
        </w:tc>
        <w:tc>
          <w:tcPr>
            <w:tcW w:w="839" w:type="pct"/>
            <w:tcBorders>
              <w:tl2br w:val="nil"/>
              <w:tr2bl w:val="nil"/>
            </w:tcBorders>
            <w:vAlign w:val="center"/>
          </w:tcPr>
          <w:p>
            <w:pPr>
              <w:pStyle w:val="102"/>
              <w:jc w:val="center"/>
              <w:rPr>
                <w:rFonts w:hint="eastAsia" w:ascii="Times New Roman" w:hAnsi="Times New Roman" w:eastAsia="宋体" w:cs="Times New Roman"/>
                <w:color w:val="auto"/>
                <w:sz w:val="21"/>
                <w:szCs w:val="21"/>
                <w:lang w:val="en-US" w:eastAsia="zh-CN" w:bidi="ar-SA"/>
              </w:rPr>
            </w:pPr>
            <w:r>
              <w:rPr>
                <w:rFonts w:hint="eastAsia" w:ascii="Times New Roman" w:eastAsia="宋体" w:cs="Times New Roman"/>
                <w:color w:val="auto"/>
                <w:sz w:val="21"/>
                <w:szCs w:val="21"/>
              </w:rPr>
              <w:t>0513-88937388</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5</w:t>
            </w:r>
          </w:p>
        </w:tc>
        <w:tc>
          <w:tcPr>
            <w:tcW w:w="892"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海安驰森木业有限公司</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107</w:t>
            </w:r>
          </w:p>
        </w:tc>
        <w:tc>
          <w:tcPr>
            <w:tcW w:w="61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60</w:t>
            </w:r>
          </w:p>
        </w:tc>
        <w:tc>
          <w:tcPr>
            <w:tcW w:w="839" w:type="pct"/>
            <w:tcBorders>
              <w:tl2br w:val="nil"/>
              <w:tr2bl w:val="nil"/>
            </w:tcBorders>
            <w:vAlign w:val="center"/>
          </w:tcPr>
          <w:p>
            <w:pPr>
              <w:pStyle w:val="10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15162800339</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6</w:t>
            </w:r>
          </w:p>
        </w:tc>
        <w:tc>
          <w:tcPr>
            <w:tcW w:w="892"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海安帝洁雅家具有限公司</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289</w:t>
            </w:r>
          </w:p>
        </w:tc>
        <w:tc>
          <w:tcPr>
            <w:tcW w:w="61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70</w:t>
            </w:r>
          </w:p>
        </w:tc>
        <w:tc>
          <w:tcPr>
            <w:tcW w:w="839" w:type="pct"/>
            <w:tcBorders>
              <w:tl2br w:val="nil"/>
              <w:tr2bl w:val="nil"/>
            </w:tcBorders>
            <w:vAlign w:val="center"/>
          </w:tcPr>
          <w:p>
            <w:pPr>
              <w:pStyle w:val="10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13957312378</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7</w:t>
            </w:r>
          </w:p>
        </w:tc>
        <w:tc>
          <w:tcPr>
            <w:tcW w:w="892"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富利来家具海安有限公司</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439</w:t>
            </w:r>
          </w:p>
        </w:tc>
        <w:tc>
          <w:tcPr>
            <w:tcW w:w="618"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300</w:t>
            </w:r>
          </w:p>
        </w:tc>
        <w:tc>
          <w:tcPr>
            <w:tcW w:w="839" w:type="pct"/>
            <w:tcBorders>
              <w:tl2br w:val="nil"/>
              <w:tr2bl w:val="nil"/>
            </w:tcBorders>
            <w:vAlign w:val="center"/>
          </w:tcPr>
          <w:p>
            <w:pPr>
              <w:pStyle w:val="102"/>
              <w:jc w:val="center"/>
              <w:rPr>
                <w:rFonts w:hint="eastAsia" w:ascii="Times New Roman" w:hAnsi="Times New Roman" w:eastAsia="宋体" w:cs="Times New Roman"/>
                <w:color w:val="auto"/>
                <w:sz w:val="21"/>
                <w:szCs w:val="21"/>
                <w:lang w:val="en-US" w:eastAsia="zh-CN" w:bidi="ar-SA"/>
              </w:rPr>
            </w:pPr>
            <w:r>
              <w:rPr>
                <w:rFonts w:hint="eastAsia" w:ascii="Times New Roman" w:eastAsia="宋体" w:cs="Times New Roman"/>
                <w:color w:val="auto"/>
                <w:sz w:val="21"/>
                <w:szCs w:val="21"/>
              </w:rPr>
              <w:t>0513-88937388</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8</w:t>
            </w:r>
          </w:p>
        </w:tc>
        <w:tc>
          <w:tcPr>
            <w:tcW w:w="892"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海安腾辉家具有限公司</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SW</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108</w:t>
            </w:r>
          </w:p>
        </w:tc>
        <w:tc>
          <w:tcPr>
            <w:tcW w:w="61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180</w:t>
            </w:r>
          </w:p>
        </w:tc>
        <w:tc>
          <w:tcPr>
            <w:tcW w:w="839" w:type="pct"/>
            <w:tcBorders>
              <w:tl2br w:val="nil"/>
              <w:tr2bl w:val="nil"/>
            </w:tcBorders>
            <w:vAlign w:val="center"/>
          </w:tcPr>
          <w:p>
            <w:pPr>
              <w:pStyle w:val="10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13814806363</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hint="eastAsia" w:ascii="Times New Roman" w:eastAsia="宋体" w:cs="Times New Roman"/>
                <w:color w:val="auto"/>
                <w:sz w:val="21"/>
                <w:szCs w:val="21"/>
              </w:rPr>
              <w:t>9</w:t>
            </w:r>
          </w:p>
        </w:tc>
        <w:tc>
          <w:tcPr>
            <w:tcW w:w="892"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骏业家具海安有限公司</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SE</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337</w:t>
            </w:r>
          </w:p>
        </w:tc>
        <w:tc>
          <w:tcPr>
            <w:tcW w:w="61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80</w:t>
            </w:r>
          </w:p>
        </w:tc>
        <w:tc>
          <w:tcPr>
            <w:tcW w:w="839" w:type="pct"/>
            <w:tcBorders>
              <w:tl2br w:val="nil"/>
              <w:tr2bl w:val="nil"/>
            </w:tcBorders>
            <w:vAlign w:val="center"/>
          </w:tcPr>
          <w:p>
            <w:pPr>
              <w:pStyle w:val="10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0513-88937388</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hint="eastAsia" w:ascii="Times New Roman" w:eastAsia="宋体" w:cs="Times New Roman"/>
                <w:color w:val="auto"/>
                <w:sz w:val="21"/>
                <w:szCs w:val="21"/>
              </w:rPr>
              <w:t>10</w:t>
            </w:r>
          </w:p>
        </w:tc>
        <w:tc>
          <w:tcPr>
            <w:tcW w:w="892"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江苏青舟木业有限公司</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SE</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441</w:t>
            </w:r>
          </w:p>
        </w:tc>
        <w:tc>
          <w:tcPr>
            <w:tcW w:w="61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100</w:t>
            </w:r>
          </w:p>
        </w:tc>
        <w:tc>
          <w:tcPr>
            <w:tcW w:w="839" w:type="pct"/>
            <w:tcBorders>
              <w:tl2br w:val="nil"/>
              <w:tr2bl w:val="nil"/>
            </w:tcBorders>
            <w:vAlign w:val="center"/>
          </w:tcPr>
          <w:p>
            <w:pPr>
              <w:pStyle w:val="10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18094398330</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hint="eastAsia" w:ascii="Times New Roman" w:eastAsia="宋体" w:cs="Times New Roman"/>
                <w:color w:val="auto"/>
                <w:sz w:val="21"/>
                <w:szCs w:val="21"/>
              </w:rPr>
              <w:t>11</w:t>
            </w:r>
          </w:p>
        </w:tc>
        <w:tc>
          <w:tcPr>
            <w:tcW w:w="892"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韩徐村</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t>
            </w:r>
          </w:p>
        </w:tc>
        <w:tc>
          <w:tcPr>
            <w:tcW w:w="618"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100</w:t>
            </w:r>
          </w:p>
        </w:tc>
        <w:tc>
          <w:tcPr>
            <w:tcW w:w="839" w:type="pct"/>
            <w:tcBorders>
              <w:tl2br w:val="nil"/>
              <w:tr2bl w:val="nil"/>
            </w:tcBorders>
            <w:vAlign w:val="center"/>
          </w:tcPr>
          <w:p>
            <w:pPr>
              <w:pStyle w:val="10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0513-88360289</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86" w:type="pct"/>
            <w:tcBorders>
              <w:tl2br w:val="nil"/>
              <w:tr2bl w:val="nil"/>
            </w:tcBorders>
            <w:vAlign w:val="center"/>
          </w:tcPr>
          <w:p>
            <w:pPr>
              <w:pStyle w:val="102"/>
              <w:jc w:val="center"/>
              <w:rPr>
                <w:rFonts w:ascii="Times New Roman" w:eastAsia="宋体" w:cs="Times New Roman"/>
                <w:color w:val="auto"/>
                <w:sz w:val="21"/>
                <w:szCs w:val="21"/>
              </w:rPr>
            </w:pPr>
            <w:r>
              <w:rPr>
                <w:rFonts w:hint="eastAsia" w:ascii="Times New Roman" w:eastAsia="宋体" w:cs="Times New Roman"/>
                <w:color w:val="auto"/>
                <w:sz w:val="21"/>
                <w:szCs w:val="21"/>
              </w:rPr>
              <w:t>12</w:t>
            </w:r>
          </w:p>
        </w:tc>
        <w:tc>
          <w:tcPr>
            <w:tcW w:w="892"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韩南村</w:t>
            </w:r>
          </w:p>
        </w:tc>
        <w:tc>
          <w:tcPr>
            <w:tcW w:w="52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S</w:t>
            </w:r>
          </w:p>
        </w:tc>
        <w:tc>
          <w:tcPr>
            <w:tcW w:w="520"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327</w:t>
            </w:r>
          </w:p>
        </w:tc>
        <w:tc>
          <w:tcPr>
            <w:tcW w:w="61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100</w:t>
            </w:r>
          </w:p>
        </w:tc>
        <w:tc>
          <w:tcPr>
            <w:tcW w:w="839" w:type="pct"/>
            <w:tcBorders>
              <w:tl2br w:val="nil"/>
              <w:tr2bl w:val="nil"/>
            </w:tcBorders>
            <w:vAlign w:val="center"/>
          </w:tcPr>
          <w:p>
            <w:pPr>
              <w:pStyle w:val="10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225" w:type="pct"/>
            <w:gridSpan w:val="4"/>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总计人数</w:t>
            </w:r>
          </w:p>
        </w:tc>
        <w:tc>
          <w:tcPr>
            <w:tcW w:w="618" w:type="pct"/>
            <w:tcBorders>
              <w:tl2br w:val="nil"/>
              <w:tr2bl w:val="nil"/>
            </w:tcBorders>
            <w:vAlign w:val="center"/>
          </w:tcPr>
          <w:p>
            <w:pPr>
              <w:pStyle w:val="102"/>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rPr>
              <w:t>1</w:t>
            </w:r>
            <w:r>
              <w:rPr>
                <w:rFonts w:hint="eastAsia" w:ascii="Times New Roman" w:eastAsia="宋体" w:cs="Times New Roman"/>
                <w:color w:val="auto"/>
                <w:sz w:val="21"/>
                <w:szCs w:val="21"/>
                <w:lang w:val="en-US" w:eastAsia="zh-CN"/>
              </w:rPr>
              <w:t>140</w:t>
            </w:r>
          </w:p>
        </w:tc>
        <w:tc>
          <w:tcPr>
            <w:tcW w:w="839" w:type="pct"/>
            <w:tcBorders>
              <w:tl2br w:val="nil"/>
              <w:tr2bl w:val="nil"/>
            </w:tcBorders>
            <w:vAlign w:val="center"/>
          </w:tcPr>
          <w:p>
            <w:pPr>
              <w:pStyle w:val="102"/>
              <w:jc w:val="center"/>
              <w:rPr>
                <w:rFonts w:ascii="Times New Roman" w:eastAsia="宋体" w:cs="Times New Roman"/>
                <w:color w:val="auto"/>
                <w:sz w:val="21"/>
                <w:szCs w:val="21"/>
              </w:rPr>
            </w:pPr>
            <w:r>
              <w:rPr>
                <w:rFonts w:hint="eastAsia" w:ascii="Times New Roman" w:eastAsia="宋体" w:cs="Times New Roman"/>
                <w:color w:val="auto"/>
                <w:sz w:val="21"/>
                <w:szCs w:val="21"/>
              </w:rPr>
              <w:t>/</w:t>
            </w:r>
          </w:p>
        </w:tc>
        <w:tc>
          <w:tcPr>
            <w:tcW w:w="980"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bl>
    <w:p>
      <w:pPr>
        <w:adjustRightInd w:val="0"/>
        <w:snapToGrid w:val="0"/>
        <w:spacing w:line="480" w:lineRule="exact"/>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表3-</w:t>
      </w:r>
      <w:r>
        <w:rPr>
          <w:rFonts w:hint="eastAsia" w:eastAsia="宋体"/>
          <w:b/>
          <w:bCs/>
          <w:color w:val="000000" w:themeColor="text1"/>
          <w14:textFill>
            <w14:solidFill>
              <w14:schemeClr w14:val="tx1"/>
            </w14:solidFill>
          </w14:textFill>
        </w:rPr>
        <w:t>5</w:t>
      </w:r>
      <w:r>
        <w:rPr>
          <w:rFonts w:eastAsia="宋体"/>
          <w:b/>
          <w:bCs/>
          <w:color w:val="000000" w:themeColor="text1"/>
          <w14:textFill>
            <w14:solidFill>
              <w14:schemeClr w14:val="tx1"/>
            </w14:solidFill>
          </w14:textFill>
        </w:rPr>
        <w:t xml:space="preserve"> </w:t>
      </w:r>
      <w:r>
        <w:rPr>
          <w:rFonts w:hint="eastAsia" w:eastAsia="宋体"/>
          <w:b/>
          <w:bCs/>
          <w:color w:val="000000" w:themeColor="text1"/>
          <w:lang w:eastAsia="zh-CN"/>
          <w14:textFill>
            <w14:solidFill>
              <w14:schemeClr w14:val="tx1"/>
            </w14:solidFill>
          </w14:textFill>
        </w:rPr>
        <w:t>家得福家具</w:t>
      </w:r>
      <w:r>
        <w:rPr>
          <w:rFonts w:eastAsia="宋体"/>
          <w:b/>
          <w:bCs/>
          <w:color w:val="000000" w:themeColor="text1"/>
          <w14:textFill>
            <w14:solidFill>
              <w14:schemeClr w14:val="tx1"/>
            </w14:solidFill>
          </w14:textFill>
        </w:rPr>
        <w:t>周边5公里范围内大气环境风险受体</w:t>
      </w:r>
    </w:p>
    <w:tbl>
      <w:tblPr>
        <w:tblStyle w:val="39"/>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89"/>
        <w:gridCol w:w="2058"/>
        <w:gridCol w:w="1231"/>
        <w:gridCol w:w="1199"/>
        <w:gridCol w:w="1441"/>
        <w:gridCol w:w="1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restar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环境</w:t>
            </w:r>
          </w:p>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要素</w:t>
            </w:r>
          </w:p>
        </w:tc>
        <w:tc>
          <w:tcPr>
            <w:tcW w:w="1464" w:type="pct"/>
            <w:gridSpan w:val="2"/>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环境保护对象名称</w:t>
            </w:r>
          </w:p>
        </w:tc>
        <w:tc>
          <w:tcPr>
            <w:tcW w:w="656" w:type="pct"/>
            <w:vMerge w:val="restar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方位</w:t>
            </w:r>
          </w:p>
        </w:tc>
        <w:tc>
          <w:tcPr>
            <w:tcW w:w="638" w:type="pct"/>
            <w:vMerge w:val="restar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距项目厂界最近距离（m）</w:t>
            </w:r>
          </w:p>
        </w:tc>
        <w:tc>
          <w:tcPr>
            <w:tcW w:w="768" w:type="pct"/>
            <w:vMerge w:val="restar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规模（人）</w:t>
            </w:r>
          </w:p>
        </w:tc>
        <w:tc>
          <w:tcPr>
            <w:tcW w:w="1035" w:type="pct"/>
            <w:vMerge w:val="restar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序号</w:t>
            </w:r>
          </w:p>
        </w:tc>
        <w:tc>
          <w:tcPr>
            <w:tcW w:w="1097" w:type="pct"/>
            <w:tcBorders>
              <w:tl2br w:val="nil"/>
              <w:tr2bl w:val="nil"/>
            </w:tcBorders>
            <w:vAlign w:val="center"/>
          </w:tcPr>
          <w:p>
            <w:pPr>
              <w:pStyle w:val="102"/>
              <w:jc w:val="center"/>
              <w:rPr>
                <w:rFonts w:ascii="Times New Roman" w:eastAsia="宋体" w:cs="Times New Roman"/>
                <w:b/>
                <w:bCs/>
                <w:color w:val="auto"/>
                <w:sz w:val="21"/>
                <w:szCs w:val="21"/>
              </w:rPr>
            </w:pPr>
            <w:r>
              <w:rPr>
                <w:rFonts w:ascii="Times New Roman" w:eastAsia="宋体" w:cs="Times New Roman"/>
                <w:b/>
                <w:bCs/>
                <w:color w:val="auto"/>
                <w:sz w:val="21"/>
                <w:szCs w:val="21"/>
              </w:rPr>
              <w:t>敏感点</w:t>
            </w:r>
          </w:p>
        </w:tc>
        <w:tc>
          <w:tcPr>
            <w:tcW w:w="65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638"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768"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w:t>
            </w:r>
          </w:p>
        </w:tc>
        <w:tc>
          <w:tcPr>
            <w:tcW w:w="1097"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江苏康瑞生态农业有限公司</w:t>
            </w:r>
          </w:p>
        </w:tc>
        <w:tc>
          <w:tcPr>
            <w:tcW w:w="65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NE</w:t>
            </w:r>
          </w:p>
        </w:tc>
        <w:tc>
          <w:tcPr>
            <w:tcW w:w="63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390</w:t>
            </w:r>
          </w:p>
        </w:tc>
        <w:tc>
          <w:tcPr>
            <w:tcW w:w="76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80</w:t>
            </w:r>
          </w:p>
        </w:tc>
        <w:tc>
          <w:tcPr>
            <w:tcW w:w="1035" w:type="pct"/>
            <w:vMerge w:val="restar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w:t>
            </w:r>
          </w:p>
        </w:tc>
        <w:tc>
          <w:tcPr>
            <w:tcW w:w="1097"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海安翊林家具有限公司</w:t>
            </w:r>
          </w:p>
        </w:tc>
        <w:tc>
          <w:tcPr>
            <w:tcW w:w="65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63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54</w:t>
            </w:r>
          </w:p>
        </w:tc>
        <w:tc>
          <w:tcPr>
            <w:tcW w:w="768"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50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3</w:t>
            </w:r>
          </w:p>
        </w:tc>
        <w:tc>
          <w:tcPr>
            <w:tcW w:w="1097"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海安苏木释家具有限公司</w:t>
            </w:r>
          </w:p>
        </w:tc>
        <w:tc>
          <w:tcPr>
            <w:tcW w:w="65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63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150</w:t>
            </w:r>
          </w:p>
        </w:tc>
        <w:tc>
          <w:tcPr>
            <w:tcW w:w="768"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60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4</w:t>
            </w:r>
          </w:p>
        </w:tc>
        <w:tc>
          <w:tcPr>
            <w:tcW w:w="1097"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蓝尚家具海安有限公司</w:t>
            </w:r>
          </w:p>
        </w:tc>
        <w:tc>
          <w:tcPr>
            <w:tcW w:w="65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63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200</w:t>
            </w:r>
          </w:p>
        </w:tc>
        <w:tc>
          <w:tcPr>
            <w:tcW w:w="768"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60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5</w:t>
            </w:r>
          </w:p>
        </w:tc>
        <w:tc>
          <w:tcPr>
            <w:tcW w:w="1097"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海安驰森木业有限公司</w:t>
            </w:r>
          </w:p>
        </w:tc>
        <w:tc>
          <w:tcPr>
            <w:tcW w:w="65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63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107</w:t>
            </w:r>
          </w:p>
        </w:tc>
        <w:tc>
          <w:tcPr>
            <w:tcW w:w="76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60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6</w:t>
            </w:r>
          </w:p>
        </w:tc>
        <w:tc>
          <w:tcPr>
            <w:tcW w:w="1097"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海安帝洁雅家具有限公司</w:t>
            </w:r>
          </w:p>
        </w:tc>
        <w:tc>
          <w:tcPr>
            <w:tcW w:w="65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63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289</w:t>
            </w:r>
          </w:p>
        </w:tc>
        <w:tc>
          <w:tcPr>
            <w:tcW w:w="76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70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7</w:t>
            </w:r>
          </w:p>
        </w:tc>
        <w:tc>
          <w:tcPr>
            <w:tcW w:w="1097"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富利来家具海安有限公司</w:t>
            </w:r>
          </w:p>
        </w:tc>
        <w:tc>
          <w:tcPr>
            <w:tcW w:w="65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w:t>
            </w:r>
          </w:p>
        </w:tc>
        <w:tc>
          <w:tcPr>
            <w:tcW w:w="63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439</w:t>
            </w:r>
          </w:p>
        </w:tc>
        <w:tc>
          <w:tcPr>
            <w:tcW w:w="768"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300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8</w:t>
            </w:r>
          </w:p>
        </w:tc>
        <w:tc>
          <w:tcPr>
            <w:tcW w:w="1097"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海安腾辉家具有限公司</w:t>
            </w:r>
          </w:p>
        </w:tc>
        <w:tc>
          <w:tcPr>
            <w:tcW w:w="65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SW</w:t>
            </w:r>
          </w:p>
        </w:tc>
        <w:tc>
          <w:tcPr>
            <w:tcW w:w="63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108</w:t>
            </w:r>
          </w:p>
        </w:tc>
        <w:tc>
          <w:tcPr>
            <w:tcW w:w="76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180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9</w:t>
            </w:r>
          </w:p>
        </w:tc>
        <w:tc>
          <w:tcPr>
            <w:tcW w:w="1097"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骏业家具海安有限公司</w:t>
            </w:r>
          </w:p>
        </w:tc>
        <w:tc>
          <w:tcPr>
            <w:tcW w:w="65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SE</w:t>
            </w:r>
          </w:p>
        </w:tc>
        <w:tc>
          <w:tcPr>
            <w:tcW w:w="63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337</w:t>
            </w:r>
          </w:p>
        </w:tc>
        <w:tc>
          <w:tcPr>
            <w:tcW w:w="76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80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10</w:t>
            </w:r>
          </w:p>
        </w:tc>
        <w:tc>
          <w:tcPr>
            <w:tcW w:w="1097"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江苏青舟木业有限公司</w:t>
            </w:r>
          </w:p>
        </w:tc>
        <w:tc>
          <w:tcPr>
            <w:tcW w:w="65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SE</w:t>
            </w:r>
          </w:p>
        </w:tc>
        <w:tc>
          <w:tcPr>
            <w:tcW w:w="63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441</w:t>
            </w:r>
          </w:p>
        </w:tc>
        <w:tc>
          <w:tcPr>
            <w:tcW w:w="76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bidi="ar-SA"/>
              </w:rPr>
              <w:t>100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11</w:t>
            </w:r>
          </w:p>
        </w:tc>
        <w:tc>
          <w:tcPr>
            <w:tcW w:w="1097" w:type="pct"/>
            <w:tcBorders>
              <w:tl2br w:val="nil"/>
              <w:tr2bl w:val="nil"/>
            </w:tcBorders>
            <w:vAlign w:val="center"/>
          </w:tcPr>
          <w:p>
            <w:pPr>
              <w:jc w:val="center"/>
              <w:textAlignment w:val="baseline"/>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韩徐村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t>
            </w:r>
          </w:p>
        </w:tc>
        <w:tc>
          <w:tcPr>
            <w:tcW w:w="63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t>
            </w:r>
          </w:p>
        </w:tc>
        <w:tc>
          <w:tcPr>
            <w:tcW w:w="76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1000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12</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民胜村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1600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13</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丰收村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3000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14</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韩西村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3100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15</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放牛村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4500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16</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韩洋村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2400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17</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四洋村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4100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18</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韩南村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1800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19</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许冯村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E</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3300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20</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于坝村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2800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21</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永利村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3900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22</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前进村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 w:val="21"/>
                <w:szCs w:val="21"/>
                <w:highlight w:val="none"/>
              </w:rPr>
              <w:t>NW</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2100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23</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新华村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3400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24</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练港村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3600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25</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刘缺花苑</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SW</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2800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26</w:t>
            </w:r>
          </w:p>
        </w:tc>
        <w:tc>
          <w:tcPr>
            <w:tcW w:w="1097" w:type="pct"/>
            <w:tcBorders>
              <w:tl2br w:val="nil"/>
              <w:tr2bl w:val="nil"/>
            </w:tcBorders>
            <w:vAlign w:val="center"/>
          </w:tcPr>
          <w:p>
            <w:pPr>
              <w:pStyle w:val="142"/>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eastAsia="Times New Roman" w:cs="Times New Roman"/>
                <w:sz w:val="21"/>
              </w:rPr>
              <w:t>523</w:t>
            </w:r>
            <w:r>
              <w:rPr>
                <w:rFonts w:ascii="Times New Roman" w:hAnsi="Times New Roman" w:cs="Times New Roman"/>
                <w:sz w:val="21"/>
              </w:rPr>
              <w:t>文化公园</w:t>
            </w:r>
          </w:p>
        </w:tc>
        <w:tc>
          <w:tcPr>
            <w:tcW w:w="656" w:type="pct"/>
            <w:tcBorders>
              <w:tl2br w:val="nil"/>
              <w:tr2bl w:val="nil"/>
            </w:tcBorders>
            <w:vAlign w:val="center"/>
          </w:tcPr>
          <w:p>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SW</w:t>
            </w:r>
          </w:p>
        </w:tc>
        <w:tc>
          <w:tcPr>
            <w:tcW w:w="63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4000</w:t>
            </w:r>
          </w:p>
        </w:tc>
        <w:tc>
          <w:tcPr>
            <w:tcW w:w="768" w:type="pct"/>
            <w:tcBorders>
              <w:tl2br w:val="nil"/>
              <w:tr2bl w:val="nil"/>
            </w:tcBorders>
            <w:vAlign w:val="center"/>
          </w:tcPr>
          <w:p>
            <w:pPr>
              <w:pStyle w:val="142"/>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27</w:t>
            </w:r>
          </w:p>
        </w:tc>
        <w:tc>
          <w:tcPr>
            <w:tcW w:w="1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sz w:val="21"/>
                <w:szCs w:val="21"/>
                <w:highlight w:val="none"/>
                <w:vertAlign w:val="baseline"/>
                <w:lang w:val="en-US" w:eastAsia="zh-CN" w:bidi="ar-SA"/>
              </w:rPr>
              <w:t>早稼村</w:t>
            </w:r>
          </w:p>
        </w:tc>
        <w:tc>
          <w:tcPr>
            <w:tcW w:w="65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w:t>
            </w:r>
          </w:p>
        </w:tc>
        <w:tc>
          <w:tcPr>
            <w:tcW w:w="6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4800</w:t>
            </w:r>
          </w:p>
        </w:tc>
        <w:tc>
          <w:tcPr>
            <w:tcW w:w="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1400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28</w:t>
            </w:r>
          </w:p>
        </w:tc>
        <w:tc>
          <w:tcPr>
            <w:tcW w:w="10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sz w:val="21"/>
                <w:szCs w:val="21"/>
                <w:highlight w:val="none"/>
                <w:vertAlign w:val="baseline"/>
                <w:lang w:val="en-US" w:eastAsia="zh-CN" w:bidi="ar-SA"/>
              </w:rPr>
              <w:t>海安站</w:t>
            </w:r>
          </w:p>
        </w:tc>
        <w:tc>
          <w:tcPr>
            <w:tcW w:w="65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SW</w:t>
            </w:r>
          </w:p>
        </w:tc>
        <w:tc>
          <w:tcPr>
            <w:tcW w:w="6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3800</w:t>
            </w:r>
          </w:p>
        </w:tc>
        <w:tc>
          <w:tcPr>
            <w:tcW w:w="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r>
              <w:rPr>
                <w:rFonts w:hint="default" w:eastAsia="宋体" w:cs="Times New Roman"/>
                <w:color w:val="auto"/>
                <w:sz w:val="21"/>
                <w:szCs w:val="21"/>
                <w:lang w:val="en-US" w:eastAsia="zh-CN"/>
              </w:rPr>
              <w:t>000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367"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29</w:t>
            </w:r>
          </w:p>
        </w:tc>
        <w:tc>
          <w:tcPr>
            <w:tcW w:w="1097" w:type="pct"/>
            <w:tcBorders>
              <w:tl2br w:val="nil"/>
              <w:tr2bl w:val="nil"/>
            </w:tcBorders>
            <w:vAlign w:val="center"/>
          </w:tcPr>
          <w:p>
            <w:pPr>
              <w:pStyle w:val="10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eastAsia="宋体" w:cs="Times New Roman"/>
                <w:sz w:val="21"/>
                <w:szCs w:val="21"/>
                <w:highlight w:val="none"/>
                <w:vertAlign w:val="baseline"/>
                <w:lang w:val="en-US" w:eastAsia="zh-CN" w:bidi="ar-SA"/>
              </w:rPr>
              <w:t>三角村</w:t>
            </w:r>
          </w:p>
        </w:tc>
        <w:tc>
          <w:tcPr>
            <w:tcW w:w="65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S</w:t>
            </w:r>
          </w:p>
        </w:tc>
        <w:tc>
          <w:tcPr>
            <w:tcW w:w="6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1400</w:t>
            </w:r>
          </w:p>
        </w:tc>
        <w:tc>
          <w:tcPr>
            <w:tcW w:w="76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5</w:t>
            </w:r>
            <w:r>
              <w:rPr>
                <w:rFonts w:hint="default" w:eastAsia="宋体" w:cs="Times New Roman"/>
                <w:color w:val="auto"/>
                <w:sz w:val="21"/>
                <w:szCs w:val="21"/>
                <w:lang w:val="en-US" w:eastAsia="zh-CN"/>
              </w:rPr>
              <w:t>00</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 w:type="pct"/>
            <w:vMerge w:val="continue"/>
            <w:tcBorders>
              <w:tl2br w:val="nil"/>
              <w:tr2bl w:val="nil"/>
            </w:tcBorders>
            <w:vAlign w:val="center"/>
          </w:tcPr>
          <w:p>
            <w:pPr>
              <w:pStyle w:val="102"/>
              <w:jc w:val="center"/>
              <w:rPr>
                <w:rFonts w:ascii="Times New Roman" w:eastAsia="宋体" w:cs="Times New Roman"/>
                <w:color w:val="auto"/>
                <w:sz w:val="21"/>
                <w:szCs w:val="21"/>
              </w:rPr>
            </w:pPr>
          </w:p>
        </w:tc>
        <w:tc>
          <w:tcPr>
            <w:tcW w:w="2759" w:type="pct"/>
            <w:gridSpan w:val="4"/>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总计人数</w:t>
            </w:r>
          </w:p>
        </w:tc>
        <w:tc>
          <w:tcPr>
            <w:tcW w:w="768" w:type="pct"/>
            <w:tcBorders>
              <w:tl2br w:val="nil"/>
              <w:tr2bl w:val="nil"/>
            </w:tcBorders>
            <w:vAlign w:val="center"/>
          </w:tcPr>
          <w:p>
            <w:pPr>
              <w:pStyle w:val="102"/>
              <w:jc w:val="center"/>
              <w:rPr>
                <w:rFonts w:ascii="Times New Roman" w:eastAsia="宋体" w:cs="Times New Roman"/>
                <w:color w:val="auto"/>
                <w:sz w:val="21"/>
                <w:szCs w:val="21"/>
              </w:rPr>
            </w:pPr>
            <w:r>
              <w:rPr>
                <w:rFonts w:ascii="Times New Roman" w:eastAsia="宋体" w:cs="Times New Roman"/>
                <w:color w:val="auto"/>
                <w:sz w:val="21"/>
                <w:szCs w:val="21"/>
              </w:rPr>
              <w:t>约</w:t>
            </w:r>
            <w:r>
              <w:rPr>
                <w:rFonts w:hint="eastAsia" w:ascii="Times New Roman" w:eastAsia="宋体" w:cs="Times New Roman"/>
                <w:color w:val="auto"/>
                <w:sz w:val="21"/>
                <w:szCs w:val="21"/>
                <w:lang w:val="en-US" w:eastAsia="zh-CN"/>
              </w:rPr>
              <w:t>29940</w:t>
            </w:r>
            <w:r>
              <w:rPr>
                <w:rFonts w:ascii="Times New Roman" w:eastAsia="宋体" w:cs="Times New Roman"/>
                <w:color w:val="auto"/>
                <w:sz w:val="21"/>
                <w:szCs w:val="21"/>
              </w:rPr>
              <w:t>人</w:t>
            </w:r>
          </w:p>
        </w:tc>
        <w:tc>
          <w:tcPr>
            <w:tcW w:w="1035" w:type="pct"/>
            <w:vMerge w:val="continue"/>
            <w:tcBorders>
              <w:tl2br w:val="nil"/>
              <w:tr2bl w:val="nil"/>
            </w:tcBorders>
            <w:vAlign w:val="center"/>
          </w:tcPr>
          <w:p>
            <w:pPr>
              <w:pStyle w:val="102"/>
              <w:jc w:val="center"/>
              <w:rPr>
                <w:rFonts w:ascii="Times New Roman" w:eastAsia="宋体" w:cs="Times New Roman"/>
                <w:color w:val="auto"/>
                <w:sz w:val="21"/>
                <w:szCs w:val="21"/>
              </w:rPr>
            </w:pPr>
          </w:p>
        </w:tc>
      </w:tr>
    </w:tbl>
    <w:p>
      <w:pPr>
        <w:pStyle w:val="2"/>
        <w:adjustRightInd w:val="0"/>
        <w:snapToGrid w:val="0"/>
        <w:spacing w:line="500" w:lineRule="exact"/>
        <w:rPr>
          <w:rFonts w:eastAsia="宋体"/>
          <w:color w:val="000000" w:themeColor="text1"/>
          <w14:textFill>
            <w14:solidFill>
              <w14:schemeClr w14:val="tx1"/>
            </w14:solidFill>
          </w14:textFill>
        </w:rPr>
      </w:pPr>
      <w:bookmarkStart w:id="82" w:name="_Toc28932"/>
      <w:bookmarkStart w:id="83" w:name="_Toc510092935"/>
      <w:bookmarkStart w:id="84" w:name="_Toc3725"/>
      <w:bookmarkStart w:id="85" w:name="_Toc24780"/>
      <w:bookmarkStart w:id="86" w:name="_Toc16025"/>
      <w:r>
        <w:rPr>
          <w:rFonts w:eastAsia="宋体"/>
          <w:color w:val="000000" w:themeColor="text1"/>
          <w14:textFill>
            <w14:solidFill>
              <w14:schemeClr w14:val="tx1"/>
            </w14:solidFill>
          </w14:textFill>
        </w:rPr>
        <w:t>3.2.2水环境风险受体</w:t>
      </w:r>
      <w:bookmarkEnd w:id="82"/>
      <w:bookmarkEnd w:id="83"/>
      <w:bookmarkEnd w:id="84"/>
      <w:bookmarkEnd w:id="85"/>
      <w:bookmarkEnd w:id="86"/>
    </w:p>
    <w:p>
      <w:pPr>
        <w:adjustRightInd w:val="0"/>
        <w:snapToGrid w:val="0"/>
        <w:spacing w:line="500" w:lineRule="exact"/>
        <w:rPr>
          <w:rFonts w:eastAsia="宋体"/>
          <w:b/>
          <w:bCs/>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3.2.2.1</w:t>
      </w:r>
      <w:r>
        <w:rPr>
          <w:rFonts w:eastAsia="宋体"/>
          <w:b/>
          <w:bCs/>
          <w:color w:val="000000" w:themeColor="text1"/>
          <w14:textFill>
            <w14:solidFill>
              <w14:schemeClr w14:val="tx1"/>
            </w14:solidFill>
          </w14:textFill>
        </w:rPr>
        <w:t>地表水环境</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建设项目实行雨污分流、清污分流。雨水经雨水管网收集后排入市政雨水管网；生活污水</w:t>
      </w:r>
      <w:r>
        <w:rPr>
          <w:rFonts w:hint="eastAsia" w:eastAsia="宋体"/>
          <w:color w:val="000000" w:themeColor="text1"/>
          <w14:textFill>
            <w14:solidFill>
              <w14:schemeClr w14:val="tx1"/>
            </w14:solidFill>
          </w14:textFill>
        </w:rPr>
        <w:t>经</w:t>
      </w:r>
      <w:r>
        <w:rPr>
          <w:rFonts w:eastAsia="宋体"/>
          <w:color w:val="000000" w:themeColor="text1"/>
          <w14:textFill>
            <w14:solidFill>
              <w14:schemeClr w14:val="tx1"/>
            </w14:solidFill>
          </w14:textFill>
        </w:rPr>
        <w:t>化粪池处理，达标接管至</w:t>
      </w:r>
      <w:r>
        <w:rPr>
          <w:rFonts w:hint="eastAsia" w:eastAsia="宋体"/>
          <w:color w:val="000000" w:themeColor="text1"/>
          <w14:textFill>
            <w14:solidFill>
              <w14:schemeClr w14:val="tx1"/>
            </w14:solidFill>
          </w14:textFill>
        </w:rPr>
        <w:t>海安惠泽净水有限公司</w:t>
      </w:r>
      <w:r>
        <w:rPr>
          <w:rFonts w:eastAsia="宋体"/>
          <w:color w:val="000000" w:themeColor="text1"/>
          <w14:textFill>
            <w14:solidFill>
              <w14:schemeClr w14:val="tx1"/>
            </w14:solidFill>
          </w14:textFill>
        </w:rPr>
        <w:t>集中处理，达标尾水排入洋蛮河。</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公司位于南通市海安</w:t>
      </w:r>
      <w:r>
        <w:rPr>
          <w:rFonts w:hint="eastAsia" w:eastAsia="宋体"/>
          <w:color w:val="000000" w:themeColor="text1"/>
          <w14:textFill>
            <w14:solidFill>
              <w14:schemeClr w14:val="tx1"/>
            </w14:solidFill>
          </w14:textFill>
        </w:rPr>
        <w:t>经济技术开发区</w:t>
      </w:r>
      <w:r>
        <w:rPr>
          <w:rFonts w:hint="eastAsia" w:eastAsia="宋体"/>
          <w:color w:val="000000" w:themeColor="text1"/>
          <w:lang w:eastAsia="zh-CN"/>
          <w14:textFill>
            <w14:solidFill>
              <w14:schemeClr w14:val="tx1"/>
            </w14:solidFill>
          </w14:textFill>
        </w:rPr>
        <w:t>桃源路26号</w:t>
      </w:r>
      <w:r>
        <w:rPr>
          <w:rFonts w:eastAsia="宋体"/>
          <w:color w:val="000000" w:themeColor="text1"/>
          <w14:textFill>
            <w14:solidFill>
              <w14:schemeClr w14:val="tx1"/>
            </w14:solidFill>
          </w14:textFill>
        </w:rPr>
        <w:t>，根据调查，公司周边及下游10km范围内水环境风险受体分布详见表3</w:t>
      </w:r>
      <w:r>
        <w:rPr>
          <w:rFonts w:hint="eastAsia" w:eastAsia="宋体"/>
          <w:color w:val="000000" w:themeColor="text1"/>
          <w14:textFill>
            <w14:solidFill>
              <w14:schemeClr w14:val="tx1"/>
            </w14:solidFill>
          </w14:textFill>
        </w:rPr>
        <w:t>-6</w:t>
      </w:r>
      <w:r>
        <w:rPr>
          <w:rFonts w:eastAsia="宋体"/>
          <w:color w:val="000000" w:themeColor="text1"/>
          <w14:textFill>
            <w14:solidFill>
              <w14:schemeClr w14:val="tx1"/>
            </w14:solidFill>
          </w14:textFill>
        </w:rPr>
        <w:t>和水系图。</w:t>
      </w:r>
    </w:p>
    <w:p>
      <w:pPr>
        <w:adjustRightInd w:val="0"/>
        <w:snapToGrid w:val="0"/>
        <w:spacing w:line="500" w:lineRule="exact"/>
        <w:jc w:val="center"/>
        <w:rPr>
          <w:rFonts w:eastAsia="宋体"/>
          <w:b/>
          <w:bCs/>
        </w:rPr>
      </w:pPr>
      <w:r>
        <w:rPr>
          <w:rFonts w:eastAsia="宋体"/>
          <w:b/>
          <w:bCs/>
        </w:rPr>
        <w:t>表3-</w:t>
      </w:r>
      <w:r>
        <w:rPr>
          <w:rFonts w:hint="eastAsia" w:eastAsia="宋体"/>
          <w:b/>
          <w:bCs/>
        </w:rPr>
        <w:t>6</w:t>
      </w:r>
      <w:r>
        <w:rPr>
          <w:rFonts w:eastAsia="宋体"/>
          <w:b/>
          <w:bCs/>
        </w:rPr>
        <w:t xml:space="preserve"> 公司周边水环境敏感目标（10公里）</w:t>
      </w:r>
    </w:p>
    <w:tbl>
      <w:tblPr>
        <w:tblStyle w:val="38"/>
        <w:tblW w:w="52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11"/>
        <w:gridCol w:w="755"/>
        <w:gridCol w:w="1064"/>
        <w:gridCol w:w="590"/>
        <w:gridCol w:w="37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8" w:type="pct"/>
            <w:tcBorders>
              <w:tl2br w:val="nil"/>
              <w:tr2bl w:val="nil"/>
            </w:tcBorders>
            <w:vAlign w:val="center"/>
          </w:tcPr>
          <w:p>
            <w:pPr>
              <w:widowControl/>
              <w:adjustRightInd w:val="0"/>
              <w:snapToGrid w:val="0"/>
              <w:jc w:val="center"/>
              <w:rPr>
                <w:rFonts w:eastAsia="宋体"/>
                <w:sz w:val="21"/>
                <w:szCs w:val="21"/>
              </w:rPr>
            </w:pPr>
            <w:r>
              <w:rPr>
                <w:rFonts w:eastAsia="宋体"/>
                <w:sz w:val="21"/>
                <w:szCs w:val="21"/>
              </w:rPr>
              <w:t>水环境敏感目标</w:t>
            </w:r>
          </w:p>
        </w:tc>
        <w:tc>
          <w:tcPr>
            <w:tcW w:w="389" w:type="pct"/>
            <w:tcBorders>
              <w:tl2br w:val="nil"/>
              <w:tr2bl w:val="nil"/>
            </w:tcBorders>
            <w:vAlign w:val="center"/>
          </w:tcPr>
          <w:p>
            <w:pPr>
              <w:widowControl/>
              <w:adjustRightInd w:val="0"/>
              <w:snapToGrid w:val="0"/>
              <w:jc w:val="center"/>
              <w:rPr>
                <w:rFonts w:eastAsia="宋体"/>
                <w:sz w:val="21"/>
                <w:szCs w:val="21"/>
              </w:rPr>
            </w:pPr>
            <w:r>
              <w:rPr>
                <w:rFonts w:eastAsia="宋体"/>
                <w:sz w:val="21"/>
                <w:szCs w:val="21"/>
              </w:rPr>
              <w:t>方位</w:t>
            </w:r>
          </w:p>
        </w:tc>
        <w:tc>
          <w:tcPr>
            <w:tcW w:w="548" w:type="pct"/>
            <w:tcBorders>
              <w:tl2br w:val="nil"/>
              <w:tr2bl w:val="nil"/>
            </w:tcBorders>
            <w:vAlign w:val="center"/>
          </w:tcPr>
          <w:p>
            <w:pPr>
              <w:widowControl/>
              <w:adjustRightInd w:val="0"/>
              <w:snapToGrid w:val="0"/>
              <w:jc w:val="center"/>
              <w:rPr>
                <w:rFonts w:eastAsia="宋体"/>
                <w:sz w:val="21"/>
                <w:szCs w:val="21"/>
              </w:rPr>
            </w:pPr>
            <w:r>
              <w:rPr>
                <w:rFonts w:eastAsia="宋体"/>
                <w:sz w:val="21"/>
                <w:szCs w:val="21"/>
              </w:rPr>
              <w:t>距离（m）</w:t>
            </w:r>
          </w:p>
        </w:tc>
        <w:tc>
          <w:tcPr>
            <w:tcW w:w="304" w:type="pct"/>
            <w:tcBorders>
              <w:tl2br w:val="nil"/>
              <w:tr2bl w:val="nil"/>
            </w:tcBorders>
            <w:vAlign w:val="center"/>
          </w:tcPr>
          <w:p>
            <w:pPr>
              <w:widowControl/>
              <w:adjustRightInd w:val="0"/>
              <w:snapToGrid w:val="0"/>
              <w:jc w:val="center"/>
              <w:rPr>
                <w:rFonts w:eastAsia="宋体"/>
                <w:sz w:val="21"/>
                <w:szCs w:val="21"/>
              </w:rPr>
            </w:pPr>
            <w:r>
              <w:rPr>
                <w:rFonts w:eastAsia="宋体"/>
                <w:sz w:val="21"/>
                <w:szCs w:val="21"/>
              </w:rPr>
              <w:t>规模</w:t>
            </w:r>
          </w:p>
        </w:tc>
        <w:tc>
          <w:tcPr>
            <w:tcW w:w="1948" w:type="pct"/>
            <w:tcBorders>
              <w:tl2br w:val="nil"/>
              <w:tr2bl w:val="nil"/>
            </w:tcBorders>
            <w:vAlign w:val="center"/>
          </w:tcPr>
          <w:p>
            <w:pPr>
              <w:widowControl/>
              <w:adjustRightInd w:val="0"/>
              <w:snapToGrid w:val="0"/>
              <w:jc w:val="center"/>
              <w:rPr>
                <w:rFonts w:eastAsia="宋体"/>
                <w:sz w:val="21"/>
                <w:szCs w:val="21"/>
              </w:rPr>
            </w:pPr>
            <w:r>
              <w:rPr>
                <w:rFonts w:eastAsia="宋体"/>
                <w:sz w:val="21"/>
                <w:szCs w:val="21"/>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pPr>
              <w:pStyle w:val="142"/>
              <w:rPr>
                <w:sz w:val="21"/>
              </w:rPr>
            </w:pPr>
            <w:r>
              <w:rPr>
                <w:rFonts w:hint="eastAsia"/>
                <w:sz w:val="21"/>
              </w:rPr>
              <w:t>洋蛮河</w:t>
            </w:r>
          </w:p>
        </w:tc>
        <w:tc>
          <w:tcPr>
            <w:tcW w:w="389" w:type="pct"/>
            <w:vAlign w:val="center"/>
          </w:tcPr>
          <w:p>
            <w:pPr>
              <w:pStyle w:val="142"/>
              <w:rPr>
                <w:rFonts w:ascii="Times New Roman" w:hAnsi="Times New Roman" w:cs="Times New Roman"/>
                <w:sz w:val="21"/>
                <w:szCs w:val="21"/>
              </w:rPr>
            </w:pPr>
            <w:r>
              <w:rPr>
                <w:rFonts w:hint="eastAsia" w:ascii="Times New Roman" w:hAnsi="Times New Roman" w:cs="Times New Roman"/>
                <w:sz w:val="21"/>
                <w:szCs w:val="21"/>
              </w:rPr>
              <w:t>E</w:t>
            </w:r>
          </w:p>
        </w:tc>
        <w:tc>
          <w:tcPr>
            <w:tcW w:w="548" w:type="pct"/>
            <w:vAlign w:val="center"/>
          </w:tcPr>
          <w:p>
            <w:pPr>
              <w:pStyle w:val="142"/>
              <w:rPr>
                <w:rFonts w:ascii="Times New Roman" w:hAnsi="Times New Roman" w:cs="Times New Roman"/>
                <w:sz w:val="21"/>
                <w:szCs w:val="21"/>
              </w:rPr>
            </w:pPr>
            <w:r>
              <w:rPr>
                <w:rFonts w:hint="eastAsia" w:ascii="Times New Roman" w:hAnsi="Times New Roman" w:cs="Times New Roman"/>
                <w:sz w:val="21"/>
                <w:szCs w:val="21"/>
              </w:rPr>
              <w:t>394</w:t>
            </w:r>
          </w:p>
        </w:tc>
        <w:tc>
          <w:tcPr>
            <w:tcW w:w="304" w:type="pct"/>
            <w:vAlign w:val="center"/>
          </w:tcPr>
          <w:p>
            <w:pPr>
              <w:widowControl/>
              <w:adjustRightInd w:val="0"/>
              <w:snapToGrid w:val="0"/>
              <w:jc w:val="center"/>
              <w:rPr>
                <w:rFonts w:eastAsia="宋体"/>
                <w:sz w:val="21"/>
                <w:szCs w:val="21"/>
              </w:rPr>
            </w:pPr>
            <w:r>
              <w:rPr>
                <w:rFonts w:eastAsia="宋体"/>
                <w:sz w:val="21"/>
                <w:szCs w:val="21"/>
              </w:rPr>
              <w:t>小河</w:t>
            </w:r>
          </w:p>
        </w:tc>
        <w:tc>
          <w:tcPr>
            <w:tcW w:w="1948" w:type="pct"/>
            <w:vMerge w:val="restart"/>
            <w:vAlign w:val="center"/>
          </w:tcPr>
          <w:p>
            <w:pPr>
              <w:tabs>
                <w:tab w:val="left" w:pos="1021"/>
              </w:tabs>
              <w:adjustRightInd w:val="0"/>
              <w:snapToGrid w:val="0"/>
              <w:jc w:val="center"/>
              <w:rPr>
                <w:rFonts w:eastAsia="宋体"/>
                <w:bCs/>
                <w:sz w:val="21"/>
                <w:szCs w:val="21"/>
              </w:rPr>
            </w:pPr>
            <w:r>
              <w:rPr>
                <w:rFonts w:eastAsia="宋体"/>
                <w:bCs/>
                <w:sz w:val="21"/>
                <w:szCs w:val="21"/>
              </w:rPr>
              <w:t>《地表水环境质量标准》（GB3838-2002）中</w:t>
            </w:r>
            <w:r>
              <w:rPr>
                <w:szCs w:val="21"/>
              </w:rPr>
              <w:t>Ⅲ</w:t>
            </w:r>
            <w:r>
              <w:rPr>
                <w:rFonts w:eastAsia="宋体"/>
                <w:bCs/>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pPr>
              <w:pStyle w:val="142"/>
              <w:rPr>
                <w:rFonts w:hint="default" w:eastAsia="宋体"/>
                <w:sz w:val="21"/>
                <w:lang w:val="en-US" w:eastAsia="zh-CN"/>
              </w:rPr>
            </w:pPr>
            <w:r>
              <w:rPr>
                <w:rFonts w:hint="eastAsia"/>
                <w:sz w:val="21"/>
                <w:lang w:val="en-US" w:eastAsia="zh-CN"/>
              </w:rPr>
              <w:t>北翻身河</w:t>
            </w:r>
          </w:p>
        </w:tc>
        <w:tc>
          <w:tcPr>
            <w:tcW w:w="389" w:type="pct"/>
            <w:vAlign w:val="center"/>
          </w:tcPr>
          <w:p>
            <w:pPr>
              <w:pStyle w:val="142"/>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N</w:t>
            </w:r>
          </w:p>
        </w:tc>
        <w:tc>
          <w:tcPr>
            <w:tcW w:w="548" w:type="pct"/>
            <w:vAlign w:val="center"/>
          </w:tcPr>
          <w:p>
            <w:pPr>
              <w:pStyle w:val="142"/>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890</w:t>
            </w:r>
          </w:p>
        </w:tc>
        <w:tc>
          <w:tcPr>
            <w:tcW w:w="304" w:type="pct"/>
            <w:vAlign w:val="center"/>
          </w:tcPr>
          <w:p>
            <w:pPr>
              <w:adjustRightInd w:val="0"/>
              <w:snapToGrid w:val="0"/>
              <w:jc w:val="center"/>
              <w:textAlignment w:val="baseline"/>
              <w:rPr>
                <w:rFonts w:eastAsia="宋体"/>
                <w:sz w:val="21"/>
                <w:szCs w:val="21"/>
              </w:rPr>
            </w:pPr>
            <w:r>
              <w:rPr>
                <w:rFonts w:eastAsia="宋体"/>
                <w:sz w:val="21"/>
                <w:szCs w:val="21"/>
              </w:rPr>
              <w:t>小河</w:t>
            </w:r>
          </w:p>
        </w:tc>
        <w:tc>
          <w:tcPr>
            <w:tcW w:w="1948" w:type="pct"/>
            <w:vMerge w:val="continue"/>
            <w:vAlign w:val="center"/>
          </w:tcPr>
          <w:p>
            <w:pPr>
              <w:adjustRightInd w:val="0"/>
              <w:snapToGrid w:val="0"/>
              <w:jc w:val="center"/>
              <w:textAlignment w:val="baseline"/>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pPr>
              <w:pStyle w:val="142"/>
              <w:rPr>
                <w:sz w:val="21"/>
              </w:rPr>
            </w:pPr>
            <w:r>
              <w:rPr>
                <w:rFonts w:hint="eastAsia"/>
                <w:sz w:val="21"/>
              </w:rPr>
              <w:t>新风一号河</w:t>
            </w:r>
          </w:p>
        </w:tc>
        <w:tc>
          <w:tcPr>
            <w:tcW w:w="389" w:type="pct"/>
            <w:vAlign w:val="center"/>
          </w:tcPr>
          <w:p>
            <w:pPr>
              <w:pStyle w:val="142"/>
              <w:rPr>
                <w:rFonts w:ascii="Times New Roman" w:hAnsi="Times New Roman" w:cs="Times New Roman"/>
                <w:sz w:val="21"/>
                <w:szCs w:val="21"/>
              </w:rPr>
            </w:pPr>
            <w:r>
              <w:rPr>
                <w:rFonts w:hint="eastAsia" w:ascii="Times New Roman" w:hAnsi="Times New Roman" w:cs="Times New Roman"/>
                <w:sz w:val="21"/>
                <w:szCs w:val="21"/>
              </w:rPr>
              <w:t>N</w:t>
            </w:r>
          </w:p>
        </w:tc>
        <w:tc>
          <w:tcPr>
            <w:tcW w:w="548" w:type="pct"/>
            <w:vAlign w:val="center"/>
          </w:tcPr>
          <w:p>
            <w:pPr>
              <w:pStyle w:val="142"/>
              <w:rPr>
                <w:rFonts w:ascii="Times New Roman" w:hAnsi="Times New Roman" w:cs="Times New Roman"/>
                <w:sz w:val="21"/>
                <w:szCs w:val="21"/>
              </w:rPr>
            </w:pPr>
            <w:r>
              <w:rPr>
                <w:rFonts w:hint="eastAsia" w:ascii="Times New Roman" w:hAnsi="Times New Roman" w:cs="Times New Roman"/>
                <w:sz w:val="21"/>
                <w:szCs w:val="21"/>
              </w:rPr>
              <w:t>542</w:t>
            </w:r>
          </w:p>
        </w:tc>
        <w:tc>
          <w:tcPr>
            <w:tcW w:w="304" w:type="pct"/>
            <w:vAlign w:val="center"/>
          </w:tcPr>
          <w:p>
            <w:pPr>
              <w:widowControl/>
              <w:adjustRightInd w:val="0"/>
              <w:snapToGrid w:val="0"/>
              <w:jc w:val="center"/>
              <w:rPr>
                <w:rFonts w:eastAsia="宋体"/>
                <w:sz w:val="21"/>
                <w:szCs w:val="21"/>
              </w:rPr>
            </w:pPr>
            <w:r>
              <w:rPr>
                <w:rFonts w:eastAsia="宋体"/>
                <w:sz w:val="21"/>
                <w:szCs w:val="21"/>
              </w:rPr>
              <w:t>小河</w:t>
            </w:r>
          </w:p>
        </w:tc>
        <w:tc>
          <w:tcPr>
            <w:tcW w:w="1948" w:type="pct"/>
            <w:vMerge w:val="continue"/>
            <w:vAlign w:val="center"/>
          </w:tcPr>
          <w:p>
            <w:pPr>
              <w:adjustRightInd w:val="0"/>
              <w:snapToGrid w:val="0"/>
              <w:jc w:val="center"/>
              <w:textAlignment w:val="baseline"/>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pPr>
              <w:pStyle w:val="142"/>
              <w:rPr>
                <w:sz w:val="21"/>
              </w:rPr>
            </w:pPr>
            <w:r>
              <w:rPr>
                <w:rFonts w:hint="eastAsia"/>
                <w:sz w:val="21"/>
              </w:rPr>
              <w:t>栟茶运河</w:t>
            </w:r>
          </w:p>
        </w:tc>
        <w:tc>
          <w:tcPr>
            <w:tcW w:w="389" w:type="pct"/>
            <w:vAlign w:val="center"/>
          </w:tcPr>
          <w:p>
            <w:pPr>
              <w:pStyle w:val="142"/>
              <w:rPr>
                <w:rFonts w:ascii="Times New Roman" w:hAnsi="Times New Roman" w:cs="Times New Roman"/>
                <w:sz w:val="21"/>
                <w:szCs w:val="21"/>
              </w:rPr>
            </w:pPr>
            <w:r>
              <w:rPr>
                <w:rFonts w:hint="eastAsia" w:ascii="Times New Roman" w:hAnsi="Times New Roman" w:cs="Times New Roman"/>
                <w:sz w:val="21"/>
                <w:szCs w:val="21"/>
              </w:rPr>
              <w:t>S</w:t>
            </w:r>
          </w:p>
        </w:tc>
        <w:tc>
          <w:tcPr>
            <w:tcW w:w="548" w:type="pct"/>
            <w:vAlign w:val="center"/>
          </w:tcPr>
          <w:p>
            <w:pPr>
              <w:pStyle w:val="142"/>
              <w:rPr>
                <w:rFonts w:ascii="Times New Roman" w:hAnsi="Times New Roman" w:cs="Times New Roman"/>
                <w:sz w:val="21"/>
                <w:szCs w:val="21"/>
              </w:rPr>
            </w:pPr>
            <w:r>
              <w:rPr>
                <w:rFonts w:hint="eastAsia" w:ascii="Times New Roman" w:hAnsi="Times New Roman" w:cs="Times New Roman"/>
                <w:sz w:val="21"/>
                <w:szCs w:val="21"/>
              </w:rPr>
              <w:t>4892</w:t>
            </w:r>
          </w:p>
        </w:tc>
        <w:tc>
          <w:tcPr>
            <w:tcW w:w="304" w:type="pct"/>
            <w:vAlign w:val="center"/>
          </w:tcPr>
          <w:p>
            <w:pPr>
              <w:widowControl/>
              <w:adjustRightInd w:val="0"/>
              <w:snapToGrid w:val="0"/>
              <w:jc w:val="center"/>
              <w:rPr>
                <w:rFonts w:eastAsia="宋体"/>
                <w:sz w:val="21"/>
                <w:szCs w:val="21"/>
              </w:rPr>
            </w:pPr>
            <w:r>
              <w:rPr>
                <w:rFonts w:eastAsia="宋体"/>
                <w:sz w:val="21"/>
                <w:szCs w:val="21"/>
              </w:rPr>
              <w:t>小河</w:t>
            </w:r>
          </w:p>
        </w:tc>
        <w:tc>
          <w:tcPr>
            <w:tcW w:w="1948" w:type="pct"/>
            <w:vMerge w:val="continue"/>
            <w:vAlign w:val="center"/>
          </w:tcPr>
          <w:p>
            <w:pPr>
              <w:adjustRightInd w:val="0"/>
              <w:snapToGrid w:val="0"/>
              <w:jc w:val="center"/>
              <w:textAlignment w:val="baseline"/>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tcBorders>
              <w:bottom w:val="single" w:color="auto" w:sz="12" w:space="0"/>
            </w:tcBorders>
            <w:vAlign w:val="center"/>
          </w:tcPr>
          <w:p>
            <w:pPr>
              <w:pStyle w:val="142"/>
              <w:rPr>
                <w:sz w:val="21"/>
              </w:rPr>
            </w:pPr>
            <w:r>
              <w:rPr>
                <w:rFonts w:hint="eastAsia"/>
                <w:sz w:val="21"/>
              </w:rPr>
              <w:t>北凌河</w:t>
            </w:r>
          </w:p>
        </w:tc>
        <w:tc>
          <w:tcPr>
            <w:tcW w:w="389" w:type="pct"/>
            <w:tcBorders>
              <w:bottom w:val="single" w:color="auto" w:sz="12" w:space="0"/>
            </w:tcBorders>
            <w:vAlign w:val="center"/>
          </w:tcPr>
          <w:p>
            <w:pPr>
              <w:pStyle w:val="142"/>
              <w:rPr>
                <w:rFonts w:ascii="Times New Roman" w:hAnsi="Times New Roman" w:cs="Times New Roman"/>
                <w:sz w:val="21"/>
                <w:szCs w:val="21"/>
              </w:rPr>
            </w:pPr>
            <w:r>
              <w:rPr>
                <w:rFonts w:hint="eastAsia" w:ascii="Times New Roman" w:hAnsi="Times New Roman" w:cs="Times New Roman"/>
                <w:sz w:val="21"/>
                <w:szCs w:val="21"/>
              </w:rPr>
              <w:t>N</w:t>
            </w:r>
          </w:p>
        </w:tc>
        <w:tc>
          <w:tcPr>
            <w:tcW w:w="548" w:type="pct"/>
            <w:tcBorders>
              <w:bottom w:val="single" w:color="auto" w:sz="12" w:space="0"/>
            </w:tcBorders>
            <w:vAlign w:val="center"/>
          </w:tcPr>
          <w:p>
            <w:pPr>
              <w:pStyle w:val="142"/>
              <w:rPr>
                <w:rFonts w:ascii="Times New Roman" w:hAnsi="Times New Roman" w:cs="Times New Roman"/>
                <w:sz w:val="21"/>
                <w:szCs w:val="21"/>
              </w:rPr>
            </w:pPr>
            <w:r>
              <w:rPr>
                <w:rFonts w:hint="eastAsia" w:ascii="Times New Roman" w:hAnsi="Times New Roman" w:cs="Times New Roman"/>
                <w:sz w:val="21"/>
                <w:szCs w:val="21"/>
              </w:rPr>
              <w:t>3012</w:t>
            </w:r>
          </w:p>
        </w:tc>
        <w:tc>
          <w:tcPr>
            <w:tcW w:w="304" w:type="pct"/>
            <w:tcBorders>
              <w:bottom w:val="single" w:color="auto" w:sz="12" w:space="0"/>
            </w:tcBorders>
            <w:vAlign w:val="center"/>
          </w:tcPr>
          <w:p>
            <w:pPr>
              <w:adjustRightInd w:val="0"/>
              <w:snapToGrid w:val="0"/>
              <w:jc w:val="center"/>
              <w:textAlignment w:val="baseline"/>
              <w:rPr>
                <w:rFonts w:eastAsia="宋体"/>
                <w:sz w:val="21"/>
                <w:szCs w:val="21"/>
              </w:rPr>
            </w:pPr>
            <w:r>
              <w:rPr>
                <w:rFonts w:eastAsia="宋体"/>
                <w:sz w:val="21"/>
                <w:szCs w:val="21"/>
              </w:rPr>
              <w:t>小河</w:t>
            </w:r>
          </w:p>
        </w:tc>
        <w:tc>
          <w:tcPr>
            <w:tcW w:w="1948" w:type="pct"/>
            <w:vMerge w:val="continue"/>
            <w:tcBorders>
              <w:bottom w:val="single" w:color="auto" w:sz="12" w:space="0"/>
            </w:tcBorders>
            <w:vAlign w:val="center"/>
          </w:tcPr>
          <w:p>
            <w:pPr>
              <w:adjustRightInd w:val="0"/>
              <w:snapToGrid w:val="0"/>
              <w:jc w:val="center"/>
              <w:textAlignment w:val="baseline"/>
              <w:rPr>
                <w:rFonts w:eastAsia="宋体"/>
                <w:sz w:val="21"/>
                <w:szCs w:val="21"/>
              </w:rPr>
            </w:pPr>
          </w:p>
        </w:tc>
      </w:tr>
    </w:tbl>
    <w:p>
      <w:pPr>
        <w:adjustRightInd w:val="0"/>
        <w:snapToGrid w:val="0"/>
        <w:spacing w:line="500" w:lineRule="exact"/>
        <w:rPr>
          <w:rFonts w:eastAsia="宋体"/>
          <w:b/>
          <w:bCs/>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3.2.2.2</w:t>
      </w:r>
      <w:r>
        <w:rPr>
          <w:rFonts w:eastAsia="宋体"/>
          <w:b/>
          <w:bCs/>
          <w:color w:val="000000" w:themeColor="text1"/>
          <w14:textFill>
            <w14:solidFill>
              <w14:schemeClr w14:val="tx1"/>
            </w14:solidFill>
          </w14:textFill>
        </w:rPr>
        <w:t>地下水环境</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根据海安市地质资料，公司所在地岩土层厚度大于1米，渗透系数10</w:t>
      </w:r>
      <w:r>
        <w:rPr>
          <w:rFonts w:eastAsia="宋体"/>
          <w:color w:val="000000" w:themeColor="text1"/>
          <w:vertAlign w:val="superscript"/>
          <w14:textFill>
            <w14:solidFill>
              <w14:schemeClr w14:val="tx1"/>
            </w14:solidFill>
          </w14:textFill>
        </w:rPr>
        <w:t>-7</w:t>
      </w:r>
      <w:r>
        <w:rPr>
          <w:rFonts w:eastAsia="宋体"/>
          <w:color w:val="000000" w:themeColor="text1"/>
          <w14:textFill>
            <w14:solidFill>
              <w14:schemeClr w14:val="tx1"/>
            </w14:solidFill>
          </w14:textFill>
        </w:rPr>
        <w:t>﹤K≤10</w:t>
      </w:r>
      <w:r>
        <w:rPr>
          <w:rFonts w:eastAsia="宋体"/>
          <w:color w:val="000000" w:themeColor="text1"/>
          <w:vertAlign w:val="superscript"/>
          <w14:textFill>
            <w14:solidFill>
              <w14:schemeClr w14:val="tx1"/>
            </w14:solidFill>
          </w14:textFill>
        </w:rPr>
        <w:t>-4</w:t>
      </w:r>
      <w:r>
        <w:rPr>
          <w:rFonts w:eastAsia="宋体"/>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等其它环境敏感区，周边居民饮用水来自市政自来水管网。</w:t>
      </w:r>
    </w:p>
    <w:p>
      <w:pPr>
        <w:adjustRightInd w:val="0"/>
        <w:snapToGrid w:val="0"/>
        <w:spacing w:line="500" w:lineRule="exact"/>
        <w:outlineLvl w:val="2"/>
        <w:rPr>
          <w:rFonts w:eastAsia="宋体"/>
          <w:b/>
          <w:bCs/>
          <w:color w:val="000000" w:themeColor="text1"/>
          <w14:textFill>
            <w14:solidFill>
              <w14:schemeClr w14:val="tx1"/>
            </w14:solidFill>
          </w14:textFill>
        </w:rPr>
      </w:pPr>
      <w:bookmarkStart w:id="87" w:name="3.2.4生态环境保护目标"/>
      <w:bookmarkEnd w:id="87"/>
      <w:bookmarkStart w:id="88" w:name="_Toc21141"/>
      <w:bookmarkStart w:id="89" w:name="_Toc8521"/>
      <w:bookmarkStart w:id="90" w:name="_Toc30336"/>
      <w:r>
        <w:rPr>
          <w:rFonts w:hint="eastAsia" w:eastAsia="宋体"/>
          <w:b/>
          <w:bCs/>
          <w:color w:val="000000" w:themeColor="text1"/>
          <w14:textFill>
            <w14:solidFill>
              <w14:schemeClr w14:val="tx1"/>
            </w14:solidFill>
          </w14:textFill>
        </w:rPr>
        <w:t>3.2.3</w:t>
      </w:r>
      <w:r>
        <w:rPr>
          <w:rFonts w:eastAsia="宋体"/>
          <w:b/>
          <w:bCs/>
          <w:color w:val="000000" w:themeColor="text1"/>
          <w14:textFill>
            <w14:solidFill>
              <w14:schemeClr w14:val="tx1"/>
            </w14:solidFill>
          </w14:textFill>
        </w:rPr>
        <w:t>生态环境保护目标</w:t>
      </w:r>
      <w:bookmarkEnd w:id="88"/>
      <w:bookmarkEnd w:id="89"/>
      <w:bookmarkEnd w:id="90"/>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①生态保护红线</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根据《江苏省国家级生态保护红线规划》（苏政发[2018]74号），距建设项目最近的国家生态红线区域为“新通扬运河（海安）饮用水水源保护区”，准保护区在本项目西侧，距离为9.2km。在项目评价范围内不涉及国家级生态保护红线保护区域，不会导致海安市辖区内国家级生态保护红线生态服务功能下降；</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根据《江苏省生态空间管控区域规划》（苏政发[2020]1号），与本项目直线距离最近的生态空间管控区域为新通扬－通榆运河清水通道维护区，本项目位于其东侧，距其边界距离约</w:t>
      </w:r>
      <w:r>
        <w:rPr>
          <w:rFonts w:hint="eastAsia" w:eastAsia="宋体"/>
          <w:color w:val="000000" w:themeColor="text1"/>
          <w:lang w:val="en-US" w:eastAsia="zh-CN"/>
          <w14:textFill>
            <w14:solidFill>
              <w14:schemeClr w14:val="tx1"/>
            </w14:solidFill>
          </w14:textFill>
        </w:rPr>
        <w:t>5</w:t>
      </w:r>
      <w:r>
        <w:rPr>
          <w:rFonts w:eastAsia="宋体"/>
          <w:color w:val="000000" w:themeColor="text1"/>
          <w14:textFill>
            <w14:solidFill>
              <w14:schemeClr w14:val="tx1"/>
            </w14:solidFill>
          </w14:textFill>
        </w:rPr>
        <w:t xml:space="preserve">km。在项目评价范围内不涉及生态空间管控区，不会导致海安市辖区内生态空间管控区生态服务功能下降。 </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因此，建设项目与《江苏省国家级生态保护红线规划》（苏政发[2018]74 号）、《江苏省生态空间管控区域规划》（苏政发[2020]1 号）是相符的。</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②符合产业政策</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建设项目属于于[C2110]木质家具制造，对照《产业结构调整指导目录（201</w:t>
      </w:r>
      <w:r>
        <w:rPr>
          <w:rFonts w:hint="eastAsia" w:eastAsia="宋体"/>
          <w:color w:val="000000" w:themeColor="text1"/>
          <w14:textFill>
            <w14:solidFill>
              <w14:schemeClr w14:val="tx1"/>
            </w14:solidFill>
          </w14:textFill>
        </w:rPr>
        <w:t>9</w:t>
      </w:r>
      <w:r>
        <w:rPr>
          <w:rFonts w:eastAsia="宋体"/>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因此，本项目符合国家和地方产业政策。</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③</w:t>
      </w:r>
      <w:r>
        <w:rPr>
          <w:rFonts w:eastAsia="宋体"/>
          <w:color w:val="000000" w:themeColor="text1"/>
          <w14:textFill>
            <w14:solidFill>
              <w14:schemeClr w14:val="tx1"/>
            </w14:solidFill>
          </w14:textFill>
        </w:rPr>
        <w:t>环保措施及达标排放</w:t>
      </w:r>
    </w:p>
    <w:p>
      <w:pPr>
        <w:adjustRightInd w:val="0"/>
        <w:snapToGrid w:val="0"/>
        <w:spacing w:line="500" w:lineRule="exact"/>
        <w:ind w:firstLine="480" w:firstLineChars="200"/>
        <w:rPr>
          <w:rFonts w:hint="eastAsia" w:eastAsia="宋体"/>
          <w:color w:val="000000" w:themeColor="text1"/>
          <w:lang w:val="en-US" w:eastAsia="zh-CN"/>
          <w14:textFill>
            <w14:solidFill>
              <w14:schemeClr w14:val="tx1"/>
            </w14:solidFill>
          </w14:textFill>
        </w:rPr>
      </w:pPr>
      <w:r>
        <w:rPr>
          <w:rFonts w:eastAsia="宋体"/>
          <w:color w:val="000000" w:themeColor="text1"/>
          <w14:textFill>
            <w14:solidFill>
              <w14:schemeClr w14:val="tx1"/>
            </w14:solidFill>
          </w14:textFill>
        </w:rPr>
        <w:t>废水：建设项目</w:t>
      </w:r>
      <w:r>
        <w:rPr>
          <w:rFonts w:hint="eastAsia" w:eastAsia="宋体"/>
          <w:color w:val="000000" w:themeColor="text1"/>
          <w14:textFill>
            <w14:solidFill>
              <w14:schemeClr w14:val="tx1"/>
            </w14:solidFill>
          </w14:textFill>
        </w:rPr>
        <w:t>产生的废水主要为</w:t>
      </w:r>
      <w:r>
        <w:rPr>
          <w:rFonts w:hint="eastAsia" w:eastAsia="宋体"/>
          <w:color w:val="000000" w:themeColor="text1"/>
          <w:lang w:val="en-US" w:eastAsia="zh-CN"/>
          <w14:textFill>
            <w14:solidFill>
              <w14:schemeClr w14:val="tx1"/>
            </w14:solidFill>
          </w14:textFill>
        </w:rPr>
        <w:t>清洗废水、水旋柜废水、水式打磨柜废水、生活污水、洗浴废水和食堂废水。水式打磨柜废水经处理后循环使用，定期补充损耗；水旋柜废水经过絮凝、气浮、沉淀处理后循环使用不外排；喷枪清洗废水作为调漆用水添加到涂料中，不外排；</w:t>
      </w:r>
      <w:r>
        <w:rPr>
          <w:rFonts w:hint="eastAsia" w:eastAsia="宋体"/>
          <w:color w:val="000000" w:themeColor="text1"/>
          <w:lang w:val="zh-CN" w:eastAsia="zh-CN"/>
          <w14:textFill>
            <w14:solidFill>
              <w14:schemeClr w14:val="tx1"/>
            </w14:solidFill>
          </w14:textFill>
        </w:rPr>
        <w:t>本项目生活污水和洗浴废水经化粪池处理、食堂废水经隔油池处理</w:t>
      </w:r>
      <w:r>
        <w:rPr>
          <w:rFonts w:hint="eastAsia" w:eastAsia="宋体"/>
          <w:color w:val="000000" w:themeColor="text1"/>
          <w:lang w:val="en-US" w:eastAsia="zh-CN"/>
          <w14:textFill>
            <w14:solidFill>
              <w14:schemeClr w14:val="tx1"/>
            </w14:solidFill>
          </w14:textFill>
        </w:rPr>
        <w:t>一并接管至</w:t>
      </w:r>
      <w:r>
        <w:rPr>
          <w:rFonts w:hint="eastAsia" w:eastAsia="宋体"/>
          <w:color w:val="000000" w:themeColor="text1"/>
          <w:lang w:val="zh-CN" w:eastAsia="zh-CN"/>
          <w14:textFill>
            <w14:solidFill>
              <w14:schemeClr w14:val="tx1"/>
            </w14:solidFill>
          </w14:textFill>
        </w:rPr>
        <w:t>海安市</w:t>
      </w:r>
      <w:r>
        <w:rPr>
          <w:rFonts w:hint="eastAsia" w:eastAsia="宋体"/>
          <w:color w:val="000000" w:themeColor="text1"/>
          <w:lang w:val="en-US" w:eastAsia="zh-CN"/>
          <w14:textFill>
            <w14:solidFill>
              <w14:schemeClr w14:val="tx1"/>
            </w14:solidFill>
          </w14:textFill>
        </w:rPr>
        <w:t>惠泽净水</w:t>
      </w:r>
      <w:r>
        <w:rPr>
          <w:rFonts w:hint="eastAsia" w:eastAsia="宋体"/>
          <w:color w:val="000000" w:themeColor="text1"/>
          <w:lang w:val="zh-CN" w:eastAsia="zh-CN"/>
          <w14:textFill>
            <w14:solidFill>
              <w14:schemeClr w14:val="tx1"/>
            </w14:solidFill>
          </w14:textFill>
        </w:rPr>
        <w:t>有限公司</w:t>
      </w:r>
      <w:r>
        <w:rPr>
          <w:rFonts w:hint="eastAsia" w:eastAsia="宋体"/>
          <w:color w:val="000000" w:themeColor="text1"/>
          <w:lang w:val="en-US" w:eastAsia="zh-CN"/>
          <w14:textFill>
            <w14:solidFill>
              <w14:schemeClr w14:val="tx1"/>
            </w14:solidFill>
          </w14:textFill>
        </w:rPr>
        <w:t>。</w:t>
      </w:r>
    </w:p>
    <w:p>
      <w:pPr>
        <w:adjustRightInd w:val="0"/>
        <w:snapToGrid w:val="0"/>
        <w:spacing w:line="500" w:lineRule="exact"/>
        <w:ind w:firstLine="480" w:firstLineChars="200"/>
        <w:rPr>
          <w:rFonts w:hint="eastAsia" w:eastAsia="宋体"/>
          <w:color w:val="000000" w:themeColor="text1"/>
          <w:lang w:val="en-US" w:eastAsia="zh-CN"/>
          <w14:textFill>
            <w14:solidFill>
              <w14:schemeClr w14:val="tx1"/>
            </w14:solidFill>
          </w14:textFill>
        </w:rPr>
      </w:pPr>
      <w:r>
        <w:rPr>
          <w:rFonts w:eastAsia="宋体"/>
          <w:color w:val="000000" w:themeColor="text1"/>
          <w14:textFill>
            <w14:solidFill>
              <w14:schemeClr w14:val="tx1"/>
            </w14:solidFill>
          </w14:textFill>
        </w:rPr>
        <w:t>废气：本项目</w:t>
      </w:r>
      <w:r>
        <w:rPr>
          <w:rFonts w:hint="eastAsia" w:eastAsia="宋体"/>
          <w:color w:val="000000" w:themeColor="text1"/>
          <w14:textFill>
            <w14:solidFill>
              <w14:schemeClr w14:val="tx1"/>
            </w14:solidFill>
          </w14:textFill>
        </w:rPr>
        <w:t>有组织</w:t>
      </w:r>
      <w:r>
        <w:rPr>
          <w:rFonts w:eastAsia="宋体"/>
          <w:color w:val="000000" w:themeColor="text1"/>
          <w14:textFill>
            <w14:solidFill>
              <w14:schemeClr w14:val="tx1"/>
            </w14:solidFill>
          </w14:textFill>
        </w:rPr>
        <w:t>废气主要为本项目废气主要为</w:t>
      </w:r>
      <w:r>
        <w:rPr>
          <w:rFonts w:hint="eastAsia" w:eastAsia="宋体"/>
          <w:color w:val="000000" w:themeColor="text1"/>
          <w:lang w:val="en-US" w:eastAsia="zh-CN"/>
          <w14:textFill>
            <w14:solidFill>
              <w14:schemeClr w14:val="tx1"/>
            </w14:solidFill>
          </w14:textFill>
        </w:rPr>
        <w:t>开料过程产生的木加工粉尘，</w:t>
      </w:r>
      <w:r>
        <w:rPr>
          <w:rFonts w:hint="eastAsia" w:eastAsia="宋体"/>
          <w:color w:val="000000" w:themeColor="text1"/>
          <w:lang w:val="zh-CN" w:eastAsia="zh-CN"/>
          <w14:textFill>
            <w14:solidFill>
              <w14:schemeClr w14:val="tx1"/>
            </w14:solidFill>
          </w14:textFill>
        </w:rPr>
        <w:t>打磨工序产生的打磨废气</w:t>
      </w:r>
      <w:r>
        <w:rPr>
          <w:rFonts w:hint="eastAsia" w:eastAsia="宋体"/>
          <w:color w:val="000000" w:themeColor="text1"/>
          <w:lang w:val="en-US" w:eastAsia="zh-CN"/>
          <w14:textFill>
            <w14:solidFill>
              <w14:schemeClr w14:val="tx1"/>
            </w14:solidFill>
          </w14:textFill>
        </w:rPr>
        <w:t>,</w:t>
      </w:r>
      <w:r>
        <w:rPr>
          <w:rFonts w:hint="eastAsia" w:eastAsia="宋体"/>
          <w:color w:val="000000" w:themeColor="text1"/>
          <w:lang w:val="zh-CN" w:eastAsia="zh-CN"/>
          <w14:textFill>
            <w14:solidFill>
              <w14:schemeClr w14:val="tx1"/>
            </w14:solidFill>
          </w14:textFill>
        </w:rPr>
        <w:t>底漆打磨工序产生的底漆打磨废气</w:t>
      </w:r>
      <w:r>
        <w:rPr>
          <w:rFonts w:hint="eastAsia" w:eastAsia="宋体"/>
          <w:color w:val="000000" w:themeColor="text1"/>
          <w:lang w:val="en-US" w:eastAsia="zh-CN"/>
          <w14:textFill>
            <w14:solidFill>
              <w14:schemeClr w14:val="tx1"/>
            </w14:solidFill>
          </w14:textFill>
        </w:rPr>
        <w:t>、</w:t>
      </w:r>
      <w:r>
        <w:rPr>
          <w:rFonts w:hint="eastAsia" w:eastAsia="宋体"/>
          <w:color w:val="000000" w:themeColor="text1"/>
          <w:lang w:val="zh-CN" w:eastAsia="zh-CN"/>
          <w14:textFill>
            <w14:solidFill>
              <w14:schemeClr w14:val="tx1"/>
            </w14:solidFill>
          </w14:textFill>
        </w:rPr>
        <w:t>调色、擦色工序产生的调色废气、擦色废气，调漆、喷漆、烘干工序产生的调漆废气、喷漆废气、烘干废气，流平工序产生的流平废气、喷胶工序产生的喷胶废气</w:t>
      </w:r>
      <w:r>
        <w:rPr>
          <w:rFonts w:hint="eastAsia" w:eastAsia="宋体"/>
          <w:color w:val="000000" w:themeColor="text1"/>
          <w:lang w:val="en-US" w:eastAsia="zh-CN"/>
          <w14:textFill>
            <w14:solidFill>
              <w14:schemeClr w14:val="tx1"/>
            </w14:solidFill>
          </w14:textFill>
        </w:rPr>
        <w:t>。</w:t>
      </w:r>
    </w:p>
    <w:p>
      <w:pPr>
        <w:adjustRightInd w:val="0"/>
        <w:snapToGrid w:val="0"/>
        <w:spacing w:line="500" w:lineRule="exact"/>
        <w:ind w:firstLine="480" w:firstLineChars="200"/>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木加工粉尘通过中央集尘系统+脉冲布袋除尘装置（2 套）+25m 高排气筒（DA001、DA002）排放，</w:t>
      </w:r>
      <w:r>
        <w:rPr>
          <w:rFonts w:hint="eastAsia" w:eastAsia="宋体"/>
          <w:color w:val="000000" w:themeColor="text1"/>
          <w:lang w:val="zh-CN" w:eastAsia="zh-CN"/>
          <w14:textFill>
            <w14:solidFill>
              <w14:schemeClr w14:val="tx1"/>
            </w14:solidFill>
          </w14:textFill>
        </w:rPr>
        <w:t>打磨</w:t>
      </w:r>
      <w:r>
        <w:rPr>
          <w:rFonts w:hint="eastAsia" w:eastAsia="宋体"/>
          <w:color w:val="000000" w:themeColor="text1"/>
          <w:lang w:val="en-US" w:eastAsia="zh-CN"/>
          <w14:textFill>
            <w14:solidFill>
              <w14:schemeClr w14:val="tx1"/>
            </w14:solidFill>
          </w14:textFill>
        </w:rPr>
        <w:t>粉尘通过干式打磨柜（1套）+25m高排气筒（DA003），底漆打磨粉尘通过水式打磨柜（2套）+25m高排气筒（DA004、DA005），调色、擦色废气以及水性漆调漆、喷漆、烘干废气喷漆调漆晾干废气通过水旋柜+过滤棉+二级活性炭吸附装置（8套），处理后经25m高排气筒（DA006、DA007、DA008、DA009）排放，喷胶废气通过水旋柜+过滤棉+二级活性炭吸附装置（1套）处理后经25m高排气筒（DA011），未收集部分废气无组织排放。</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噪声：本项目噪声主要是生产区域各类机械设备、各种风机、空压机等设备噪声，厂区采取合理布局、距离衰减、厂房隔声等措施降低噪声对周围环境的影响。</w:t>
      </w:r>
    </w:p>
    <w:p>
      <w:pPr>
        <w:adjustRightInd w:val="0"/>
        <w:snapToGrid w:val="0"/>
        <w:spacing w:line="500" w:lineRule="exact"/>
        <w:ind w:firstLine="480" w:firstLineChars="200"/>
      </w:pPr>
      <w:r>
        <w:rPr>
          <w:rFonts w:eastAsia="宋体"/>
          <w:color w:val="000000" w:themeColor="text1"/>
          <w14:textFill>
            <w14:solidFill>
              <w14:schemeClr w14:val="tx1"/>
            </w14:solidFill>
          </w14:textFill>
        </w:rPr>
        <w:t>固体废物：本项目固体废物主要有</w:t>
      </w:r>
      <w:r>
        <w:rPr>
          <w:rFonts w:hint="eastAsia" w:eastAsia="宋体"/>
          <w:color w:val="000000" w:themeColor="text1"/>
          <w:lang w:val="en-US" w:eastAsia="zh-CN"/>
          <w14:textFill>
            <w14:solidFill>
              <w14:schemeClr w14:val="tx1"/>
            </w14:solidFill>
          </w14:textFill>
        </w:rPr>
        <w:t>木材边角料、废零件、除尘器收尘、废包装材料、废材料、漆渣、废刷子、废包装桶、废抹布手套、空压机含油废液、废过滤棉、废活性炭、生活垃圾、餐厨垃圾、废油脂等。生活垃圾、餐厨垃圾、废油脂委托环卫清运,目前由海安县洋蛮河存平保洁有限公司清运；木材边角料、废零件、除尘器收尘、废包装材料、废材料外售处理；漆渣、废刷子、废包装桶、废抹布手套、空压机含油废液、废过滤棉、废活性炭委托相关有资质单位处理,目前委托海安蔚蓝环保服务有限公司处理。</w:t>
      </w:r>
    </w:p>
    <w:p>
      <w:pPr>
        <w:adjustRightInd w:val="0"/>
        <w:snapToGrid w:val="0"/>
        <w:spacing w:line="500" w:lineRule="exact"/>
        <w:outlineLvl w:val="2"/>
        <w:rPr>
          <w:rFonts w:eastAsia="宋体"/>
          <w:b/>
          <w:bCs/>
          <w:color w:val="000000" w:themeColor="text1"/>
          <w14:textFill>
            <w14:solidFill>
              <w14:schemeClr w14:val="tx1"/>
            </w14:solidFill>
          </w14:textFill>
        </w:rPr>
      </w:pPr>
      <w:bookmarkStart w:id="91" w:name="3.2.5土壤环境敏感度"/>
      <w:bookmarkEnd w:id="91"/>
      <w:bookmarkStart w:id="92" w:name="_Toc19141"/>
      <w:bookmarkStart w:id="93" w:name="_Toc6964"/>
      <w:bookmarkStart w:id="94" w:name="_Toc7070"/>
      <w:r>
        <w:rPr>
          <w:rFonts w:hint="eastAsia" w:eastAsia="宋体"/>
          <w:b/>
          <w:bCs/>
          <w:color w:val="000000" w:themeColor="text1"/>
          <w14:textFill>
            <w14:solidFill>
              <w14:schemeClr w14:val="tx1"/>
            </w14:solidFill>
          </w14:textFill>
        </w:rPr>
        <w:t>3.2.4</w:t>
      </w:r>
      <w:r>
        <w:rPr>
          <w:rFonts w:eastAsia="宋体"/>
          <w:b/>
          <w:bCs/>
          <w:color w:val="000000" w:themeColor="text1"/>
          <w14:textFill>
            <w14:solidFill>
              <w14:schemeClr w14:val="tx1"/>
            </w14:solidFill>
          </w14:textFill>
        </w:rPr>
        <w:t>土壤环境敏感度</w:t>
      </w:r>
      <w:bookmarkEnd w:id="92"/>
      <w:bookmarkEnd w:id="93"/>
      <w:bookmarkEnd w:id="94"/>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本项目位于南通市海安市</w:t>
      </w:r>
      <w:r>
        <w:rPr>
          <w:rFonts w:hint="eastAsia" w:eastAsia="宋体"/>
          <w:color w:val="000000" w:themeColor="text1"/>
          <w14:textFill>
            <w14:solidFill>
              <w14:schemeClr w14:val="tx1"/>
            </w14:solidFill>
          </w14:textFill>
        </w:rPr>
        <w:t>经济技术开发区</w:t>
      </w:r>
      <w:r>
        <w:rPr>
          <w:rFonts w:hint="eastAsia" w:eastAsia="宋体"/>
          <w:color w:val="000000" w:themeColor="text1"/>
          <w:lang w:eastAsia="zh-CN"/>
          <w14:textFill>
            <w14:solidFill>
              <w14:schemeClr w14:val="tx1"/>
            </w14:solidFill>
          </w14:textFill>
        </w:rPr>
        <w:t>桃源路26号</w:t>
      </w:r>
      <w:r>
        <w:rPr>
          <w:rFonts w:eastAsia="宋体"/>
          <w:color w:val="000000" w:themeColor="text1"/>
          <w14:textFill>
            <w14:solidFill>
              <w14:schemeClr w14:val="tx1"/>
            </w14:solidFill>
          </w14:textFill>
        </w:rPr>
        <w:t>，本项目周边50m范围内无居民等敏感点，本项目属于不敏感土壤环境。</w:t>
      </w:r>
    </w:p>
    <w:p>
      <w:pPr>
        <w:pStyle w:val="4"/>
        <w:adjustRightInd w:val="0"/>
        <w:snapToGrid w:val="0"/>
        <w:spacing w:line="500" w:lineRule="exact"/>
        <w:rPr>
          <w:rFonts w:eastAsia="宋体"/>
          <w:sz w:val="24"/>
          <w:szCs w:val="24"/>
        </w:rPr>
      </w:pPr>
      <w:bookmarkStart w:id="95" w:name="_Toc4967"/>
      <w:bookmarkStart w:id="96" w:name="_Toc24977"/>
      <w:bookmarkStart w:id="97" w:name="_Toc32010"/>
      <w:bookmarkStart w:id="98" w:name="_Toc16295"/>
      <w:r>
        <w:rPr>
          <w:rFonts w:eastAsia="宋体"/>
          <w:sz w:val="24"/>
          <w:szCs w:val="24"/>
        </w:rPr>
        <w:t>3.3风险物质识别</w:t>
      </w:r>
      <w:bookmarkEnd w:id="95"/>
      <w:bookmarkEnd w:id="96"/>
      <w:bookmarkEnd w:id="97"/>
      <w:bookmarkEnd w:id="98"/>
    </w:p>
    <w:p>
      <w:pPr>
        <w:pStyle w:val="2"/>
        <w:adjustRightInd w:val="0"/>
        <w:snapToGrid w:val="0"/>
        <w:spacing w:line="500" w:lineRule="exact"/>
        <w:rPr>
          <w:rFonts w:eastAsia="宋体"/>
          <w:szCs w:val="24"/>
        </w:rPr>
      </w:pPr>
      <w:bookmarkStart w:id="99" w:name="_Toc451631652"/>
      <w:bookmarkStart w:id="100" w:name="_Toc7850"/>
      <w:bookmarkStart w:id="101" w:name="_Toc25602"/>
      <w:bookmarkStart w:id="102" w:name="_Toc15650"/>
      <w:bookmarkStart w:id="103" w:name="_Toc12112"/>
      <w:r>
        <w:rPr>
          <w:rFonts w:eastAsia="宋体"/>
          <w:szCs w:val="24"/>
        </w:rPr>
        <w:t>3.3.1物质性质</w:t>
      </w:r>
      <w:bookmarkEnd w:id="99"/>
      <w:bookmarkEnd w:id="100"/>
      <w:bookmarkEnd w:id="101"/>
      <w:bookmarkEnd w:id="102"/>
      <w:bookmarkEnd w:id="103"/>
    </w:p>
    <w:p>
      <w:pPr>
        <w:adjustRightInd w:val="0"/>
        <w:snapToGrid w:val="0"/>
        <w:spacing w:line="500" w:lineRule="exact"/>
        <w:ind w:firstLine="480" w:firstLineChars="200"/>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w:t>
      </w:r>
      <w:r>
        <w:rPr>
          <w:rFonts w:hint="eastAsia" w:eastAsia="宋体"/>
        </w:rPr>
        <w:t xml:space="preserve"> </w:t>
      </w:r>
      <w:r>
        <w:rPr>
          <w:rFonts w:eastAsia="宋体"/>
        </w:rPr>
        <w:t>941-2018）</w:t>
      </w:r>
      <w:r>
        <w:rPr>
          <w:rFonts w:hint="eastAsia" w:ascii="宋体" w:hAnsi="宋体" w:eastAsia="宋体" w:cs="宋体"/>
        </w:rPr>
        <w:t>》附录</w:t>
      </w:r>
      <w:r>
        <w:rPr>
          <w:rFonts w:eastAsia="宋体"/>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rPr>
        <w:t>-7</w:t>
      </w:r>
      <w:r>
        <w:rPr>
          <w:rFonts w:eastAsia="宋体"/>
        </w:rPr>
        <w:t>。涉环境风险物质危险特性见表3</w:t>
      </w:r>
      <w:r>
        <w:rPr>
          <w:rFonts w:hint="eastAsia" w:eastAsia="宋体"/>
        </w:rPr>
        <w:t>-9</w:t>
      </w:r>
      <w:r>
        <w:rPr>
          <w:rFonts w:hint="eastAsia" w:ascii="宋体" w:hAnsi="宋体" w:eastAsia="宋体" w:cs="宋体"/>
        </w:rPr>
        <w:t>。</w:t>
      </w:r>
    </w:p>
    <w:p>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3-7</w:t>
      </w:r>
      <w:r>
        <w:rPr>
          <w:rFonts w:eastAsiaTheme="minorEastAsia"/>
          <w:b/>
          <w:color w:val="000000" w:themeColor="text1"/>
          <w14:textFill>
            <w14:solidFill>
              <w14:schemeClr w14:val="tx1"/>
            </w14:solidFill>
          </w14:textFill>
        </w:rPr>
        <w:t xml:space="preserve"> 公司</w:t>
      </w:r>
      <w:r>
        <w:rPr>
          <w:rFonts w:hint="eastAsia" w:eastAsiaTheme="minorEastAsia"/>
          <w:b/>
          <w:color w:val="000000" w:themeColor="text1"/>
          <w14:textFill>
            <w14:solidFill>
              <w14:schemeClr w14:val="tx1"/>
            </w14:solidFill>
          </w14:textFill>
        </w:rPr>
        <w:t>生产所涉及的各类</w:t>
      </w:r>
      <w:r>
        <w:rPr>
          <w:rFonts w:eastAsiaTheme="minorEastAsia"/>
          <w:b/>
          <w:color w:val="000000" w:themeColor="text1"/>
          <w14:textFill>
            <w14:solidFill>
              <w14:schemeClr w14:val="tx1"/>
            </w14:solidFill>
          </w14:textFill>
        </w:rPr>
        <w:t>物质</w:t>
      </w:r>
      <w:r>
        <w:rPr>
          <w:rFonts w:hint="eastAsia" w:eastAsiaTheme="minorEastAsia"/>
          <w:b/>
          <w:color w:val="000000" w:themeColor="text1"/>
          <w14:textFill>
            <w14:solidFill>
              <w14:schemeClr w14:val="tx1"/>
            </w14:solidFill>
          </w14:textFill>
        </w:rPr>
        <w:t>统计</w:t>
      </w:r>
      <w:r>
        <w:rPr>
          <w:rFonts w:eastAsiaTheme="minorEastAsia"/>
          <w:b/>
          <w:color w:val="000000" w:themeColor="text1"/>
          <w14:textFill>
            <w14:solidFill>
              <w14:schemeClr w14:val="tx1"/>
            </w14:solidFill>
          </w14:textFill>
        </w:rPr>
        <w:t>情况表</w:t>
      </w:r>
    </w:p>
    <w:tbl>
      <w:tblPr>
        <w:tblStyle w:val="3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1280"/>
        <w:gridCol w:w="2736"/>
        <w:gridCol w:w="1423"/>
        <w:gridCol w:w="1162"/>
        <w:gridCol w:w="507"/>
        <w:gridCol w:w="927"/>
        <w:gridCol w:w="8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类型</w:t>
            </w:r>
          </w:p>
        </w:tc>
        <w:tc>
          <w:tcPr>
            <w:tcW w:w="619"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物质名称</w:t>
            </w:r>
          </w:p>
        </w:tc>
        <w:tc>
          <w:tcPr>
            <w:tcW w:w="1323"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规格/成分</w:t>
            </w:r>
          </w:p>
        </w:tc>
        <w:tc>
          <w:tcPr>
            <w:tcW w:w="688"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年耗量</w:t>
            </w:r>
          </w:p>
        </w:tc>
        <w:tc>
          <w:tcPr>
            <w:tcW w:w="562" w:type="pct"/>
            <w:vAlign w:val="center"/>
          </w:tcPr>
          <w:p>
            <w:pPr>
              <w:jc w:val="center"/>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最大</w:t>
            </w:r>
            <w:r>
              <w:rPr>
                <w:rFonts w:hint="default" w:ascii="Times New Roman" w:hAnsi="Times New Roman" w:eastAsia="宋体" w:cs="Times New Roman"/>
                <w:b/>
                <w:sz w:val="21"/>
                <w:szCs w:val="21"/>
              </w:rPr>
              <w:t>存在</w:t>
            </w:r>
            <w:r>
              <w:rPr>
                <w:rFonts w:hint="default" w:ascii="Times New Roman" w:hAnsi="Times New Roman" w:eastAsia="宋体" w:cs="Times New Roman"/>
                <w:b/>
                <w:sz w:val="21"/>
                <w:szCs w:val="21"/>
                <w:lang w:val="zh-CN"/>
              </w:rPr>
              <w:t>量</w:t>
            </w:r>
          </w:p>
        </w:tc>
        <w:tc>
          <w:tcPr>
            <w:tcW w:w="245" w:type="pct"/>
            <w:vAlign w:val="center"/>
          </w:tcPr>
          <w:p>
            <w:pPr>
              <w:jc w:val="center"/>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rPr>
              <w:t>包装</w:t>
            </w:r>
            <w:r>
              <w:rPr>
                <w:rFonts w:hint="default" w:ascii="Times New Roman" w:hAnsi="Times New Roman" w:eastAsia="宋体" w:cs="Times New Roman"/>
                <w:b/>
                <w:sz w:val="21"/>
                <w:szCs w:val="21"/>
                <w:lang w:val="zh-CN"/>
              </w:rPr>
              <w:t>方式</w:t>
            </w:r>
          </w:p>
        </w:tc>
        <w:tc>
          <w:tcPr>
            <w:tcW w:w="448" w:type="pct"/>
            <w:vAlign w:val="center"/>
          </w:tcPr>
          <w:p>
            <w:pPr>
              <w:jc w:val="center"/>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贮存地点</w:t>
            </w:r>
          </w:p>
        </w:tc>
        <w:tc>
          <w:tcPr>
            <w:tcW w:w="423"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环境风险物质类型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原辅材料</w:t>
            </w: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rPr>
              <w:t>实木木材</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红橡、榉木、樱桃木等</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zh-CN" w:eastAsia="zh-CN" w:bidi="ar-SA"/>
              </w:rPr>
            </w:pPr>
            <w:r>
              <w:rPr>
                <w:rFonts w:hint="default" w:ascii="Times New Roman" w:hAnsi="Times New Roman" w:eastAsia="宋体" w:cs="Times New Roman"/>
                <w:kern w:val="0"/>
                <w:sz w:val="21"/>
                <w:szCs w:val="21"/>
              </w:rPr>
              <w:t>1000m</w:t>
            </w:r>
            <w:r>
              <w:rPr>
                <w:rFonts w:hint="default" w:ascii="Times New Roman" w:hAnsi="Times New Roman" w:eastAsia="宋体" w:cs="Times New Roman"/>
                <w:kern w:val="0"/>
                <w:sz w:val="21"/>
                <w:szCs w:val="21"/>
                <w:vertAlign w:val="superscript"/>
              </w:rPr>
              <w:t>3</w:t>
            </w:r>
          </w:p>
        </w:tc>
        <w:tc>
          <w:tcPr>
            <w:tcW w:w="562"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00</w:t>
            </w:r>
            <w:r>
              <w:rPr>
                <w:rFonts w:hint="default" w:ascii="Times New Roman" w:hAnsi="Times New Roman" w:eastAsia="宋体" w:cs="Times New Roman"/>
                <w:sz w:val="21"/>
                <w:szCs w:val="21"/>
                <w:shd w:val="clear" w:color="auto" w:fill="FFFFFF"/>
              </w:rPr>
              <w:t xml:space="preserve"> m</w:t>
            </w:r>
            <w:r>
              <w:rPr>
                <w:rFonts w:hint="default" w:ascii="Times New Roman" w:hAnsi="Times New Roman" w:eastAsia="宋体" w:cs="Times New Roman"/>
                <w:sz w:val="21"/>
                <w:szCs w:val="21"/>
                <w:shd w:val="clear" w:color="auto" w:fill="FFFFFF"/>
                <w:vertAlign w:val="superscript"/>
              </w:rPr>
              <w:t>3</w:t>
            </w:r>
          </w:p>
        </w:tc>
        <w:tc>
          <w:tcPr>
            <w:tcW w:w="245"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堆放</w:t>
            </w:r>
          </w:p>
        </w:tc>
        <w:tc>
          <w:tcPr>
            <w:tcW w:w="448" w:type="pct"/>
            <w:vAlign w:val="center"/>
          </w:tcPr>
          <w:p>
            <w:pPr>
              <w:pStyle w:val="14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原料仓库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木板材</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多层板</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zh-CN" w:eastAsia="zh-CN" w:bidi="ar-SA"/>
              </w:rPr>
            </w:pPr>
            <w:r>
              <w:rPr>
                <w:rFonts w:hint="default" w:ascii="Times New Roman" w:hAnsi="Times New Roman" w:eastAsia="宋体" w:cs="Times New Roman"/>
                <w:kern w:val="0"/>
                <w:sz w:val="21"/>
                <w:szCs w:val="21"/>
              </w:rPr>
              <w:t>600m</w:t>
            </w:r>
            <w:r>
              <w:rPr>
                <w:rFonts w:hint="default" w:ascii="Times New Roman" w:hAnsi="Times New Roman" w:eastAsia="宋体" w:cs="Times New Roman"/>
                <w:kern w:val="0"/>
                <w:sz w:val="21"/>
                <w:szCs w:val="21"/>
                <w:vertAlign w:val="superscript"/>
              </w:rPr>
              <w:t>3</w:t>
            </w:r>
          </w:p>
        </w:tc>
        <w:tc>
          <w:tcPr>
            <w:tcW w:w="562"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shd w:val="clear" w:color="auto" w:fill="FFFFFF"/>
              </w:rPr>
              <w:t xml:space="preserve"> m</w:t>
            </w:r>
            <w:r>
              <w:rPr>
                <w:rFonts w:hint="default" w:ascii="Times New Roman" w:hAnsi="Times New Roman" w:eastAsia="宋体" w:cs="Times New Roman"/>
                <w:sz w:val="21"/>
                <w:szCs w:val="21"/>
                <w:shd w:val="clear" w:color="auto" w:fill="FFFFFF"/>
                <w:vertAlign w:val="superscript"/>
              </w:rPr>
              <w:t>3</w:t>
            </w:r>
          </w:p>
        </w:tc>
        <w:tc>
          <w:tcPr>
            <w:tcW w:w="245" w:type="pct"/>
            <w:vAlign w:val="center"/>
          </w:tcPr>
          <w:p>
            <w:pPr>
              <w:jc w:val="cente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en-US" w:eastAsia="zh-CN"/>
              </w:rPr>
              <w:t>堆放</w:t>
            </w:r>
          </w:p>
        </w:tc>
        <w:tc>
          <w:tcPr>
            <w:tcW w:w="448" w:type="pct"/>
            <w:vAlign w:val="center"/>
          </w:tcPr>
          <w:p>
            <w:pPr>
              <w:pStyle w:val="142"/>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原料仓库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zh-CN"/>
              </w:rPr>
              <w:t>面料</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zh-CN"/>
              </w:rPr>
              <w:t>布料、皮革</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zh-CN" w:eastAsia="zh-CN" w:bidi="ar-SA"/>
              </w:rPr>
            </w:pPr>
            <w:r>
              <w:rPr>
                <w:rFonts w:hint="default" w:ascii="Times New Roman" w:hAnsi="Times New Roman" w:eastAsia="宋体" w:cs="Times New Roman"/>
                <w:sz w:val="21"/>
                <w:szCs w:val="21"/>
              </w:rPr>
              <w:t>0.2t</w:t>
            </w:r>
          </w:p>
        </w:tc>
        <w:tc>
          <w:tcPr>
            <w:tcW w:w="562"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t</w:t>
            </w:r>
          </w:p>
        </w:tc>
        <w:tc>
          <w:tcPr>
            <w:tcW w:w="245" w:type="pct"/>
            <w:vAlign w:val="center"/>
          </w:tcPr>
          <w:p>
            <w:pPr>
              <w:jc w:val="cente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en-US" w:eastAsia="zh-CN"/>
              </w:rPr>
              <w:t>堆放</w:t>
            </w:r>
          </w:p>
        </w:tc>
        <w:tc>
          <w:tcPr>
            <w:tcW w:w="448" w:type="pct"/>
            <w:vAlign w:val="center"/>
          </w:tcPr>
          <w:p>
            <w:pPr>
              <w:pStyle w:val="142"/>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原料仓库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zh-CN"/>
              </w:rPr>
              <w:t>海绵</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100m</w:t>
            </w:r>
            <w:r>
              <w:rPr>
                <w:rFonts w:hint="default" w:ascii="Times New Roman" w:hAnsi="Times New Roman" w:eastAsia="宋体" w:cs="Times New Roman"/>
                <w:kern w:val="0"/>
                <w:sz w:val="21"/>
                <w:szCs w:val="21"/>
                <w:vertAlign w:val="superscript"/>
              </w:rPr>
              <w:t>3</w:t>
            </w:r>
          </w:p>
        </w:tc>
        <w:tc>
          <w:tcPr>
            <w:tcW w:w="562"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shd w:val="clear" w:color="auto" w:fill="FFFFFF"/>
              </w:rPr>
              <w:t xml:space="preserve"> m</w:t>
            </w:r>
            <w:r>
              <w:rPr>
                <w:rFonts w:hint="default" w:ascii="Times New Roman" w:hAnsi="Times New Roman" w:eastAsia="宋体" w:cs="Times New Roman"/>
                <w:sz w:val="21"/>
                <w:szCs w:val="21"/>
                <w:shd w:val="clear" w:color="auto" w:fill="FFFFFF"/>
                <w:vertAlign w:val="superscript"/>
              </w:rPr>
              <w:t>3</w:t>
            </w:r>
          </w:p>
        </w:tc>
        <w:tc>
          <w:tcPr>
            <w:tcW w:w="24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堆放</w:t>
            </w:r>
          </w:p>
        </w:tc>
        <w:tc>
          <w:tcPr>
            <w:tcW w:w="448"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原料仓库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rPr>
              <w:t>水性透明底漆</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密度1.1kg/L，挥发性有机化合物含量112g/L</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6.286</w:t>
            </w:r>
            <w:r>
              <w:rPr>
                <w:rFonts w:hint="default" w:ascii="Times New Roman" w:hAnsi="Times New Roman" w:eastAsia="宋体" w:cs="Times New Roman"/>
                <w:kern w:val="0"/>
                <w:sz w:val="21"/>
                <w:szCs w:val="21"/>
                <w:lang w:val="en-US" w:eastAsia="zh-CN"/>
              </w:rPr>
              <w:t>t</w:t>
            </w:r>
          </w:p>
        </w:tc>
        <w:tc>
          <w:tcPr>
            <w:tcW w:w="562" w:type="pct"/>
            <w:vAlign w:val="center"/>
          </w:tcPr>
          <w:p>
            <w:pPr>
              <w:jc w:val="cente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t</w:t>
            </w:r>
          </w:p>
        </w:tc>
        <w:tc>
          <w:tcPr>
            <w:tcW w:w="245" w:type="pct"/>
            <w:vAlign w:val="center"/>
          </w:tcPr>
          <w:p>
            <w:pPr>
              <w:jc w:val="cente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桶装</w:t>
            </w:r>
          </w:p>
        </w:tc>
        <w:tc>
          <w:tcPr>
            <w:tcW w:w="448" w:type="pct"/>
            <w:vAlign w:val="center"/>
          </w:tcPr>
          <w:p>
            <w:pPr>
              <w:pStyle w:val="142"/>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rPr>
              <w:t>油漆仓库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rPr>
              <w:t>水性白底漆</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密度1.1kg/L，挥发性有机化合物含量107g/L</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4.769</w:t>
            </w:r>
            <w:r>
              <w:rPr>
                <w:rFonts w:hint="default" w:ascii="Times New Roman" w:hAnsi="Times New Roman" w:eastAsia="宋体" w:cs="Times New Roman"/>
                <w:kern w:val="0"/>
                <w:sz w:val="21"/>
                <w:szCs w:val="21"/>
                <w:lang w:val="en-US" w:eastAsia="zh-CN"/>
              </w:rPr>
              <w:t>t</w:t>
            </w:r>
          </w:p>
        </w:tc>
        <w:tc>
          <w:tcPr>
            <w:tcW w:w="562" w:type="pct"/>
            <w:vAlign w:val="center"/>
          </w:tcPr>
          <w:p>
            <w:pPr>
              <w:jc w:val="cente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t</w:t>
            </w:r>
          </w:p>
        </w:tc>
        <w:tc>
          <w:tcPr>
            <w:tcW w:w="245" w:type="pct"/>
            <w:vAlign w:val="center"/>
          </w:tcPr>
          <w:p>
            <w:pPr>
              <w:jc w:val="cente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桶装</w:t>
            </w:r>
          </w:p>
        </w:tc>
        <w:tc>
          <w:tcPr>
            <w:tcW w:w="448" w:type="pct"/>
            <w:vAlign w:val="center"/>
          </w:tcPr>
          <w:p>
            <w:pPr>
              <w:pStyle w:val="142"/>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rPr>
              <w:t>油漆仓库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水性清面漆</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密度1.1kg/L，挥发性有机化合物含量144g/L</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2.538</w:t>
            </w:r>
            <w:r>
              <w:rPr>
                <w:rFonts w:hint="default" w:ascii="Times New Roman" w:hAnsi="Times New Roman" w:eastAsia="宋体" w:cs="Times New Roman"/>
                <w:kern w:val="0"/>
                <w:sz w:val="21"/>
                <w:szCs w:val="21"/>
                <w:lang w:val="en-US" w:eastAsia="zh-CN"/>
              </w:rPr>
              <w:t>t</w:t>
            </w:r>
          </w:p>
        </w:tc>
        <w:tc>
          <w:tcPr>
            <w:tcW w:w="562"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0.2</w:t>
            </w:r>
            <w:r>
              <w:rPr>
                <w:rFonts w:hint="default" w:ascii="Times New Roman" w:hAnsi="Times New Roman" w:eastAsia="宋体" w:cs="Times New Roman"/>
                <w:sz w:val="21"/>
                <w:szCs w:val="21"/>
              </w:rPr>
              <w:t>t</w:t>
            </w:r>
          </w:p>
        </w:tc>
        <w:tc>
          <w:tcPr>
            <w:tcW w:w="24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桶</w:t>
            </w:r>
            <w:r>
              <w:rPr>
                <w:rFonts w:hint="default" w:ascii="Times New Roman" w:hAnsi="Times New Roman" w:eastAsia="宋体" w:cs="Times New Roman"/>
                <w:sz w:val="21"/>
                <w:szCs w:val="21"/>
              </w:rPr>
              <w:t>装</w:t>
            </w:r>
          </w:p>
        </w:tc>
        <w:tc>
          <w:tcPr>
            <w:tcW w:w="448"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油漆仓库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水性白面漆</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密度1.1kg/L，挥发性有机化合物含量184g/L，甲醛38g/L</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2.087</w:t>
            </w:r>
            <w:r>
              <w:rPr>
                <w:rFonts w:hint="default" w:ascii="Times New Roman" w:hAnsi="Times New Roman" w:eastAsia="宋体" w:cs="Times New Roman"/>
                <w:kern w:val="0"/>
                <w:sz w:val="21"/>
                <w:szCs w:val="21"/>
                <w:lang w:val="en-US" w:eastAsia="zh-CN"/>
              </w:rPr>
              <w:t>t</w:t>
            </w:r>
          </w:p>
        </w:tc>
        <w:tc>
          <w:tcPr>
            <w:tcW w:w="56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0.2t</w:t>
            </w:r>
          </w:p>
        </w:tc>
        <w:tc>
          <w:tcPr>
            <w:tcW w:w="24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桶</w:t>
            </w:r>
            <w:r>
              <w:rPr>
                <w:rFonts w:hint="default" w:ascii="Times New Roman" w:hAnsi="Times New Roman" w:eastAsia="宋体" w:cs="Times New Roman"/>
                <w:sz w:val="21"/>
                <w:szCs w:val="21"/>
              </w:rPr>
              <w:t>装</w:t>
            </w:r>
          </w:p>
        </w:tc>
        <w:tc>
          <w:tcPr>
            <w:tcW w:w="448"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油漆仓库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水性色精</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0.06</w:t>
            </w:r>
            <w:r>
              <w:rPr>
                <w:rFonts w:hint="default" w:ascii="Times New Roman" w:hAnsi="Times New Roman" w:eastAsia="宋体" w:cs="Times New Roman"/>
                <w:kern w:val="0"/>
                <w:sz w:val="21"/>
                <w:szCs w:val="21"/>
                <w:lang w:val="en-US" w:eastAsia="zh-CN"/>
              </w:rPr>
              <w:t>t</w:t>
            </w:r>
          </w:p>
        </w:tc>
        <w:tc>
          <w:tcPr>
            <w:tcW w:w="562"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03</w:t>
            </w:r>
            <w:r>
              <w:rPr>
                <w:rFonts w:hint="default" w:ascii="Times New Roman" w:hAnsi="Times New Roman" w:eastAsia="宋体" w:cs="Times New Roman"/>
                <w:sz w:val="21"/>
                <w:szCs w:val="21"/>
              </w:rPr>
              <w:t>t</w:t>
            </w:r>
          </w:p>
        </w:tc>
        <w:tc>
          <w:tcPr>
            <w:tcW w:w="245"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桶装</w:t>
            </w:r>
          </w:p>
        </w:tc>
        <w:tc>
          <w:tcPr>
            <w:tcW w:w="448"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油漆仓库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水性漆用固化剂</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亲水脂肪族异氰酸酯</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2.346</w:t>
            </w:r>
            <w:r>
              <w:rPr>
                <w:rFonts w:hint="default" w:ascii="Times New Roman" w:hAnsi="Times New Roman" w:eastAsia="宋体" w:cs="Times New Roman"/>
                <w:kern w:val="0"/>
                <w:sz w:val="21"/>
                <w:szCs w:val="21"/>
                <w:lang w:val="en-US" w:eastAsia="zh-CN"/>
              </w:rPr>
              <w:t>t</w:t>
            </w:r>
          </w:p>
        </w:tc>
        <w:tc>
          <w:tcPr>
            <w:tcW w:w="56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0.2t</w:t>
            </w:r>
          </w:p>
        </w:tc>
        <w:tc>
          <w:tcPr>
            <w:tcW w:w="245"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桶装</w:t>
            </w:r>
          </w:p>
        </w:tc>
        <w:tc>
          <w:tcPr>
            <w:tcW w:w="448"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油漆仓库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白乳胶</w:t>
            </w:r>
          </w:p>
        </w:tc>
        <w:tc>
          <w:tcPr>
            <w:tcW w:w="1323" w:type="pct"/>
            <w:vAlign w:val="center"/>
          </w:tcPr>
          <w:p>
            <w:pPr>
              <w:tabs>
                <w:tab w:val="left" w:pos="3462"/>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聚乙酸乙烯酯乳液</w:t>
            </w:r>
          </w:p>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（挥发性有机化合物含量18g/L）</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0.8t</w:t>
            </w:r>
          </w:p>
        </w:tc>
        <w:tc>
          <w:tcPr>
            <w:tcW w:w="56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0.1t</w:t>
            </w:r>
          </w:p>
        </w:tc>
        <w:tc>
          <w:tcPr>
            <w:tcW w:w="245"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桶装</w:t>
            </w:r>
          </w:p>
        </w:tc>
        <w:tc>
          <w:tcPr>
            <w:tcW w:w="448"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油漆仓库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水性喷胶</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主要成分为聚氨酯乳液和水，挥发性有机化合物含量19g/L</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1t</w:t>
            </w:r>
          </w:p>
        </w:tc>
        <w:tc>
          <w:tcPr>
            <w:tcW w:w="56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0.1t</w:t>
            </w:r>
          </w:p>
        </w:tc>
        <w:tc>
          <w:tcPr>
            <w:tcW w:w="245"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桶装</w:t>
            </w:r>
          </w:p>
        </w:tc>
        <w:tc>
          <w:tcPr>
            <w:tcW w:w="448"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油漆仓库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五金配件</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拉手、铰链等金属制件</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10t</w:t>
            </w:r>
          </w:p>
        </w:tc>
        <w:tc>
          <w:tcPr>
            <w:tcW w:w="56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1t</w:t>
            </w:r>
          </w:p>
        </w:tc>
        <w:tc>
          <w:tcPr>
            <w:tcW w:w="245"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散装</w:t>
            </w:r>
          </w:p>
        </w:tc>
        <w:tc>
          <w:tcPr>
            <w:tcW w:w="448"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原料仓库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纸箱</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60000m</w:t>
            </w:r>
            <w:r>
              <w:rPr>
                <w:rFonts w:hint="default" w:ascii="Times New Roman" w:hAnsi="Times New Roman" w:eastAsia="宋体" w:cs="Times New Roman"/>
                <w:kern w:val="0"/>
                <w:sz w:val="21"/>
                <w:szCs w:val="21"/>
                <w:vertAlign w:val="superscript"/>
              </w:rPr>
              <w:t>2</w:t>
            </w:r>
          </w:p>
        </w:tc>
        <w:tc>
          <w:tcPr>
            <w:tcW w:w="562"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6000m</w:t>
            </w:r>
            <w:r>
              <w:rPr>
                <w:rFonts w:hint="default" w:ascii="Times New Roman" w:hAnsi="Times New Roman" w:eastAsia="宋体" w:cs="Times New Roman"/>
                <w:kern w:val="0"/>
                <w:sz w:val="21"/>
                <w:szCs w:val="21"/>
                <w:vertAlign w:val="superscript"/>
              </w:rPr>
              <w:t>2</w:t>
            </w:r>
          </w:p>
        </w:tc>
        <w:tc>
          <w:tcPr>
            <w:tcW w:w="24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堆放</w:t>
            </w:r>
          </w:p>
        </w:tc>
        <w:tc>
          <w:tcPr>
            <w:tcW w:w="448"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原料仓库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包装材料</w:t>
            </w:r>
          </w:p>
        </w:tc>
        <w:tc>
          <w:tcPr>
            <w:tcW w:w="1323" w:type="pct"/>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主要成分为纸等</w:t>
            </w:r>
          </w:p>
        </w:tc>
        <w:tc>
          <w:tcPr>
            <w:tcW w:w="688" w:type="pct"/>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1t</w:t>
            </w:r>
          </w:p>
        </w:tc>
        <w:tc>
          <w:tcPr>
            <w:tcW w:w="56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0.1t</w:t>
            </w:r>
          </w:p>
        </w:tc>
        <w:tc>
          <w:tcPr>
            <w:tcW w:w="24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堆放</w:t>
            </w:r>
          </w:p>
        </w:tc>
        <w:tc>
          <w:tcPr>
            <w:tcW w:w="448"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原料仓库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产品</w:t>
            </w:r>
          </w:p>
        </w:tc>
        <w:tc>
          <w:tcPr>
            <w:tcW w:w="619"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床头柜</w:t>
            </w:r>
          </w:p>
        </w:tc>
        <w:tc>
          <w:tcPr>
            <w:tcW w:w="1323"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688"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15000套</w:t>
            </w:r>
          </w:p>
        </w:tc>
        <w:tc>
          <w:tcPr>
            <w:tcW w:w="56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1500套</w:t>
            </w:r>
          </w:p>
        </w:tc>
        <w:tc>
          <w:tcPr>
            <w:tcW w:w="245"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散装</w:t>
            </w:r>
          </w:p>
        </w:tc>
        <w:tc>
          <w:tcPr>
            <w:tcW w:w="448" w:type="pct"/>
            <w:vAlign w:val="center"/>
          </w:tcPr>
          <w:p>
            <w:pPr>
              <w:pStyle w:val="14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成品仓库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木柜</w:t>
            </w:r>
          </w:p>
        </w:tc>
        <w:tc>
          <w:tcPr>
            <w:tcW w:w="1323" w:type="pct"/>
            <w:vAlign w:val="center"/>
          </w:tcPr>
          <w:p>
            <w:pPr>
              <w:jc w:val="center"/>
              <w:rPr>
                <w:rFonts w:hint="default" w:ascii="Times New Roman" w:hAnsi="Times New Roman" w:eastAsia="宋体" w:cs="Times New Roman"/>
                <w:sz w:val="21"/>
                <w:szCs w:val="21"/>
              </w:rPr>
            </w:pPr>
          </w:p>
        </w:tc>
        <w:tc>
          <w:tcPr>
            <w:tcW w:w="688"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20000个</w:t>
            </w:r>
          </w:p>
        </w:tc>
        <w:tc>
          <w:tcPr>
            <w:tcW w:w="562"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2000个</w:t>
            </w:r>
          </w:p>
        </w:tc>
        <w:tc>
          <w:tcPr>
            <w:tcW w:w="245" w:type="pct"/>
            <w:vAlign w:val="center"/>
          </w:tcPr>
          <w:p>
            <w:pPr>
              <w:pStyle w:val="142"/>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rPr>
              <w:t>散装</w:t>
            </w:r>
          </w:p>
        </w:tc>
        <w:tc>
          <w:tcPr>
            <w:tcW w:w="448" w:type="pct"/>
            <w:vAlign w:val="center"/>
          </w:tcPr>
          <w:p>
            <w:pPr>
              <w:pStyle w:val="142"/>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rPr>
              <w:t>成品仓库</w:t>
            </w:r>
          </w:p>
        </w:tc>
        <w:tc>
          <w:tcPr>
            <w:tcW w:w="423"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废气</w:t>
            </w:r>
          </w:p>
        </w:tc>
        <w:tc>
          <w:tcPr>
            <w:tcW w:w="619"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有组织废气</w:t>
            </w:r>
          </w:p>
        </w:tc>
        <w:tc>
          <w:tcPr>
            <w:tcW w:w="13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颗粒物、挥发性有机物</w:t>
            </w:r>
          </w:p>
        </w:tc>
        <w:tc>
          <w:tcPr>
            <w:tcW w:w="688"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562" w:type="pct"/>
            <w:vAlign w:val="center"/>
          </w:tcPr>
          <w:p>
            <w:pPr>
              <w:jc w:val="center"/>
              <w:rPr>
                <w:rFonts w:hint="default" w:ascii="Times New Roman" w:hAnsi="Times New Roman" w:eastAsia="宋体" w:cs="Times New Roman"/>
                <w:bCs/>
                <w:sz w:val="21"/>
                <w:szCs w:val="21"/>
                <w:lang w:val="zh-CN"/>
              </w:rPr>
            </w:pPr>
            <w:r>
              <w:rPr>
                <w:rFonts w:hint="default" w:ascii="Times New Roman" w:hAnsi="Times New Roman" w:eastAsia="宋体" w:cs="Times New Roman"/>
                <w:bCs/>
                <w:sz w:val="21"/>
                <w:szCs w:val="21"/>
              </w:rPr>
              <w:t>/</w:t>
            </w:r>
          </w:p>
        </w:tc>
        <w:tc>
          <w:tcPr>
            <w:tcW w:w="245" w:type="pct"/>
            <w:vAlign w:val="center"/>
          </w:tcPr>
          <w:p>
            <w:pPr>
              <w:jc w:val="center"/>
              <w:rPr>
                <w:rFonts w:hint="default" w:ascii="Times New Roman" w:hAnsi="Times New Roman" w:eastAsia="宋体" w:cs="Times New Roman"/>
                <w:bCs/>
                <w:sz w:val="21"/>
                <w:szCs w:val="21"/>
                <w:lang w:val="zh-CN"/>
              </w:rPr>
            </w:pPr>
            <w:r>
              <w:rPr>
                <w:rFonts w:hint="default" w:ascii="Times New Roman" w:hAnsi="Times New Roman" w:eastAsia="宋体" w:cs="Times New Roman"/>
                <w:bCs/>
                <w:sz w:val="21"/>
                <w:szCs w:val="21"/>
              </w:rPr>
              <w:t>/</w:t>
            </w:r>
          </w:p>
        </w:tc>
        <w:tc>
          <w:tcPr>
            <w:tcW w:w="448" w:type="pct"/>
            <w:vAlign w:val="center"/>
          </w:tcPr>
          <w:p>
            <w:pPr>
              <w:jc w:val="center"/>
              <w:rPr>
                <w:rFonts w:hint="default" w:ascii="Times New Roman" w:hAnsi="Times New Roman" w:eastAsia="宋体" w:cs="Times New Roman"/>
                <w:bCs/>
                <w:sz w:val="21"/>
                <w:szCs w:val="21"/>
                <w:lang w:val="zh-CN"/>
              </w:rPr>
            </w:pPr>
            <w:r>
              <w:rPr>
                <w:rFonts w:hint="default" w:ascii="Times New Roman" w:hAnsi="Times New Roman" w:eastAsia="宋体" w:cs="Times New Roman"/>
                <w:bCs/>
                <w:sz w:val="21"/>
                <w:szCs w:val="21"/>
              </w:rPr>
              <w:t>/</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废水</w:t>
            </w:r>
          </w:p>
        </w:tc>
        <w:tc>
          <w:tcPr>
            <w:tcW w:w="619"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水旋柜</w:t>
            </w:r>
            <w:r>
              <w:rPr>
                <w:rFonts w:hint="default" w:ascii="Times New Roman" w:hAnsi="Times New Roman" w:eastAsia="宋体" w:cs="Times New Roman"/>
                <w:bCs/>
                <w:sz w:val="21"/>
                <w:szCs w:val="21"/>
              </w:rPr>
              <w:t>废水</w:t>
            </w:r>
          </w:p>
        </w:tc>
        <w:tc>
          <w:tcPr>
            <w:tcW w:w="13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pH、COD、SS、NH</w:t>
            </w:r>
            <w:r>
              <w:rPr>
                <w:rFonts w:hint="default" w:ascii="Times New Roman" w:hAnsi="Times New Roman" w:eastAsia="宋体" w:cs="Times New Roman"/>
                <w:bCs/>
                <w:sz w:val="21"/>
                <w:szCs w:val="21"/>
                <w:vertAlign w:val="subscript"/>
              </w:rPr>
              <w:t>3</w:t>
            </w:r>
            <w:r>
              <w:rPr>
                <w:rFonts w:hint="default" w:ascii="Times New Roman" w:hAnsi="Times New Roman" w:eastAsia="宋体" w:cs="Times New Roman"/>
                <w:bCs/>
                <w:sz w:val="21"/>
                <w:szCs w:val="21"/>
              </w:rPr>
              <w:t>-N、TP、TN</w:t>
            </w:r>
          </w:p>
        </w:tc>
        <w:tc>
          <w:tcPr>
            <w:tcW w:w="688"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562"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4t</w:t>
            </w:r>
          </w:p>
        </w:tc>
        <w:tc>
          <w:tcPr>
            <w:tcW w:w="245"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448"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w:t>
            </w:r>
          </w:p>
        </w:tc>
        <w:tc>
          <w:tcPr>
            <w:tcW w:w="619" w:type="pc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eastAsia="zh-CN"/>
              </w:rPr>
              <w:t>漆渣</w:t>
            </w:r>
          </w:p>
        </w:tc>
        <w:tc>
          <w:tcPr>
            <w:tcW w:w="1323" w:type="pct"/>
            <w:vAlign w:val="center"/>
          </w:tcPr>
          <w:p>
            <w:pPr>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lang w:val="en-US" w:eastAsia="zh-CN"/>
              </w:rPr>
              <w:t>树脂、有机物</w:t>
            </w:r>
          </w:p>
        </w:tc>
        <w:tc>
          <w:tcPr>
            <w:tcW w:w="688"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8.1665t</w:t>
            </w:r>
          </w:p>
        </w:tc>
        <w:tc>
          <w:tcPr>
            <w:tcW w:w="562"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2t</w:t>
            </w:r>
          </w:p>
        </w:tc>
        <w:tc>
          <w:tcPr>
            <w:tcW w:w="245"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sz w:val="21"/>
                <w:szCs w:val="21"/>
                <w:lang w:val="en-US" w:eastAsia="zh-CN"/>
              </w:rPr>
              <w:t>袋</w:t>
            </w:r>
            <w:r>
              <w:rPr>
                <w:rFonts w:hint="default" w:ascii="Times New Roman" w:hAnsi="Times New Roman" w:eastAsia="宋体" w:cs="Times New Roman"/>
                <w:sz w:val="21"/>
                <w:szCs w:val="21"/>
              </w:rPr>
              <w:t>装</w:t>
            </w:r>
          </w:p>
        </w:tc>
        <w:tc>
          <w:tcPr>
            <w:tcW w:w="448"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eastAsia="zh-CN"/>
              </w:rPr>
              <w:t>废刷子</w:t>
            </w:r>
          </w:p>
        </w:tc>
        <w:tc>
          <w:tcPr>
            <w:tcW w:w="1323" w:type="pct"/>
            <w:vAlign w:val="center"/>
          </w:tcPr>
          <w:p>
            <w:pPr>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lang w:val="en-US" w:eastAsia="zh-CN"/>
              </w:rPr>
              <w:t>有机物</w:t>
            </w:r>
          </w:p>
        </w:tc>
        <w:tc>
          <w:tcPr>
            <w:tcW w:w="688"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0.02t</w:t>
            </w:r>
          </w:p>
        </w:tc>
        <w:tc>
          <w:tcPr>
            <w:tcW w:w="562"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0.02t</w:t>
            </w:r>
          </w:p>
        </w:tc>
        <w:tc>
          <w:tcPr>
            <w:tcW w:w="245"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袋装</w:t>
            </w:r>
          </w:p>
        </w:tc>
        <w:tc>
          <w:tcPr>
            <w:tcW w:w="448"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eastAsia="zh-CN"/>
              </w:rPr>
              <w:t>废包装桶</w:t>
            </w:r>
          </w:p>
        </w:tc>
        <w:tc>
          <w:tcPr>
            <w:tcW w:w="1323" w:type="pct"/>
            <w:vAlign w:val="center"/>
          </w:tcPr>
          <w:p>
            <w:pPr>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lang w:val="en-US" w:eastAsia="zh-CN"/>
              </w:rPr>
              <w:t>塑料、树脂</w:t>
            </w:r>
          </w:p>
        </w:tc>
        <w:tc>
          <w:tcPr>
            <w:tcW w:w="688"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0.5t</w:t>
            </w:r>
          </w:p>
        </w:tc>
        <w:tc>
          <w:tcPr>
            <w:tcW w:w="562"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0.2t</w:t>
            </w:r>
          </w:p>
        </w:tc>
        <w:tc>
          <w:tcPr>
            <w:tcW w:w="245"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sz w:val="21"/>
                <w:szCs w:val="21"/>
                <w:lang w:val="en-US" w:eastAsia="zh-CN"/>
              </w:rPr>
              <w:t>散装</w:t>
            </w:r>
          </w:p>
        </w:tc>
        <w:tc>
          <w:tcPr>
            <w:tcW w:w="448"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lang w:val="en-US" w:eastAsia="zh-CN"/>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eastAsia="zh-CN"/>
              </w:rPr>
              <w:t>空压机含油废液</w:t>
            </w:r>
          </w:p>
        </w:tc>
        <w:tc>
          <w:tcPr>
            <w:tcW w:w="1323" w:type="pct"/>
            <w:vAlign w:val="center"/>
          </w:tcPr>
          <w:p>
            <w:pPr>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lang w:val="en-US" w:eastAsia="zh-CN"/>
              </w:rPr>
              <w:t>油水混合物</w:t>
            </w:r>
          </w:p>
        </w:tc>
        <w:tc>
          <w:tcPr>
            <w:tcW w:w="688"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0.05t</w:t>
            </w:r>
          </w:p>
        </w:tc>
        <w:tc>
          <w:tcPr>
            <w:tcW w:w="562"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0.05t</w:t>
            </w:r>
          </w:p>
        </w:tc>
        <w:tc>
          <w:tcPr>
            <w:tcW w:w="245"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sz w:val="21"/>
                <w:szCs w:val="21"/>
                <w:lang w:val="en-US" w:eastAsia="zh-CN"/>
              </w:rPr>
              <w:t>桶装</w:t>
            </w:r>
          </w:p>
        </w:tc>
        <w:tc>
          <w:tcPr>
            <w:tcW w:w="448"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eastAsia="zh-CN"/>
              </w:rPr>
              <w:t>废过滤棉</w:t>
            </w:r>
          </w:p>
        </w:tc>
        <w:tc>
          <w:tcPr>
            <w:tcW w:w="1323" w:type="pct"/>
            <w:vAlign w:val="center"/>
          </w:tcPr>
          <w:p>
            <w:pPr>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lang w:val="en-US" w:eastAsia="zh-CN"/>
              </w:rPr>
              <w:t>有机物</w:t>
            </w:r>
          </w:p>
        </w:tc>
        <w:tc>
          <w:tcPr>
            <w:tcW w:w="688"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2.38t</w:t>
            </w:r>
          </w:p>
        </w:tc>
        <w:tc>
          <w:tcPr>
            <w:tcW w:w="562"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0.5t</w:t>
            </w:r>
          </w:p>
        </w:tc>
        <w:tc>
          <w:tcPr>
            <w:tcW w:w="24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袋装</w:t>
            </w:r>
          </w:p>
        </w:tc>
        <w:tc>
          <w:tcPr>
            <w:tcW w:w="448"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423" w:type="pct"/>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pPr>
              <w:jc w:val="center"/>
              <w:rPr>
                <w:rFonts w:hint="default" w:ascii="Times New Roman" w:hAnsi="Times New Roman" w:eastAsia="宋体" w:cs="Times New Roman"/>
                <w:bCs/>
                <w:sz w:val="21"/>
                <w:szCs w:val="21"/>
              </w:rPr>
            </w:pPr>
          </w:p>
        </w:tc>
        <w:tc>
          <w:tcPr>
            <w:tcW w:w="619"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zh-CN" w:eastAsia="zh-CN"/>
              </w:rPr>
              <w:t>废活性炭</w:t>
            </w:r>
          </w:p>
        </w:tc>
        <w:tc>
          <w:tcPr>
            <w:tcW w:w="1323"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活性炭、有机物</w:t>
            </w:r>
          </w:p>
        </w:tc>
        <w:tc>
          <w:tcPr>
            <w:tcW w:w="688"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46.1711t</w:t>
            </w:r>
          </w:p>
        </w:tc>
        <w:tc>
          <w:tcPr>
            <w:tcW w:w="562" w:type="pct"/>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2.5t</w:t>
            </w:r>
          </w:p>
        </w:tc>
        <w:tc>
          <w:tcPr>
            <w:tcW w:w="245" w:type="pct"/>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袋装</w:t>
            </w:r>
          </w:p>
        </w:tc>
        <w:tc>
          <w:tcPr>
            <w:tcW w:w="448" w:type="pct"/>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423" w:type="pct"/>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涉气</w:t>
            </w:r>
          </w:p>
        </w:tc>
      </w:tr>
    </w:tbl>
    <w:p>
      <w:pPr>
        <w:snapToGrid w:val="0"/>
        <w:spacing w:line="500" w:lineRule="exact"/>
        <w:jc w:val="center"/>
        <w:rPr>
          <w:rFonts w:eastAsiaTheme="minorEastAsia"/>
          <w:b/>
        </w:rPr>
      </w:pPr>
      <w:bookmarkStart w:id="104" w:name="_Toc32621"/>
      <w:bookmarkStart w:id="105" w:name="_Toc7621"/>
      <w:r>
        <w:rPr>
          <w:rFonts w:eastAsiaTheme="minorEastAsia"/>
          <w:b/>
        </w:rPr>
        <w:t>表</w:t>
      </w:r>
      <w:r>
        <w:rPr>
          <w:rFonts w:hint="eastAsia" w:eastAsiaTheme="minorEastAsia"/>
          <w:b/>
        </w:rPr>
        <w:t>3-8</w:t>
      </w:r>
      <w:r>
        <w:rPr>
          <w:rFonts w:hint="eastAsia" w:eastAsiaTheme="minorEastAsia"/>
          <w:b/>
          <w:color w:val="000000" w:themeColor="text1"/>
          <w14:textFill>
            <w14:solidFill>
              <w14:schemeClr w14:val="tx1"/>
            </w14:solidFill>
          </w14:textFill>
        </w:rPr>
        <w:t>公司原辅料理化性质</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03"/>
        <w:gridCol w:w="1004"/>
        <w:gridCol w:w="4441"/>
        <w:gridCol w:w="1326"/>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shd w:val="clear" w:color="auto" w:fill="auto"/>
            <w:vAlign w:val="center"/>
          </w:tcPr>
          <w:p>
            <w:pPr>
              <w:jc w:val="center"/>
              <w:rPr>
                <w:rFonts w:hint="default" w:ascii="Times New Roman" w:hAnsi="Times New Roman" w:eastAsia="宋体" w:cs="Times New Roman"/>
                <w:sz w:val="21"/>
                <w:szCs w:val="21"/>
                <w:lang w:val="en-US" w:eastAsia="zh-CN"/>
              </w:rPr>
            </w:pPr>
            <w:bookmarkStart w:id="106" w:name="_Toc31109"/>
            <w:r>
              <w:rPr>
                <w:rFonts w:hint="default" w:ascii="Times New Roman" w:hAnsi="Times New Roman" w:eastAsia="宋体" w:cs="Times New Roman"/>
                <w:sz w:val="21"/>
                <w:szCs w:val="21"/>
                <w:lang w:val="en-US" w:eastAsia="zh-CN"/>
              </w:rPr>
              <w:t>序号</w:t>
            </w:r>
          </w:p>
        </w:tc>
        <w:tc>
          <w:tcPr>
            <w:tcW w:w="971" w:type="pct"/>
            <w:gridSpan w:val="2"/>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148" w:type="pct"/>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理化性质</w:t>
            </w:r>
          </w:p>
        </w:tc>
        <w:tc>
          <w:tcPr>
            <w:tcW w:w="641"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危险特性</w:t>
            </w:r>
          </w:p>
        </w:tc>
        <w:tc>
          <w:tcPr>
            <w:tcW w:w="538" w:type="pct"/>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971" w:type="pct"/>
            <w:gridSpan w:val="2"/>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水性透明底漆</w:t>
            </w:r>
          </w:p>
        </w:tc>
        <w:tc>
          <w:tcPr>
            <w:tcW w:w="2148" w:type="pct"/>
            <w:shd w:val="clear" w:color="auto" w:fill="auto"/>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粘稠状白色液体，无刺激性气味，pH7-9。沸点约100℃。水溶性：可溶解于水。</w:t>
            </w:r>
          </w:p>
        </w:tc>
        <w:tc>
          <w:tcPr>
            <w:tcW w:w="641" w:type="pct"/>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遇明火高热可燃</w:t>
            </w:r>
          </w:p>
        </w:tc>
        <w:tc>
          <w:tcPr>
            <w:tcW w:w="538" w:type="pct"/>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971" w:type="pct"/>
            <w:gridSpan w:val="2"/>
            <w:shd w:val="clear" w:color="auto" w:fill="auto"/>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水性白底漆</w:t>
            </w:r>
          </w:p>
        </w:tc>
        <w:tc>
          <w:tcPr>
            <w:tcW w:w="2148" w:type="pct"/>
            <w:shd w:val="clear" w:color="auto" w:fill="auto"/>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粘稠状透明液体，无刺激性气味，pH7-9。沸点约100℃。水溶性：可溶解于水。 </w:t>
            </w:r>
          </w:p>
        </w:tc>
        <w:tc>
          <w:tcPr>
            <w:tcW w:w="641" w:type="pct"/>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遇明火高热可燃</w:t>
            </w:r>
          </w:p>
        </w:tc>
        <w:tc>
          <w:tcPr>
            <w:tcW w:w="538" w:type="pct"/>
            <w:shd w:val="clear" w:color="auto" w:fill="auto"/>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971" w:type="pct"/>
            <w:gridSpan w:val="2"/>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水性清面漆</w:t>
            </w:r>
          </w:p>
        </w:tc>
        <w:tc>
          <w:tcPr>
            <w:tcW w:w="2148" w:type="pct"/>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粘稠状透明液体，无刺激性气味，pH7-9。沸点约100℃。溶性:可溶解于水。</w:t>
            </w:r>
          </w:p>
        </w:tc>
        <w:tc>
          <w:tcPr>
            <w:tcW w:w="641"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遇明火高热可燃</w:t>
            </w:r>
          </w:p>
        </w:tc>
        <w:tc>
          <w:tcPr>
            <w:tcW w:w="538"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971" w:type="pct"/>
            <w:gridSpan w:val="2"/>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水性白面漆</w:t>
            </w:r>
          </w:p>
        </w:tc>
        <w:tc>
          <w:tcPr>
            <w:tcW w:w="2148" w:type="pct"/>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粘稠状白色液体，无刺激性气味，pH7-9。沸点约100℃。水溶性：可溶解于水。</w:t>
            </w:r>
          </w:p>
        </w:tc>
        <w:tc>
          <w:tcPr>
            <w:tcW w:w="641"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遇明火高热可燃</w:t>
            </w:r>
          </w:p>
        </w:tc>
        <w:tc>
          <w:tcPr>
            <w:tcW w:w="538"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485" w:type="pct"/>
            <w:vMerge w:val="restart"/>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水性漆</w:t>
            </w:r>
          </w:p>
        </w:tc>
        <w:tc>
          <w:tcPr>
            <w:tcW w:w="485" w:type="pct"/>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水性丙烯酸乳液</w:t>
            </w:r>
          </w:p>
        </w:tc>
        <w:tc>
          <w:tcPr>
            <w:tcW w:w="2148" w:type="pct"/>
            <w:shd w:val="clear" w:color="auto" w:fill="auto"/>
            <w:vAlign w:val="center"/>
          </w:tcPr>
          <w:p>
            <w:r>
              <w:rPr>
                <w:rFonts w:hint="default" w:ascii="Times New Roman" w:hAnsi="Times New Roman" w:eastAsia="宋体" w:cs="Times New Roman"/>
                <w:color w:val="000000"/>
                <w:kern w:val="0"/>
                <w:sz w:val="21"/>
                <w:szCs w:val="21"/>
                <w:lang w:val="en-US" w:eastAsia="zh-CN" w:bidi="ar"/>
              </w:rPr>
              <w:t xml:space="preserve">分子式(C3H4O2)n，无色或有色流体，有特殊芳香味，熔点：-47.9℃，沸点：139℃，相对密度（水＝1）：0.86，闪点 25℃，引燃温度：525℃。 </w:t>
            </w:r>
          </w:p>
          <w:p>
            <w:pPr>
              <w:widowControl/>
              <w:jc w:val="center"/>
              <w:rPr>
                <w:rFonts w:hint="default" w:ascii="Times New Roman" w:hAnsi="Times New Roman" w:eastAsia="宋体" w:cs="Times New Roman"/>
                <w:sz w:val="21"/>
                <w:szCs w:val="21"/>
              </w:rPr>
            </w:pPr>
          </w:p>
        </w:tc>
        <w:tc>
          <w:tcPr>
            <w:tcW w:w="641" w:type="pct"/>
            <w:shd w:val="clear" w:color="auto" w:fill="auto"/>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不燃</w:t>
            </w:r>
          </w:p>
        </w:tc>
        <w:tc>
          <w:tcPr>
            <w:tcW w:w="538" w:type="pct"/>
            <w:shd w:val="clear" w:color="auto" w:fill="auto"/>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485" w:type="pct"/>
            <w:vMerge w:val="continue"/>
            <w:shd w:val="clear" w:color="auto" w:fill="auto"/>
            <w:vAlign w:val="center"/>
          </w:tcPr>
          <w:p>
            <w:pPr>
              <w:jc w:val="center"/>
              <w:rPr>
                <w:rFonts w:hint="default" w:ascii="Times New Roman" w:hAnsi="Times New Roman" w:eastAsia="宋体" w:cs="Times New Roman"/>
                <w:sz w:val="21"/>
                <w:szCs w:val="21"/>
              </w:rPr>
            </w:pPr>
          </w:p>
        </w:tc>
        <w:tc>
          <w:tcPr>
            <w:tcW w:w="485" w:type="pct"/>
            <w:shd w:val="clear" w:color="auto" w:fill="auto"/>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聚氨酯树脂</w:t>
            </w:r>
          </w:p>
        </w:tc>
        <w:tc>
          <w:tcPr>
            <w:tcW w:w="2148" w:type="pct"/>
            <w:shd w:val="clear" w:color="auto" w:fill="auto"/>
            <w:vAlign w:val="center"/>
          </w:tcPr>
          <w:p>
            <w:r>
              <w:rPr>
                <w:rFonts w:hint="default" w:ascii="Times New Roman" w:hAnsi="Times New Roman" w:eastAsia="宋体" w:cs="Times New Roman"/>
                <w:color w:val="000000"/>
                <w:kern w:val="0"/>
                <w:sz w:val="21"/>
                <w:szCs w:val="21"/>
                <w:lang w:val="en-US" w:eastAsia="zh-CN" w:bidi="ar"/>
              </w:rPr>
              <w:t>根据分子量大小物态可从无臭无味的黄色液体至固体，沸点：155℃，用于涂料、粘合剂、玻璃纤维增强结构材料等。</w:t>
            </w:r>
          </w:p>
          <w:p>
            <w:pPr>
              <w:widowControl/>
              <w:jc w:val="center"/>
              <w:rPr>
                <w:rFonts w:hint="default" w:ascii="Times New Roman" w:hAnsi="Times New Roman" w:eastAsia="宋体" w:cs="Times New Roman"/>
                <w:sz w:val="21"/>
                <w:szCs w:val="21"/>
              </w:rPr>
            </w:pPr>
          </w:p>
        </w:tc>
        <w:tc>
          <w:tcPr>
            <w:tcW w:w="641" w:type="pct"/>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可燃</w:t>
            </w:r>
          </w:p>
        </w:tc>
        <w:tc>
          <w:tcPr>
            <w:tcW w:w="538" w:type="pct"/>
            <w:shd w:val="clear" w:color="auto" w:fill="auto"/>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大鼠经口LD50：11400mg/kg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485" w:type="pct"/>
            <w:vMerge w:val="continue"/>
            <w:shd w:val="clear" w:color="auto" w:fill="auto"/>
            <w:vAlign w:val="center"/>
          </w:tcPr>
          <w:p>
            <w:pPr>
              <w:jc w:val="center"/>
              <w:rPr>
                <w:rFonts w:hint="default" w:ascii="Times New Roman" w:hAnsi="Times New Roman" w:eastAsia="宋体" w:cs="Times New Roman"/>
                <w:sz w:val="21"/>
                <w:szCs w:val="21"/>
              </w:rPr>
            </w:pPr>
          </w:p>
        </w:tc>
        <w:tc>
          <w:tcPr>
            <w:tcW w:w="485" w:type="pct"/>
            <w:shd w:val="clear" w:color="auto" w:fill="auto"/>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二丙二醇丁醚 </w:t>
            </w:r>
          </w:p>
        </w:tc>
        <w:tc>
          <w:tcPr>
            <w:tcW w:w="2148" w:type="pct"/>
            <w:shd w:val="clear" w:color="auto" w:fill="auto"/>
            <w:vAlign w:val="center"/>
          </w:tcPr>
          <w:p>
            <w:r>
              <w:rPr>
                <w:rFonts w:hint="default" w:ascii="Times New Roman" w:hAnsi="Times New Roman" w:eastAsia="宋体" w:cs="Times New Roman"/>
                <w:color w:val="000000"/>
                <w:kern w:val="0"/>
                <w:sz w:val="21"/>
                <w:szCs w:val="21"/>
                <w:lang w:val="en-US" w:eastAsia="zh-CN" w:bidi="ar"/>
              </w:rPr>
              <w:t xml:space="preserve">CAS 号：29911-28 -2，分子式：C10 H22 O3，沸点：222℃，无色液体，溶于水 ，密度：0.93g/ml at 25℃。 </w:t>
            </w:r>
          </w:p>
          <w:p>
            <w:pPr>
              <w:widowControl/>
              <w:jc w:val="center"/>
              <w:rPr>
                <w:rFonts w:hint="default" w:ascii="Times New Roman" w:hAnsi="Times New Roman" w:eastAsia="宋体" w:cs="Times New Roman"/>
                <w:sz w:val="21"/>
                <w:szCs w:val="21"/>
              </w:rPr>
            </w:pPr>
          </w:p>
        </w:tc>
        <w:tc>
          <w:tcPr>
            <w:tcW w:w="641" w:type="pct"/>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可燃</w:t>
            </w:r>
          </w:p>
        </w:tc>
        <w:tc>
          <w:tcPr>
            <w:tcW w:w="538" w:type="pct"/>
            <w:shd w:val="clear" w:color="auto" w:fill="auto"/>
            <w:vAlign w:val="center"/>
          </w:tcPr>
          <w:p>
            <w:r>
              <w:rPr>
                <w:rFonts w:hint="default" w:ascii="Times New Roman" w:hAnsi="Times New Roman" w:eastAsia="宋体" w:cs="Times New Roman"/>
                <w:sz w:val="21"/>
                <w:szCs w:val="21"/>
                <w:lang w:val="en-US" w:eastAsia="zh-CN"/>
              </w:rPr>
              <w:t>/</w:t>
            </w:r>
          </w:p>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p>
        </w:tc>
        <w:tc>
          <w:tcPr>
            <w:tcW w:w="485" w:type="pct"/>
            <w:vMerge w:val="continue"/>
            <w:shd w:val="clear" w:color="auto" w:fill="auto"/>
            <w:vAlign w:val="center"/>
          </w:tcPr>
          <w:p>
            <w:pPr>
              <w:jc w:val="center"/>
              <w:rPr>
                <w:rFonts w:hint="default" w:ascii="Times New Roman" w:hAnsi="Times New Roman" w:eastAsia="宋体" w:cs="Times New Roman"/>
                <w:sz w:val="21"/>
                <w:szCs w:val="21"/>
              </w:rPr>
            </w:pPr>
          </w:p>
        </w:tc>
        <w:tc>
          <w:tcPr>
            <w:tcW w:w="485" w:type="pct"/>
            <w:shd w:val="clear" w:color="auto" w:fill="auto"/>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二丙二醇甲醚</w:t>
            </w:r>
          </w:p>
        </w:tc>
        <w:tc>
          <w:tcPr>
            <w:tcW w:w="2148" w:type="pct"/>
            <w:shd w:val="clear" w:color="auto" w:fill="auto"/>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无色透明粘稠液体。具有令人愉快的气味；沸点187.2℃，密度 0.96g/mL，闪点 85℃，与水互溶。</w:t>
            </w:r>
          </w:p>
        </w:tc>
        <w:tc>
          <w:tcPr>
            <w:tcW w:w="641" w:type="pct"/>
            <w:shd w:val="clear" w:color="auto" w:fill="auto"/>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可燃</w:t>
            </w:r>
          </w:p>
        </w:tc>
        <w:tc>
          <w:tcPr>
            <w:tcW w:w="538" w:type="pct"/>
            <w:shd w:val="clear" w:color="auto" w:fill="auto"/>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485"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白乳胶</w:t>
            </w:r>
          </w:p>
        </w:tc>
        <w:tc>
          <w:tcPr>
            <w:tcW w:w="485"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聚乙酸乙烯酯</w:t>
            </w:r>
          </w:p>
        </w:tc>
        <w:tc>
          <w:tcPr>
            <w:tcW w:w="2148" w:type="pct"/>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CAS 号为 9003-20-7，分子式 C4H6O2，醋酸乙烯酯经聚合生成的聚合物。是无定形聚合物，外观透明、溶于苯、丙酮和三氯甲烷等溶剂。密度（g/mL，25/4℃）：1.191，熔点（ºC）：60，加热到 250℃以上会分解出醋酸。</w:t>
            </w:r>
          </w:p>
        </w:tc>
        <w:tc>
          <w:tcPr>
            <w:tcW w:w="641"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可燃</w:t>
            </w:r>
          </w:p>
        </w:tc>
        <w:tc>
          <w:tcPr>
            <w:tcW w:w="538" w:type="pct"/>
            <w:shd w:val="clear" w:color="auto" w:fill="auto"/>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大鼠经口LD</w:t>
            </w:r>
            <w:r>
              <w:rPr>
                <w:rFonts w:hint="default" w:ascii="Times New Roman" w:hAnsi="Times New Roman" w:eastAsia="宋体" w:cs="Times New Roman"/>
                <w:sz w:val="21"/>
                <w:szCs w:val="21"/>
                <w:vertAlign w:val="subscript"/>
                <w:lang w:val="en-US" w:eastAsia="zh-CN"/>
              </w:rPr>
              <w:t>50</w:t>
            </w:r>
            <w:r>
              <w:rPr>
                <w:rFonts w:hint="default" w:ascii="Times New Roman" w:hAnsi="Times New Roman" w:eastAsia="宋体" w:cs="Times New Roman"/>
                <w:sz w:val="21"/>
                <w:szCs w:val="21"/>
                <w:lang w:val="en-US" w:eastAsia="zh-CN"/>
              </w:rPr>
              <w:t>：&gt;25mg/kg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w:t>
            </w:r>
          </w:p>
        </w:tc>
        <w:tc>
          <w:tcPr>
            <w:tcW w:w="971" w:type="pct"/>
            <w:gridSpan w:val="2"/>
            <w:shd w:val="clear" w:color="auto" w:fill="auto"/>
            <w:vAlign w:val="center"/>
          </w:tcPr>
          <w:p>
            <w:pPr>
              <w:widowControl/>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水性喷胶</w:t>
            </w:r>
          </w:p>
        </w:tc>
        <w:tc>
          <w:tcPr>
            <w:tcW w:w="2148"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单组份、水基型、无游离异氰酸酯单体聚氨酯胶黏剂，属国家重点发展的健康环保型胶黏剂。无毒、安全、无异味、无刺激性、无甲醛等有害气体释放、易清洁的特点。软硬度等性能可调节性好以及耐温、弹性好等优点。低粘度值、良好的喷雾及优异的粘结性能。耐水性优良。 </w:t>
            </w:r>
          </w:p>
        </w:tc>
        <w:tc>
          <w:tcPr>
            <w:tcW w:w="641"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538" w:type="pct"/>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bl>
    <w:p>
      <w:pPr>
        <w:pStyle w:val="4"/>
        <w:adjustRightInd w:val="0"/>
        <w:snapToGrid w:val="0"/>
        <w:spacing w:line="480" w:lineRule="exact"/>
        <w:rPr>
          <w:rFonts w:eastAsia="宋体"/>
          <w:sz w:val="24"/>
          <w:szCs w:val="24"/>
        </w:rPr>
      </w:pPr>
      <w:bookmarkStart w:id="107" w:name="_Toc24544"/>
      <w:r>
        <w:rPr>
          <w:rFonts w:eastAsia="宋体"/>
          <w:sz w:val="24"/>
          <w:szCs w:val="24"/>
        </w:rPr>
        <w:t xml:space="preserve">3.4 </w:t>
      </w:r>
      <w:r>
        <w:rPr>
          <w:rFonts w:hint="eastAsia" w:eastAsia="宋体"/>
          <w:sz w:val="24"/>
          <w:szCs w:val="24"/>
        </w:rPr>
        <w:t>环境</w:t>
      </w:r>
      <w:bookmarkEnd w:id="104"/>
      <w:r>
        <w:rPr>
          <w:rFonts w:hint="eastAsia" w:eastAsia="宋体"/>
          <w:sz w:val="24"/>
          <w:szCs w:val="24"/>
        </w:rPr>
        <w:t>风险单元识别</w:t>
      </w:r>
      <w:bookmarkEnd w:id="106"/>
      <w:bookmarkEnd w:id="107"/>
    </w:p>
    <w:p>
      <w:pPr>
        <w:pStyle w:val="13"/>
        <w:spacing w:after="0" w:line="500" w:lineRule="exact"/>
        <w:ind w:firstLine="480" w:firstLineChars="200"/>
        <w:rPr>
          <w:rFonts w:eastAsia="宋体"/>
        </w:rPr>
      </w:pPr>
      <w:r>
        <w:rPr>
          <w:rFonts w:eastAsia="宋体"/>
        </w:rPr>
        <w:t>环境风险单元指长期或短期生产、加工、使用或储存环境风险物质的一个（套）生产装置、设施（贮存容器、管道等）及环保处理设施或同属一个企业且边缘距离小于500米的几个（套）生产装置、设施或场所。</w:t>
      </w:r>
    </w:p>
    <w:p>
      <w:pPr>
        <w:pStyle w:val="13"/>
        <w:spacing w:after="0" w:line="500" w:lineRule="exact"/>
        <w:ind w:firstLine="480" w:firstLineChars="200"/>
        <w:rPr>
          <w:rFonts w:eastAsia="宋体"/>
        </w:rPr>
      </w:pPr>
      <w:r>
        <w:rPr>
          <w:rFonts w:eastAsia="宋体"/>
        </w:rPr>
        <w:t>公司环境风险单元有</w:t>
      </w:r>
      <w:r>
        <w:rPr>
          <w:rFonts w:hint="eastAsia" w:eastAsia="宋体"/>
        </w:rPr>
        <w:t>油漆仓库</w:t>
      </w:r>
      <w:r>
        <w:rPr>
          <w:rFonts w:eastAsia="宋体"/>
        </w:rPr>
        <w:t>、</w:t>
      </w:r>
      <w:r>
        <w:rPr>
          <w:rFonts w:hint="eastAsia" w:eastAsia="宋体"/>
        </w:rPr>
        <w:t>生产车间、</w:t>
      </w:r>
      <w:r>
        <w:rPr>
          <w:rFonts w:eastAsia="宋体"/>
        </w:rPr>
        <w:t>危废仓库</w:t>
      </w:r>
      <w:r>
        <w:rPr>
          <w:rFonts w:hint="eastAsia" w:eastAsia="宋体"/>
        </w:rPr>
        <w:t>等</w:t>
      </w:r>
      <w:r>
        <w:rPr>
          <w:rFonts w:eastAsia="宋体"/>
        </w:rPr>
        <w:t>，根据环保部《企业突发环境事件风险分级方法》（HJ941-2018），重要环境风险单元识别见表3-</w:t>
      </w:r>
      <w:r>
        <w:rPr>
          <w:rFonts w:hint="eastAsia" w:eastAsia="宋体"/>
        </w:rPr>
        <w:t>9</w:t>
      </w:r>
      <w:r>
        <w:rPr>
          <w:rFonts w:eastAsia="宋体"/>
        </w:rPr>
        <w:t>。</w:t>
      </w:r>
    </w:p>
    <w:p>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9</w:t>
      </w:r>
      <w:r>
        <w:rPr>
          <w:rFonts w:eastAsia="宋体"/>
          <w:b/>
          <w:color w:val="000000" w:themeColor="text1"/>
          <w14:textFill>
            <w14:solidFill>
              <w14:schemeClr w14:val="tx1"/>
            </w14:solidFill>
          </w14:textFill>
        </w:rPr>
        <w:t xml:space="preserve">  </w:t>
      </w:r>
      <w:r>
        <w:rPr>
          <w:rFonts w:hint="eastAsia" w:eastAsia="宋体"/>
          <w:b/>
          <w:color w:val="000000" w:themeColor="text1"/>
          <w14:textFill>
            <w14:solidFill>
              <w14:schemeClr w14:val="tx1"/>
            </w14:solidFill>
          </w14:textFill>
        </w:rPr>
        <w:t>重要环境风险单元识别表</w:t>
      </w:r>
    </w:p>
    <w:tbl>
      <w:tblPr>
        <w:tblStyle w:val="38"/>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pPr>
              <w:pStyle w:val="142"/>
              <w:rPr>
                <w:b/>
                <w:sz w:val="21"/>
              </w:rPr>
            </w:pPr>
            <w:r>
              <w:rPr>
                <w:b/>
                <w:sz w:val="21"/>
              </w:rPr>
              <w:t>环境风险</w:t>
            </w:r>
          </w:p>
          <w:p>
            <w:pPr>
              <w:pStyle w:val="142"/>
              <w:rPr>
                <w:b/>
                <w:sz w:val="21"/>
              </w:rPr>
            </w:pPr>
            <w:r>
              <w:rPr>
                <w:b/>
                <w:sz w:val="21"/>
              </w:rPr>
              <w:t>单元</w:t>
            </w:r>
          </w:p>
        </w:tc>
        <w:tc>
          <w:tcPr>
            <w:tcW w:w="1984" w:type="dxa"/>
            <w:tcBorders>
              <w:tl2br w:val="nil"/>
              <w:tr2bl w:val="nil"/>
            </w:tcBorders>
            <w:vAlign w:val="center"/>
          </w:tcPr>
          <w:p>
            <w:pPr>
              <w:pStyle w:val="142"/>
              <w:rPr>
                <w:b/>
                <w:sz w:val="21"/>
              </w:rPr>
            </w:pPr>
            <w:r>
              <w:rPr>
                <w:b/>
                <w:sz w:val="21"/>
              </w:rPr>
              <w:t>风险物质名称</w:t>
            </w:r>
          </w:p>
        </w:tc>
        <w:tc>
          <w:tcPr>
            <w:tcW w:w="1437" w:type="dxa"/>
            <w:tcBorders>
              <w:tl2br w:val="nil"/>
              <w:tr2bl w:val="nil"/>
            </w:tcBorders>
            <w:vAlign w:val="center"/>
          </w:tcPr>
          <w:p>
            <w:pPr>
              <w:pStyle w:val="142"/>
              <w:rPr>
                <w:b/>
                <w:sz w:val="21"/>
              </w:rPr>
            </w:pPr>
            <w:r>
              <w:rPr>
                <w:b/>
                <w:sz w:val="21"/>
              </w:rPr>
              <w:t>最大存在总</w:t>
            </w:r>
          </w:p>
          <w:p>
            <w:pPr>
              <w:pStyle w:val="142"/>
              <w:rPr>
                <w:b/>
                <w:sz w:val="21"/>
              </w:rPr>
            </w:pPr>
            <w:r>
              <w:rPr>
                <w:b/>
                <w:sz w:val="21"/>
              </w:rPr>
              <w:t xml:space="preserve">量 </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pPr>
              <w:pStyle w:val="142"/>
              <w:rPr>
                <w:rFonts w:ascii="Times New Roman" w:eastAsia="Times New Roman"/>
                <w:b/>
                <w:sz w:val="21"/>
              </w:rPr>
            </w:pPr>
            <w:r>
              <w:rPr>
                <w:b/>
                <w:sz w:val="21"/>
              </w:rPr>
              <w:t xml:space="preserve">临界量 </w:t>
            </w:r>
            <w:r>
              <w:rPr>
                <w:rFonts w:ascii="Times New Roman" w:eastAsia="Times New Roman"/>
                <w:b/>
                <w:sz w:val="21"/>
              </w:rPr>
              <w:t>Qi</w:t>
            </w:r>
          </w:p>
          <w:p>
            <w:pPr>
              <w:pStyle w:val="142"/>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pPr>
              <w:pStyle w:val="142"/>
              <w:rPr>
                <w:rFonts w:ascii="Times New Roman"/>
                <w:b/>
                <w:sz w:val="21"/>
              </w:rPr>
            </w:pPr>
            <w:r>
              <w:rPr>
                <w:rFonts w:ascii="Times New Roman"/>
                <w:b/>
                <w:sz w:val="21"/>
              </w:rPr>
              <w:t>qi/Qi</w:t>
            </w:r>
          </w:p>
        </w:tc>
        <w:tc>
          <w:tcPr>
            <w:tcW w:w="1570" w:type="dxa"/>
            <w:tcBorders>
              <w:tl2br w:val="nil"/>
              <w:tr2bl w:val="nil"/>
            </w:tcBorders>
            <w:vAlign w:val="center"/>
          </w:tcPr>
          <w:p>
            <w:pPr>
              <w:pStyle w:val="142"/>
              <w:rPr>
                <w:b/>
                <w:sz w:val="21"/>
              </w:rPr>
            </w:pPr>
            <w:r>
              <w:rPr>
                <w:b/>
                <w:sz w:val="21"/>
              </w:rPr>
              <w:t>是否重要环境</w:t>
            </w:r>
          </w:p>
          <w:p>
            <w:pPr>
              <w:pStyle w:val="142"/>
              <w:rPr>
                <w:b/>
                <w:sz w:val="21"/>
              </w:rPr>
            </w:pPr>
            <w:r>
              <w:rPr>
                <w:b/>
                <w:sz w:val="21"/>
              </w:rPr>
              <w:t>风险单元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pPr>
              <w:pStyle w:val="142"/>
              <w:rPr>
                <w:sz w:val="21"/>
              </w:rPr>
            </w:pPr>
            <w:r>
              <w:rPr>
                <w:rFonts w:hint="eastAsia" w:ascii="Times New Roman" w:hAnsi="Times New Roman" w:cs="Times New Roman"/>
                <w:sz w:val="21"/>
                <w:szCs w:val="21"/>
              </w:rPr>
              <w:t>油漆仓库</w:t>
            </w:r>
          </w:p>
        </w:tc>
        <w:tc>
          <w:tcPr>
            <w:tcW w:w="1984"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rPr>
              <w:t>水性透明底漆</w:t>
            </w:r>
          </w:p>
        </w:tc>
        <w:tc>
          <w:tcPr>
            <w:tcW w:w="1437" w:type="dxa"/>
            <w:tcBorders>
              <w:tl2br w:val="nil"/>
              <w:tr2bl w:val="nil"/>
            </w:tcBorders>
            <w:vAlign w:val="center"/>
          </w:tcPr>
          <w:p>
            <w:pPr>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6</w:t>
            </w:r>
          </w:p>
        </w:tc>
        <w:tc>
          <w:tcPr>
            <w:tcW w:w="1300" w:type="dxa"/>
            <w:tcBorders>
              <w:tl2br w:val="nil"/>
              <w:tr2bl w:val="nil"/>
            </w:tcBorders>
            <w:vAlign w:val="center"/>
          </w:tcPr>
          <w:p>
            <w:pPr>
              <w:pStyle w:val="142"/>
              <w:rPr>
                <w:rFonts w:ascii="Times New Roman"/>
                <w:sz w:val="21"/>
              </w:rPr>
            </w:pPr>
            <w:r>
              <w:rPr>
                <w:rFonts w:hint="eastAsia" w:ascii="Times New Roman"/>
                <w:sz w:val="21"/>
              </w:rPr>
              <w:t>100</w:t>
            </w:r>
          </w:p>
        </w:tc>
        <w:tc>
          <w:tcPr>
            <w:tcW w:w="1232" w:type="dxa"/>
            <w:tcBorders>
              <w:tl2br w:val="nil"/>
              <w:tr2bl w:val="nil"/>
            </w:tcBorders>
            <w:vAlign w:val="center"/>
          </w:tcPr>
          <w:p>
            <w:pPr>
              <w:pStyle w:val="142"/>
              <w:rPr>
                <w:rFonts w:ascii="Times New Roman"/>
                <w:sz w:val="21"/>
              </w:rPr>
            </w:pPr>
            <w:r>
              <w:rPr>
                <w:rFonts w:hint="eastAsia" w:ascii="Times New Roman"/>
                <w:sz w:val="21"/>
                <w:lang w:val="en-US" w:eastAsia="zh-CN"/>
              </w:rPr>
              <w:t>0.006</w:t>
            </w:r>
          </w:p>
        </w:tc>
        <w:tc>
          <w:tcPr>
            <w:tcW w:w="1570" w:type="dxa"/>
            <w:vMerge w:val="restart"/>
            <w:tcBorders>
              <w:tl2br w:val="nil"/>
              <w:tr2bl w:val="nil"/>
            </w:tcBorders>
            <w:vAlign w:val="center"/>
          </w:tcPr>
          <w:p>
            <w:pPr>
              <w:pStyle w:val="142"/>
              <w:rPr>
                <w:sz w:val="21"/>
              </w:rPr>
            </w:pPr>
            <w:r>
              <w:rPr>
                <w:rFonts w:hint="eastAsia"/>
                <w:sz w:val="21"/>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pStyle w:val="142"/>
              <w:rPr>
                <w:sz w:val="21"/>
              </w:rPr>
            </w:pPr>
          </w:p>
        </w:tc>
        <w:tc>
          <w:tcPr>
            <w:tcW w:w="1984"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rPr>
              <w:t>水性白底漆</w:t>
            </w:r>
          </w:p>
        </w:tc>
        <w:tc>
          <w:tcPr>
            <w:tcW w:w="1437" w:type="dxa"/>
            <w:tcBorders>
              <w:tl2br w:val="nil"/>
              <w:tr2bl w:val="nil"/>
            </w:tcBorders>
            <w:vAlign w:val="center"/>
          </w:tcPr>
          <w:p>
            <w:pPr>
              <w:jc w:val="center"/>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4</w:t>
            </w:r>
          </w:p>
        </w:tc>
        <w:tc>
          <w:tcPr>
            <w:tcW w:w="1300" w:type="dxa"/>
            <w:tcBorders>
              <w:tl2br w:val="nil"/>
              <w:tr2bl w:val="nil"/>
            </w:tcBorders>
            <w:vAlign w:val="center"/>
          </w:tcPr>
          <w:p>
            <w:pPr>
              <w:pStyle w:val="142"/>
              <w:rPr>
                <w:rFonts w:ascii="Times New Roman"/>
                <w:sz w:val="21"/>
              </w:rPr>
            </w:pPr>
            <w:r>
              <w:rPr>
                <w:rFonts w:hint="eastAsia" w:ascii="Times New Roman"/>
                <w:sz w:val="21"/>
              </w:rPr>
              <w:t>100</w:t>
            </w:r>
          </w:p>
        </w:tc>
        <w:tc>
          <w:tcPr>
            <w:tcW w:w="1232" w:type="dxa"/>
            <w:tcBorders>
              <w:tl2br w:val="nil"/>
              <w:tr2bl w:val="nil"/>
            </w:tcBorders>
            <w:vAlign w:val="center"/>
          </w:tcPr>
          <w:p>
            <w:pPr>
              <w:pStyle w:val="142"/>
              <w:rPr>
                <w:rFonts w:ascii="Times New Roman"/>
                <w:sz w:val="21"/>
              </w:rPr>
            </w:pPr>
            <w:r>
              <w:rPr>
                <w:rFonts w:hint="eastAsia" w:ascii="Times New Roman"/>
                <w:sz w:val="21"/>
                <w:lang w:val="en-US" w:eastAsia="zh-CN"/>
              </w:rPr>
              <w:t>0.004</w:t>
            </w:r>
          </w:p>
        </w:tc>
        <w:tc>
          <w:tcPr>
            <w:tcW w:w="1570" w:type="dxa"/>
            <w:vMerge w:val="continue"/>
            <w:tcBorders>
              <w:tl2br w:val="nil"/>
              <w:tr2bl w:val="nil"/>
            </w:tcBorders>
            <w:vAlign w:val="center"/>
          </w:tcPr>
          <w:p>
            <w:pPr>
              <w:pStyle w:val="142"/>
              <w:rPr>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pStyle w:val="142"/>
              <w:rPr>
                <w:sz w:val="21"/>
              </w:rPr>
            </w:pPr>
          </w:p>
        </w:tc>
        <w:tc>
          <w:tcPr>
            <w:tcW w:w="1984"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水性清面漆</w:t>
            </w:r>
          </w:p>
        </w:tc>
        <w:tc>
          <w:tcPr>
            <w:tcW w:w="143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0.2</w:t>
            </w:r>
          </w:p>
        </w:tc>
        <w:tc>
          <w:tcPr>
            <w:tcW w:w="1300" w:type="dxa"/>
            <w:tcBorders>
              <w:tl2br w:val="nil"/>
              <w:tr2bl w:val="nil"/>
            </w:tcBorders>
            <w:vAlign w:val="center"/>
          </w:tcPr>
          <w:p>
            <w:pPr>
              <w:pStyle w:val="142"/>
              <w:rPr>
                <w:rFonts w:ascii="Times New Roman"/>
                <w:sz w:val="21"/>
              </w:rPr>
            </w:pPr>
            <w:r>
              <w:rPr>
                <w:rFonts w:hint="eastAsia" w:ascii="Times New Roman"/>
                <w:sz w:val="21"/>
              </w:rPr>
              <w:t>100</w:t>
            </w:r>
          </w:p>
        </w:tc>
        <w:tc>
          <w:tcPr>
            <w:tcW w:w="1232" w:type="dxa"/>
            <w:tcBorders>
              <w:tl2br w:val="nil"/>
              <w:tr2bl w:val="nil"/>
            </w:tcBorders>
            <w:vAlign w:val="center"/>
          </w:tcPr>
          <w:p>
            <w:pPr>
              <w:pStyle w:val="142"/>
              <w:rPr>
                <w:rFonts w:ascii="Times New Roman"/>
                <w:sz w:val="21"/>
              </w:rPr>
            </w:pPr>
            <w:r>
              <w:rPr>
                <w:rFonts w:hint="eastAsia" w:ascii="Times New Roman"/>
                <w:sz w:val="21"/>
                <w:lang w:val="en-US" w:eastAsia="zh-CN"/>
              </w:rPr>
              <w:t>0.002</w:t>
            </w:r>
          </w:p>
        </w:tc>
        <w:tc>
          <w:tcPr>
            <w:tcW w:w="1570" w:type="dxa"/>
            <w:vMerge w:val="continue"/>
            <w:tcBorders>
              <w:tl2br w:val="nil"/>
              <w:tr2bl w:val="nil"/>
            </w:tcBorders>
            <w:vAlign w:val="center"/>
          </w:tcPr>
          <w:p>
            <w:pPr>
              <w:pStyle w:val="142"/>
              <w:rPr>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pStyle w:val="142"/>
              <w:rPr>
                <w:sz w:val="21"/>
              </w:rPr>
            </w:pPr>
          </w:p>
        </w:tc>
        <w:tc>
          <w:tcPr>
            <w:tcW w:w="1984"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水性白面漆</w:t>
            </w:r>
          </w:p>
        </w:tc>
        <w:tc>
          <w:tcPr>
            <w:tcW w:w="143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0.2</w:t>
            </w:r>
          </w:p>
        </w:tc>
        <w:tc>
          <w:tcPr>
            <w:tcW w:w="1300" w:type="dxa"/>
            <w:tcBorders>
              <w:tl2br w:val="nil"/>
              <w:tr2bl w:val="nil"/>
            </w:tcBorders>
            <w:vAlign w:val="center"/>
          </w:tcPr>
          <w:p>
            <w:pPr>
              <w:pStyle w:val="142"/>
              <w:rPr>
                <w:rFonts w:ascii="Times New Roman"/>
                <w:sz w:val="21"/>
              </w:rPr>
            </w:pPr>
            <w:r>
              <w:rPr>
                <w:rFonts w:hint="eastAsia" w:ascii="Times New Roman"/>
                <w:sz w:val="21"/>
              </w:rPr>
              <w:t>100</w:t>
            </w:r>
          </w:p>
        </w:tc>
        <w:tc>
          <w:tcPr>
            <w:tcW w:w="1232" w:type="dxa"/>
            <w:tcBorders>
              <w:tl2br w:val="nil"/>
              <w:tr2bl w:val="nil"/>
            </w:tcBorders>
            <w:vAlign w:val="center"/>
          </w:tcPr>
          <w:p>
            <w:pPr>
              <w:pStyle w:val="142"/>
              <w:rPr>
                <w:rFonts w:ascii="Times New Roman"/>
                <w:sz w:val="21"/>
              </w:rPr>
            </w:pPr>
            <w:r>
              <w:rPr>
                <w:rFonts w:hint="eastAsia" w:ascii="Times New Roman"/>
                <w:sz w:val="21"/>
                <w:lang w:val="en-US" w:eastAsia="zh-CN"/>
              </w:rPr>
              <w:t>0.002</w:t>
            </w:r>
          </w:p>
        </w:tc>
        <w:tc>
          <w:tcPr>
            <w:tcW w:w="1570" w:type="dxa"/>
            <w:vMerge w:val="continue"/>
            <w:tcBorders>
              <w:tl2br w:val="nil"/>
              <w:tr2bl w:val="nil"/>
            </w:tcBorders>
            <w:vAlign w:val="center"/>
          </w:tcPr>
          <w:p>
            <w:pPr>
              <w:pStyle w:val="142"/>
              <w:rPr>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pStyle w:val="142"/>
              <w:rPr>
                <w:sz w:val="21"/>
              </w:rPr>
            </w:pPr>
          </w:p>
        </w:tc>
        <w:tc>
          <w:tcPr>
            <w:tcW w:w="1984"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水性漆用固化剂</w:t>
            </w:r>
          </w:p>
        </w:tc>
        <w:tc>
          <w:tcPr>
            <w:tcW w:w="143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0.2</w:t>
            </w:r>
          </w:p>
        </w:tc>
        <w:tc>
          <w:tcPr>
            <w:tcW w:w="130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232"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lang w:val="en-US" w:eastAsia="zh-CN"/>
              </w:rPr>
              <w:t>0.002</w:t>
            </w:r>
          </w:p>
        </w:tc>
        <w:tc>
          <w:tcPr>
            <w:tcW w:w="1570" w:type="dxa"/>
            <w:vMerge w:val="continue"/>
            <w:tcBorders>
              <w:tl2br w:val="nil"/>
              <w:tr2bl w:val="nil"/>
            </w:tcBorders>
            <w:vAlign w:val="center"/>
          </w:tcPr>
          <w:p>
            <w:pPr>
              <w:pStyle w:val="142"/>
              <w:rPr>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pStyle w:val="142"/>
              <w:rPr>
                <w:sz w:val="21"/>
              </w:rPr>
            </w:pPr>
          </w:p>
        </w:tc>
        <w:tc>
          <w:tcPr>
            <w:tcW w:w="1984"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白乳胶</w:t>
            </w:r>
          </w:p>
        </w:tc>
        <w:tc>
          <w:tcPr>
            <w:tcW w:w="143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w:t>
            </w:r>
          </w:p>
        </w:tc>
        <w:tc>
          <w:tcPr>
            <w:tcW w:w="130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232"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lang w:val="en-US" w:eastAsia="zh-CN"/>
              </w:rPr>
              <w:t>0.001</w:t>
            </w:r>
          </w:p>
        </w:tc>
        <w:tc>
          <w:tcPr>
            <w:tcW w:w="1570" w:type="dxa"/>
            <w:vMerge w:val="continue"/>
            <w:tcBorders>
              <w:tl2br w:val="nil"/>
              <w:tr2bl w:val="nil"/>
            </w:tcBorders>
            <w:vAlign w:val="center"/>
          </w:tcPr>
          <w:p>
            <w:pPr>
              <w:pStyle w:val="142"/>
              <w:rPr>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pStyle w:val="142"/>
              <w:rPr>
                <w:sz w:val="21"/>
              </w:rPr>
            </w:pPr>
          </w:p>
        </w:tc>
        <w:tc>
          <w:tcPr>
            <w:tcW w:w="1984"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水性喷胶</w:t>
            </w:r>
          </w:p>
        </w:tc>
        <w:tc>
          <w:tcPr>
            <w:tcW w:w="143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w:t>
            </w:r>
          </w:p>
        </w:tc>
        <w:tc>
          <w:tcPr>
            <w:tcW w:w="130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232"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lang w:val="en-US" w:eastAsia="zh-CN"/>
              </w:rPr>
              <w:t>0.001</w:t>
            </w:r>
          </w:p>
        </w:tc>
        <w:tc>
          <w:tcPr>
            <w:tcW w:w="1570" w:type="dxa"/>
            <w:vMerge w:val="continue"/>
            <w:tcBorders>
              <w:tl2br w:val="nil"/>
              <w:tr2bl w:val="nil"/>
            </w:tcBorders>
            <w:vAlign w:val="center"/>
          </w:tcPr>
          <w:p>
            <w:pPr>
              <w:pStyle w:val="142"/>
              <w:rPr>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pPr>
              <w:pStyle w:val="142"/>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lang w:val="en-US" w:eastAsia="zh-CN"/>
              </w:rPr>
              <w:t>0.018</w:t>
            </w:r>
          </w:p>
        </w:tc>
        <w:tc>
          <w:tcPr>
            <w:tcW w:w="1570" w:type="dxa"/>
            <w:vMerge w:val="continue"/>
            <w:tcBorders>
              <w:tl2br w:val="nil"/>
              <w:tr2bl w:val="nil"/>
            </w:tcBorders>
            <w:vAlign w:val="center"/>
          </w:tcPr>
          <w:p>
            <w:pPr>
              <w:jc w:val="center"/>
              <w:rPr>
                <w:rFonts w:ascii="宋体" w:hAnsi="宋体" w:eastAsia="宋体" w:cs="宋体"/>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生产车间</w:t>
            </w:r>
          </w:p>
        </w:tc>
        <w:tc>
          <w:tcPr>
            <w:tcW w:w="1984"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rPr>
              <w:t>水性透明底漆</w:t>
            </w:r>
          </w:p>
        </w:tc>
        <w:tc>
          <w:tcPr>
            <w:tcW w:w="1437"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lang w:val="en-US" w:eastAsia="zh-CN"/>
              </w:rPr>
              <w:t>0.02</w:t>
            </w:r>
          </w:p>
        </w:tc>
        <w:tc>
          <w:tcPr>
            <w:tcW w:w="1300"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100</w:t>
            </w:r>
          </w:p>
        </w:tc>
        <w:tc>
          <w:tcPr>
            <w:tcW w:w="1232" w:type="dxa"/>
            <w:tcBorders>
              <w:tl2br w:val="nil"/>
              <w:tr2bl w:val="nil"/>
            </w:tcBorders>
            <w:vAlign w:val="center"/>
          </w:tcPr>
          <w:p>
            <w:pPr>
              <w:pStyle w:val="142"/>
              <w:rPr>
                <w:rFonts w:ascii="Times New Roman"/>
                <w:sz w:val="21"/>
              </w:rPr>
            </w:pPr>
            <w:r>
              <w:rPr>
                <w:rFonts w:hint="eastAsia" w:ascii="Times New Roman"/>
                <w:sz w:val="21"/>
                <w:lang w:val="en-US" w:eastAsia="zh-CN"/>
              </w:rPr>
              <w:t>0.0002</w:t>
            </w:r>
          </w:p>
        </w:tc>
        <w:tc>
          <w:tcPr>
            <w:tcW w:w="1570" w:type="dxa"/>
            <w:vMerge w:val="restart"/>
            <w:tcBorders>
              <w:tl2br w:val="nil"/>
              <w:tr2bl w:val="nil"/>
            </w:tcBorders>
            <w:vAlign w:val="center"/>
          </w:tcPr>
          <w:p>
            <w:pPr>
              <w:jc w:val="center"/>
              <w:rPr>
                <w:rFonts w:ascii="宋体" w:hAnsi="宋体" w:eastAsia="宋体" w:cs="宋体"/>
                <w:sz w:val="21"/>
              </w:rPr>
            </w:pPr>
            <w:r>
              <w:rPr>
                <w:rFonts w:hint="eastAsia" w:ascii="宋体" w:hAnsi="宋体" w:eastAsia="宋体" w:cs="宋体"/>
                <w:sz w:val="21"/>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pPr>
              <w:pStyle w:val="142"/>
              <w:rPr>
                <w:rFonts w:ascii="Times New Roman" w:hAnsi="Times New Roman"/>
                <w:bCs/>
                <w:sz w:val="21"/>
              </w:rPr>
            </w:pPr>
          </w:p>
        </w:tc>
        <w:tc>
          <w:tcPr>
            <w:tcW w:w="1984"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rPr>
              <w:t>水性白底漆</w:t>
            </w:r>
          </w:p>
        </w:tc>
        <w:tc>
          <w:tcPr>
            <w:tcW w:w="1437"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lang w:val="en-US" w:eastAsia="zh-CN"/>
              </w:rPr>
              <w:t>0.02</w:t>
            </w:r>
          </w:p>
        </w:tc>
        <w:tc>
          <w:tcPr>
            <w:tcW w:w="1300"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100</w:t>
            </w:r>
          </w:p>
        </w:tc>
        <w:tc>
          <w:tcPr>
            <w:tcW w:w="1232" w:type="dxa"/>
            <w:tcBorders>
              <w:tl2br w:val="nil"/>
              <w:tr2bl w:val="nil"/>
            </w:tcBorders>
            <w:vAlign w:val="center"/>
          </w:tcPr>
          <w:p>
            <w:pPr>
              <w:pStyle w:val="142"/>
              <w:rPr>
                <w:rFonts w:ascii="Times New Roman"/>
                <w:sz w:val="21"/>
              </w:rPr>
            </w:pPr>
            <w:r>
              <w:rPr>
                <w:rFonts w:hint="eastAsia" w:ascii="Times New Roman"/>
                <w:sz w:val="21"/>
                <w:lang w:val="en-US" w:eastAsia="zh-CN"/>
              </w:rPr>
              <w:t>0.0002</w:t>
            </w:r>
          </w:p>
        </w:tc>
        <w:tc>
          <w:tcPr>
            <w:tcW w:w="1570" w:type="dxa"/>
            <w:vMerge w:val="continue"/>
            <w:tcBorders>
              <w:tl2br w:val="nil"/>
              <w:tr2bl w:val="nil"/>
            </w:tcBorders>
            <w:vAlign w:val="center"/>
          </w:tcPr>
          <w:p>
            <w:pPr>
              <w:jc w:val="center"/>
              <w:rPr>
                <w:rFonts w:ascii="宋体" w:hAnsi="宋体" w:eastAsia="宋体" w:cs="宋体"/>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pPr>
              <w:pStyle w:val="142"/>
              <w:rPr>
                <w:rFonts w:ascii="Times New Roman" w:hAnsi="Times New Roman"/>
                <w:bCs/>
                <w:sz w:val="21"/>
              </w:rPr>
            </w:pPr>
          </w:p>
        </w:tc>
        <w:tc>
          <w:tcPr>
            <w:tcW w:w="1984"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水性清面漆</w:t>
            </w:r>
          </w:p>
        </w:tc>
        <w:tc>
          <w:tcPr>
            <w:tcW w:w="1437"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lang w:val="en-US" w:eastAsia="zh-CN"/>
              </w:rPr>
              <w:t>0.02</w:t>
            </w:r>
          </w:p>
        </w:tc>
        <w:tc>
          <w:tcPr>
            <w:tcW w:w="1300"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100</w:t>
            </w:r>
          </w:p>
        </w:tc>
        <w:tc>
          <w:tcPr>
            <w:tcW w:w="1232" w:type="dxa"/>
            <w:tcBorders>
              <w:tl2br w:val="nil"/>
              <w:tr2bl w:val="nil"/>
            </w:tcBorders>
            <w:vAlign w:val="center"/>
          </w:tcPr>
          <w:p>
            <w:pPr>
              <w:pStyle w:val="142"/>
              <w:rPr>
                <w:rFonts w:ascii="Times New Roman"/>
                <w:sz w:val="21"/>
              </w:rPr>
            </w:pPr>
            <w:r>
              <w:rPr>
                <w:rFonts w:hint="eastAsia" w:ascii="Times New Roman"/>
                <w:sz w:val="21"/>
                <w:lang w:val="en-US" w:eastAsia="zh-CN"/>
              </w:rPr>
              <w:t>0.0002</w:t>
            </w:r>
          </w:p>
        </w:tc>
        <w:tc>
          <w:tcPr>
            <w:tcW w:w="1570" w:type="dxa"/>
            <w:vMerge w:val="continue"/>
            <w:tcBorders>
              <w:tl2br w:val="nil"/>
              <w:tr2bl w:val="nil"/>
            </w:tcBorders>
            <w:vAlign w:val="center"/>
          </w:tcPr>
          <w:p>
            <w:pPr>
              <w:jc w:val="center"/>
              <w:rPr>
                <w:rFonts w:ascii="宋体" w:hAnsi="宋体" w:eastAsia="宋体" w:cs="宋体"/>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pPr>
              <w:pStyle w:val="142"/>
              <w:rPr>
                <w:rFonts w:ascii="Times New Roman" w:hAnsi="Times New Roman"/>
                <w:bCs/>
                <w:sz w:val="21"/>
              </w:rPr>
            </w:pPr>
          </w:p>
        </w:tc>
        <w:tc>
          <w:tcPr>
            <w:tcW w:w="1984"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水性白面漆</w:t>
            </w:r>
          </w:p>
        </w:tc>
        <w:tc>
          <w:tcPr>
            <w:tcW w:w="1437"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lang w:val="en-US" w:eastAsia="zh-CN"/>
              </w:rPr>
              <w:t>0.02</w:t>
            </w:r>
          </w:p>
        </w:tc>
        <w:tc>
          <w:tcPr>
            <w:tcW w:w="1300"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100</w:t>
            </w:r>
          </w:p>
        </w:tc>
        <w:tc>
          <w:tcPr>
            <w:tcW w:w="1232" w:type="dxa"/>
            <w:tcBorders>
              <w:tl2br w:val="nil"/>
              <w:tr2bl w:val="nil"/>
            </w:tcBorders>
            <w:vAlign w:val="center"/>
          </w:tcPr>
          <w:p>
            <w:pPr>
              <w:pStyle w:val="142"/>
              <w:rPr>
                <w:rFonts w:ascii="Times New Roman"/>
                <w:sz w:val="21"/>
              </w:rPr>
            </w:pPr>
            <w:r>
              <w:rPr>
                <w:rFonts w:hint="eastAsia" w:ascii="Times New Roman"/>
                <w:sz w:val="21"/>
                <w:lang w:val="en-US" w:eastAsia="zh-CN"/>
              </w:rPr>
              <w:t>0.0002</w:t>
            </w:r>
          </w:p>
        </w:tc>
        <w:tc>
          <w:tcPr>
            <w:tcW w:w="1570" w:type="dxa"/>
            <w:vMerge w:val="continue"/>
            <w:tcBorders>
              <w:tl2br w:val="nil"/>
              <w:tr2bl w:val="nil"/>
            </w:tcBorders>
            <w:vAlign w:val="center"/>
          </w:tcPr>
          <w:p>
            <w:pPr>
              <w:jc w:val="center"/>
              <w:rPr>
                <w:rFonts w:ascii="宋体" w:hAnsi="宋体" w:eastAsia="宋体" w:cs="宋体"/>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pPr>
              <w:pStyle w:val="142"/>
              <w:rPr>
                <w:rFonts w:ascii="Times New Roman" w:hAnsi="Times New Roman"/>
                <w:bCs/>
                <w:sz w:val="21"/>
              </w:rPr>
            </w:pPr>
          </w:p>
        </w:tc>
        <w:tc>
          <w:tcPr>
            <w:tcW w:w="1984"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水性漆用固化剂</w:t>
            </w:r>
          </w:p>
        </w:tc>
        <w:tc>
          <w:tcPr>
            <w:tcW w:w="1437" w:type="dxa"/>
            <w:tcBorders>
              <w:tl2br w:val="nil"/>
              <w:tr2bl w:val="nil"/>
            </w:tcBorders>
            <w:vAlign w:val="center"/>
          </w:tcPr>
          <w:p>
            <w:pPr>
              <w:pStyle w:val="142"/>
              <w:rPr>
                <w:rFonts w:hint="default" w:ascii="Times New Roman" w:hAnsi="Times New Roman" w:eastAsia="宋体"/>
                <w:bCs/>
                <w:sz w:val="21"/>
                <w:lang w:val="en-US" w:eastAsia="zh-CN"/>
              </w:rPr>
            </w:pPr>
            <w:r>
              <w:rPr>
                <w:rFonts w:hint="eastAsia" w:ascii="Times New Roman" w:hAnsi="Times New Roman"/>
                <w:bCs/>
                <w:sz w:val="21"/>
                <w:lang w:val="en-US" w:eastAsia="zh-CN"/>
              </w:rPr>
              <w:t>0.02</w:t>
            </w:r>
          </w:p>
        </w:tc>
        <w:tc>
          <w:tcPr>
            <w:tcW w:w="1300" w:type="dxa"/>
            <w:tcBorders>
              <w:tl2br w:val="nil"/>
              <w:tr2bl w:val="nil"/>
            </w:tcBorders>
            <w:vAlign w:val="center"/>
          </w:tcPr>
          <w:p>
            <w:pPr>
              <w:pStyle w:val="142"/>
              <w:rPr>
                <w:rFonts w:hint="eastAsia" w:ascii="Times New Roman" w:hAnsi="Times New Roman" w:eastAsia="宋体" w:cs="宋体"/>
                <w:bCs/>
                <w:kern w:val="2"/>
                <w:sz w:val="21"/>
                <w:szCs w:val="24"/>
                <w:lang w:val="en-US" w:eastAsia="zh-CN" w:bidi="ar-SA"/>
              </w:rPr>
            </w:pPr>
            <w:r>
              <w:rPr>
                <w:rFonts w:hint="eastAsia" w:ascii="Times New Roman" w:hAnsi="Times New Roman"/>
                <w:bCs/>
                <w:sz w:val="21"/>
              </w:rPr>
              <w:t>100</w:t>
            </w:r>
          </w:p>
        </w:tc>
        <w:tc>
          <w:tcPr>
            <w:tcW w:w="1232"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lang w:val="en-US" w:eastAsia="zh-CN"/>
              </w:rPr>
              <w:t>0.0002</w:t>
            </w:r>
          </w:p>
        </w:tc>
        <w:tc>
          <w:tcPr>
            <w:tcW w:w="1570" w:type="dxa"/>
            <w:vMerge w:val="continue"/>
            <w:tcBorders>
              <w:tl2br w:val="nil"/>
              <w:tr2bl w:val="nil"/>
            </w:tcBorders>
            <w:vAlign w:val="center"/>
          </w:tcPr>
          <w:p>
            <w:pPr>
              <w:jc w:val="center"/>
              <w:rPr>
                <w:rFonts w:ascii="宋体" w:hAnsi="宋体" w:eastAsia="宋体" w:cs="宋体"/>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pPr>
              <w:pStyle w:val="142"/>
              <w:rPr>
                <w:rFonts w:ascii="Times New Roman" w:hAnsi="Times New Roman"/>
                <w:bCs/>
                <w:sz w:val="21"/>
              </w:rPr>
            </w:pPr>
          </w:p>
        </w:tc>
        <w:tc>
          <w:tcPr>
            <w:tcW w:w="1984"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白乳胶</w:t>
            </w:r>
          </w:p>
        </w:tc>
        <w:tc>
          <w:tcPr>
            <w:tcW w:w="1437" w:type="dxa"/>
            <w:tcBorders>
              <w:tl2br w:val="nil"/>
              <w:tr2bl w:val="nil"/>
            </w:tcBorders>
            <w:vAlign w:val="center"/>
          </w:tcPr>
          <w:p>
            <w:pPr>
              <w:pStyle w:val="142"/>
              <w:rPr>
                <w:rFonts w:hint="default" w:ascii="Times New Roman" w:hAnsi="Times New Roman" w:eastAsia="宋体"/>
                <w:bCs/>
                <w:sz w:val="21"/>
                <w:lang w:val="en-US" w:eastAsia="zh-CN"/>
              </w:rPr>
            </w:pPr>
            <w:r>
              <w:rPr>
                <w:rFonts w:hint="eastAsia" w:ascii="Times New Roman" w:hAnsi="Times New Roman"/>
                <w:bCs/>
                <w:sz w:val="21"/>
                <w:lang w:val="en-US" w:eastAsia="zh-CN"/>
              </w:rPr>
              <w:t>0.025</w:t>
            </w:r>
          </w:p>
        </w:tc>
        <w:tc>
          <w:tcPr>
            <w:tcW w:w="1300" w:type="dxa"/>
            <w:tcBorders>
              <w:tl2br w:val="nil"/>
              <w:tr2bl w:val="nil"/>
            </w:tcBorders>
            <w:vAlign w:val="center"/>
          </w:tcPr>
          <w:p>
            <w:pPr>
              <w:pStyle w:val="142"/>
              <w:rPr>
                <w:rFonts w:hint="eastAsia" w:ascii="Times New Roman" w:hAnsi="Times New Roman" w:eastAsia="宋体" w:cs="宋体"/>
                <w:bCs/>
                <w:kern w:val="2"/>
                <w:sz w:val="21"/>
                <w:szCs w:val="24"/>
                <w:lang w:val="en-US" w:eastAsia="zh-CN" w:bidi="ar-SA"/>
              </w:rPr>
            </w:pPr>
            <w:r>
              <w:rPr>
                <w:rFonts w:hint="eastAsia" w:ascii="Times New Roman" w:hAnsi="Times New Roman"/>
                <w:bCs/>
                <w:sz w:val="21"/>
              </w:rPr>
              <w:t>100</w:t>
            </w:r>
          </w:p>
        </w:tc>
        <w:tc>
          <w:tcPr>
            <w:tcW w:w="1232"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lang w:val="en-US" w:eastAsia="zh-CN"/>
              </w:rPr>
              <w:t>0.00025</w:t>
            </w:r>
          </w:p>
        </w:tc>
        <w:tc>
          <w:tcPr>
            <w:tcW w:w="1570" w:type="dxa"/>
            <w:vMerge w:val="continue"/>
            <w:tcBorders>
              <w:tl2br w:val="nil"/>
              <w:tr2bl w:val="nil"/>
            </w:tcBorders>
            <w:vAlign w:val="center"/>
          </w:tcPr>
          <w:p>
            <w:pPr>
              <w:jc w:val="center"/>
              <w:rPr>
                <w:rFonts w:ascii="宋体" w:hAnsi="宋体" w:eastAsia="宋体" w:cs="宋体"/>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pPr>
              <w:pStyle w:val="142"/>
              <w:rPr>
                <w:rFonts w:ascii="Times New Roman" w:hAnsi="Times New Roman"/>
                <w:bCs/>
                <w:sz w:val="21"/>
              </w:rPr>
            </w:pPr>
          </w:p>
        </w:tc>
        <w:tc>
          <w:tcPr>
            <w:tcW w:w="1984"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水性喷胶</w:t>
            </w:r>
          </w:p>
        </w:tc>
        <w:tc>
          <w:tcPr>
            <w:tcW w:w="1437" w:type="dxa"/>
            <w:tcBorders>
              <w:tl2br w:val="nil"/>
              <w:tr2bl w:val="nil"/>
            </w:tcBorders>
            <w:vAlign w:val="center"/>
          </w:tcPr>
          <w:p>
            <w:pPr>
              <w:pStyle w:val="142"/>
              <w:rPr>
                <w:rFonts w:hint="default" w:ascii="Times New Roman" w:hAnsi="Times New Roman" w:eastAsia="宋体"/>
                <w:bCs/>
                <w:sz w:val="21"/>
                <w:lang w:val="en-US" w:eastAsia="zh-CN"/>
              </w:rPr>
            </w:pPr>
            <w:r>
              <w:rPr>
                <w:rFonts w:hint="eastAsia" w:ascii="Times New Roman" w:hAnsi="Times New Roman"/>
                <w:bCs/>
                <w:sz w:val="21"/>
                <w:lang w:val="en-US" w:eastAsia="zh-CN"/>
              </w:rPr>
              <w:t>0.025</w:t>
            </w:r>
          </w:p>
        </w:tc>
        <w:tc>
          <w:tcPr>
            <w:tcW w:w="1300" w:type="dxa"/>
            <w:tcBorders>
              <w:tl2br w:val="nil"/>
              <w:tr2bl w:val="nil"/>
            </w:tcBorders>
            <w:vAlign w:val="center"/>
          </w:tcPr>
          <w:p>
            <w:pPr>
              <w:pStyle w:val="142"/>
              <w:rPr>
                <w:rFonts w:hint="eastAsia" w:ascii="Times New Roman" w:hAnsi="Times New Roman" w:eastAsia="宋体" w:cs="宋体"/>
                <w:bCs/>
                <w:kern w:val="2"/>
                <w:sz w:val="21"/>
                <w:szCs w:val="24"/>
                <w:lang w:val="en-US" w:eastAsia="zh-CN" w:bidi="ar-SA"/>
              </w:rPr>
            </w:pPr>
            <w:r>
              <w:rPr>
                <w:rFonts w:hint="eastAsia" w:ascii="Times New Roman" w:hAnsi="Times New Roman"/>
                <w:bCs/>
                <w:sz w:val="21"/>
              </w:rPr>
              <w:t>100</w:t>
            </w:r>
          </w:p>
        </w:tc>
        <w:tc>
          <w:tcPr>
            <w:tcW w:w="1232"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lang w:val="en-US" w:eastAsia="zh-CN"/>
              </w:rPr>
              <w:t>0.00025</w:t>
            </w:r>
          </w:p>
        </w:tc>
        <w:tc>
          <w:tcPr>
            <w:tcW w:w="1570" w:type="dxa"/>
            <w:vMerge w:val="continue"/>
            <w:tcBorders>
              <w:tl2br w:val="nil"/>
              <w:tr2bl w:val="nil"/>
            </w:tcBorders>
            <w:vAlign w:val="center"/>
          </w:tcPr>
          <w:p>
            <w:pPr>
              <w:jc w:val="center"/>
              <w:rPr>
                <w:rFonts w:ascii="宋体" w:hAnsi="宋体" w:eastAsia="宋体" w:cs="宋体"/>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pPr>
              <w:pStyle w:val="142"/>
              <w:rPr>
                <w:rFonts w:ascii="Times New Roman" w:hAnsi="Times New Roman"/>
                <w:bCs/>
                <w:sz w:val="21"/>
              </w:rPr>
            </w:pPr>
            <w:r>
              <w:rPr>
                <w:rFonts w:ascii="Times New Roman" w:hAnsi="Times New Roman"/>
                <w:b/>
                <w:sz w:val="21"/>
              </w:rPr>
              <w:t>ΣQi/qi</w:t>
            </w:r>
          </w:p>
        </w:tc>
        <w:tc>
          <w:tcPr>
            <w:tcW w:w="1232" w:type="dxa"/>
            <w:tcBorders>
              <w:tl2br w:val="nil"/>
              <w:tr2bl w:val="nil"/>
            </w:tcBorders>
            <w:vAlign w:val="center"/>
          </w:tcPr>
          <w:p>
            <w:pPr>
              <w:pStyle w:val="142"/>
              <w:rPr>
                <w:rFonts w:hint="eastAsia" w:ascii="Times New Roman" w:eastAsia="宋体"/>
                <w:sz w:val="21"/>
                <w:lang w:val="en-US" w:eastAsia="zh-CN"/>
              </w:rPr>
            </w:pPr>
            <w:r>
              <w:rPr>
                <w:rFonts w:hint="eastAsia" w:ascii="Times New Roman"/>
                <w:sz w:val="21"/>
              </w:rPr>
              <w:t>0.001</w:t>
            </w:r>
            <w:r>
              <w:rPr>
                <w:rFonts w:hint="eastAsia" w:ascii="Times New Roman"/>
                <w:sz w:val="21"/>
                <w:lang w:val="en-US" w:eastAsia="zh-CN"/>
              </w:rPr>
              <w:t>5</w:t>
            </w:r>
          </w:p>
        </w:tc>
        <w:tc>
          <w:tcPr>
            <w:tcW w:w="1570" w:type="dxa"/>
            <w:vMerge w:val="continue"/>
            <w:tcBorders>
              <w:tl2br w:val="nil"/>
              <w:tr2bl w:val="nil"/>
            </w:tcBorders>
            <w:vAlign w:val="center"/>
          </w:tcPr>
          <w:p>
            <w:pPr>
              <w:jc w:val="center"/>
              <w:rPr>
                <w:rFonts w:ascii="宋体" w:hAnsi="宋体" w:eastAsia="宋体" w:cs="宋体"/>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pPr>
              <w:pStyle w:val="142"/>
              <w:rPr>
                <w:rFonts w:ascii="Times New Roman" w:hAnsi="Times New Roman"/>
                <w:b/>
                <w:sz w:val="21"/>
              </w:rPr>
            </w:pPr>
            <w:r>
              <w:rPr>
                <w:rFonts w:hint="eastAsia" w:ascii="Times New Roman" w:hAnsi="Times New Roman"/>
                <w:bCs/>
                <w:sz w:val="21"/>
              </w:rPr>
              <w:t>污水处理设施</w:t>
            </w:r>
          </w:p>
        </w:tc>
        <w:tc>
          <w:tcPr>
            <w:tcW w:w="1984"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lang w:val="en-US" w:eastAsia="zh-CN"/>
              </w:rPr>
              <w:t>水旋柜</w:t>
            </w:r>
            <w:r>
              <w:rPr>
                <w:rFonts w:hint="eastAsia" w:ascii="Times New Roman" w:hAnsi="Times New Roman"/>
                <w:bCs/>
                <w:sz w:val="21"/>
              </w:rPr>
              <w:t>废水</w:t>
            </w:r>
          </w:p>
        </w:tc>
        <w:tc>
          <w:tcPr>
            <w:tcW w:w="1437"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4</w:t>
            </w:r>
          </w:p>
        </w:tc>
        <w:tc>
          <w:tcPr>
            <w:tcW w:w="1300" w:type="dxa"/>
            <w:tcBorders>
              <w:tl2br w:val="nil"/>
              <w:tr2bl w:val="nil"/>
            </w:tcBorders>
            <w:vAlign w:val="center"/>
          </w:tcPr>
          <w:p>
            <w:pPr>
              <w:pStyle w:val="142"/>
              <w:rPr>
                <w:rFonts w:ascii="Times New Roman" w:hAnsi="Times New Roman"/>
                <w:b/>
                <w:sz w:val="21"/>
              </w:rPr>
            </w:pPr>
            <w:r>
              <w:rPr>
                <w:rFonts w:hint="eastAsia" w:ascii="Times New Roman" w:hAnsi="Times New Roman"/>
                <w:bCs/>
                <w:sz w:val="21"/>
              </w:rPr>
              <w:t>50</w:t>
            </w:r>
          </w:p>
        </w:tc>
        <w:tc>
          <w:tcPr>
            <w:tcW w:w="1232" w:type="dxa"/>
            <w:tcBorders>
              <w:tl2br w:val="nil"/>
              <w:tr2bl w:val="nil"/>
            </w:tcBorders>
            <w:vAlign w:val="center"/>
          </w:tcPr>
          <w:p>
            <w:pPr>
              <w:pStyle w:val="142"/>
              <w:rPr>
                <w:rFonts w:ascii="Times New Roman"/>
                <w:sz w:val="21"/>
              </w:rPr>
            </w:pPr>
            <w:r>
              <w:rPr>
                <w:rFonts w:hint="eastAsia" w:ascii="Times New Roman"/>
                <w:sz w:val="21"/>
              </w:rPr>
              <w:t>0.08</w:t>
            </w:r>
          </w:p>
        </w:tc>
        <w:tc>
          <w:tcPr>
            <w:tcW w:w="1570" w:type="dxa"/>
            <w:vMerge w:val="restart"/>
            <w:tcBorders>
              <w:tl2br w:val="nil"/>
              <w:tr2bl w:val="nil"/>
            </w:tcBorders>
            <w:vAlign w:val="center"/>
          </w:tcPr>
          <w:p>
            <w:pPr>
              <w:jc w:val="center"/>
              <w:rPr>
                <w:rFonts w:ascii="宋体" w:hAnsi="宋体" w:eastAsia="宋体" w:cs="宋体"/>
                <w:sz w:val="21"/>
              </w:rPr>
            </w:pPr>
            <w:r>
              <w:rPr>
                <w:rFonts w:hint="eastAsia" w:ascii="宋体" w:hAnsi="宋体" w:eastAsia="宋体" w:cs="宋体"/>
                <w:sz w:val="21"/>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pPr>
              <w:pStyle w:val="142"/>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pPr>
              <w:pStyle w:val="142"/>
              <w:rPr>
                <w:rFonts w:ascii="Times New Roman"/>
                <w:sz w:val="21"/>
              </w:rPr>
            </w:pPr>
            <w:r>
              <w:rPr>
                <w:rFonts w:hint="eastAsia" w:ascii="Times New Roman"/>
                <w:sz w:val="21"/>
              </w:rPr>
              <w:t>0.08</w:t>
            </w:r>
          </w:p>
        </w:tc>
        <w:tc>
          <w:tcPr>
            <w:tcW w:w="1570" w:type="dxa"/>
            <w:vMerge w:val="continue"/>
            <w:tcBorders>
              <w:tl2br w:val="nil"/>
              <w:tr2bl w:val="nil"/>
            </w:tcBorders>
            <w:vAlign w:val="center"/>
          </w:tcPr>
          <w:p>
            <w:pPr>
              <w:jc w:val="center"/>
              <w:rPr>
                <w:rFonts w:ascii="宋体" w:hAnsi="宋体" w:eastAsia="宋体" w:cs="宋体"/>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pPr>
              <w:jc w:val="center"/>
              <w:rPr>
                <w:sz w:val="2"/>
                <w:szCs w:val="2"/>
              </w:rPr>
            </w:pPr>
            <w:r>
              <w:rPr>
                <w:rFonts w:hint="eastAsia" w:eastAsia="宋体"/>
                <w:sz w:val="21"/>
              </w:rPr>
              <w:t>危废仓库</w:t>
            </w:r>
          </w:p>
        </w:tc>
        <w:tc>
          <w:tcPr>
            <w:tcW w:w="1984" w:type="dxa"/>
            <w:tcBorders>
              <w:tl2br w:val="nil"/>
              <w:tr2bl w:val="nil"/>
            </w:tcBorders>
            <w:vAlign w:val="center"/>
          </w:tcPr>
          <w:p>
            <w:pPr>
              <w:jc w:val="center"/>
              <w:rPr>
                <w:rFonts w:eastAsia="宋体"/>
                <w:sz w:val="21"/>
                <w:szCs w:val="21"/>
              </w:rPr>
            </w:pPr>
            <w:r>
              <w:rPr>
                <w:rFonts w:eastAsia="宋体"/>
                <w:sz w:val="21"/>
                <w:szCs w:val="21"/>
                <w:lang w:val="zh-CN"/>
              </w:rPr>
              <w:t>漆渣</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2</w:t>
            </w:r>
          </w:p>
        </w:tc>
        <w:tc>
          <w:tcPr>
            <w:tcW w:w="1300" w:type="dxa"/>
            <w:tcBorders>
              <w:tl2br w:val="nil"/>
              <w:tr2bl w:val="nil"/>
            </w:tcBorders>
            <w:vAlign w:val="center"/>
          </w:tcPr>
          <w:p>
            <w:pPr>
              <w:pStyle w:val="142"/>
              <w:rPr>
                <w:rFonts w:ascii="Times New Roman"/>
                <w:sz w:val="21"/>
              </w:rPr>
            </w:pPr>
            <w:r>
              <w:rPr>
                <w:rFonts w:hint="eastAsia" w:ascii="Times New Roman"/>
                <w:sz w:val="21"/>
              </w:rPr>
              <w:t>50</w:t>
            </w:r>
          </w:p>
        </w:tc>
        <w:tc>
          <w:tcPr>
            <w:tcW w:w="1232" w:type="dxa"/>
            <w:tcBorders>
              <w:tl2br w:val="nil"/>
              <w:tr2bl w:val="nil"/>
            </w:tcBorders>
            <w:vAlign w:val="center"/>
          </w:tcPr>
          <w:p>
            <w:pPr>
              <w:pStyle w:val="142"/>
              <w:rPr>
                <w:rFonts w:ascii="Times New Roman"/>
                <w:sz w:val="21"/>
              </w:rPr>
            </w:pPr>
            <w:r>
              <w:rPr>
                <w:rFonts w:hint="eastAsia" w:ascii="Times New Roman"/>
                <w:sz w:val="21"/>
              </w:rPr>
              <w:t>0.0</w:t>
            </w:r>
            <w:r>
              <w:rPr>
                <w:rFonts w:hint="eastAsia" w:ascii="Times New Roman"/>
                <w:sz w:val="21"/>
                <w:lang w:val="en-US" w:eastAsia="zh-CN"/>
              </w:rPr>
              <w:t>4</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jc w:val="center"/>
              <w:rPr>
                <w:sz w:val="2"/>
                <w:szCs w:val="2"/>
              </w:rPr>
            </w:pPr>
          </w:p>
        </w:tc>
        <w:tc>
          <w:tcPr>
            <w:tcW w:w="1984" w:type="dxa"/>
            <w:tcBorders>
              <w:tl2br w:val="nil"/>
              <w:tr2bl w:val="nil"/>
            </w:tcBorders>
            <w:vAlign w:val="center"/>
          </w:tcPr>
          <w:p>
            <w:pPr>
              <w:jc w:val="center"/>
              <w:rPr>
                <w:rFonts w:eastAsia="宋体"/>
                <w:sz w:val="21"/>
                <w:szCs w:val="21"/>
              </w:rPr>
            </w:pPr>
            <w:r>
              <w:rPr>
                <w:rFonts w:eastAsia="宋体"/>
                <w:sz w:val="21"/>
                <w:szCs w:val="21"/>
                <w:lang w:val="zh-CN"/>
              </w:rPr>
              <w:t>废刷子</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0.02</w:t>
            </w:r>
          </w:p>
        </w:tc>
        <w:tc>
          <w:tcPr>
            <w:tcW w:w="1300" w:type="dxa"/>
            <w:tcBorders>
              <w:tl2br w:val="nil"/>
              <w:tr2bl w:val="nil"/>
            </w:tcBorders>
            <w:vAlign w:val="center"/>
          </w:tcPr>
          <w:p>
            <w:pPr>
              <w:pStyle w:val="142"/>
              <w:rPr>
                <w:rFonts w:ascii="Times New Roman"/>
                <w:sz w:val="21"/>
              </w:rPr>
            </w:pPr>
            <w:r>
              <w:rPr>
                <w:rFonts w:hint="eastAsia" w:ascii="Times New Roman"/>
                <w:sz w:val="21"/>
              </w:rPr>
              <w:t>50</w:t>
            </w:r>
          </w:p>
        </w:tc>
        <w:tc>
          <w:tcPr>
            <w:tcW w:w="1232" w:type="dxa"/>
            <w:tcBorders>
              <w:tl2br w:val="nil"/>
              <w:tr2bl w:val="nil"/>
            </w:tcBorders>
            <w:vAlign w:val="center"/>
          </w:tcPr>
          <w:p>
            <w:pPr>
              <w:pStyle w:val="142"/>
              <w:rPr>
                <w:rFonts w:ascii="Times New Roman"/>
                <w:sz w:val="21"/>
              </w:rPr>
            </w:pPr>
            <w:r>
              <w:rPr>
                <w:rFonts w:hint="eastAsia" w:ascii="Times New Roman"/>
                <w:sz w:val="21"/>
              </w:rPr>
              <w:t>0.00</w:t>
            </w:r>
            <w:r>
              <w:rPr>
                <w:rFonts w:hint="eastAsia" w:ascii="Times New Roman"/>
                <w:sz w:val="21"/>
                <w:lang w:val="en-US" w:eastAsia="zh-CN"/>
              </w:rPr>
              <w:t>0</w:t>
            </w:r>
            <w:r>
              <w:rPr>
                <w:rFonts w:hint="eastAsia" w:ascii="Times New Roman"/>
                <w:sz w:val="21"/>
              </w:rPr>
              <w:t>4</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jc w:val="center"/>
              <w:rPr>
                <w:sz w:val="2"/>
                <w:szCs w:val="2"/>
              </w:rPr>
            </w:pPr>
          </w:p>
        </w:tc>
        <w:tc>
          <w:tcPr>
            <w:tcW w:w="1984" w:type="dxa"/>
            <w:tcBorders>
              <w:tl2br w:val="nil"/>
              <w:tr2bl w:val="nil"/>
            </w:tcBorders>
            <w:vAlign w:val="center"/>
          </w:tcPr>
          <w:p>
            <w:pPr>
              <w:jc w:val="center"/>
              <w:rPr>
                <w:rFonts w:eastAsia="宋体"/>
                <w:sz w:val="21"/>
                <w:szCs w:val="21"/>
              </w:rPr>
            </w:pPr>
            <w:r>
              <w:rPr>
                <w:rFonts w:eastAsia="宋体"/>
                <w:sz w:val="21"/>
                <w:szCs w:val="21"/>
                <w:lang w:val="zh-CN"/>
              </w:rPr>
              <w:t>废包装桶</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0.2</w:t>
            </w:r>
          </w:p>
        </w:tc>
        <w:tc>
          <w:tcPr>
            <w:tcW w:w="1300" w:type="dxa"/>
            <w:tcBorders>
              <w:tl2br w:val="nil"/>
              <w:tr2bl w:val="nil"/>
            </w:tcBorders>
            <w:vAlign w:val="center"/>
          </w:tcPr>
          <w:p>
            <w:pPr>
              <w:pStyle w:val="142"/>
              <w:rPr>
                <w:rFonts w:ascii="Times New Roman"/>
                <w:sz w:val="21"/>
              </w:rPr>
            </w:pPr>
            <w:r>
              <w:rPr>
                <w:rFonts w:hint="eastAsia" w:ascii="Times New Roman"/>
                <w:sz w:val="21"/>
              </w:rPr>
              <w:t>50</w:t>
            </w:r>
          </w:p>
        </w:tc>
        <w:tc>
          <w:tcPr>
            <w:tcW w:w="1232" w:type="dxa"/>
            <w:tcBorders>
              <w:tl2br w:val="nil"/>
              <w:tr2bl w:val="nil"/>
            </w:tcBorders>
            <w:vAlign w:val="center"/>
          </w:tcPr>
          <w:p>
            <w:pPr>
              <w:pStyle w:val="142"/>
              <w:rPr>
                <w:rFonts w:ascii="Times New Roman"/>
                <w:sz w:val="21"/>
              </w:rPr>
            </w:pPr>
            <w:r>
              <w:rPr>
                <w:rFonts w:hint="eastAsia" w:ascii="Times New Roman"/>
                <w:sz w:val="21"/>
              </w:rPr>
              <w:t>0.004</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jc w:val="center"/>
              <w:rPr>
                <w:sz w:val="2"/>
                <w:szCs w:val="2"/>
              </w:rPr>
            </w:pPr>
          </w:p>
        </w:tc>
        <w:tc>
          <w:tcPr>
            <w:tcW w:w="1984" w:type="dxa"/>
            <w:tcBorders>
              <w:tl2br w:val="nil"/>
              <w:tr2bl w:val="nil"/>
            </w:tcBorders>
            <w:vAlign w:val="center"/>
          </w:tcPr>
          <w:p>
            <w:pPr>
              <w:jc w:val="center"/>
              <w:rPr>
                <w:rFonts w:eastAsia="宋体"/>
                <w:sz w:val="21"/>
                <w:szCs w:val="21"/>
              </w:rPr>
            </w:pPr>
            <w:r>
              <w:rPr>
                <w:rFonts w:eastAsia="宋体"/>
                <w:sz w:val="21"/>
                <w:szCs w:val="21"/>
                <w:lang w:val="zh-CN"/>
              </w:rPr>
              <w:t>空压机含油废液</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0.05</w:t>
            </w:r>
          </w:p>
        </w:tc>
        <w:tc>
          <w:tcPr>
            <w:tcW w:w="1300" w:type="dxa"/>
            <w:tcBorders>
              <w:tl2br w:val="nil"/>
              <w:tr2bl w:val="nil"/>
            </w:tcBorders>
            <w:vAlign w:val="center"/>
          </w:tcPr>
          <w:p>
            <w:pPr>
              <w:pStyle w:val="142"/>
              <w:rPr>
                <w:rFonts w:ascii="Times New Roman"/>
                <w:sz w:val="21"/>
              </w:rPr>
            </w:pPr>
            <w:r>
              <w:rPr>
                <w:rFonts w:hint="eastAsia" w:ascii="Times New Roman"/>
                <w:sz w:val="21"/>
              </w:rPr>
              <w:t>50</w:t>
            </w:r>
          </w:p>
        </w:tc>
        <w:tc>
          <w:tcPr>
            <w:tcW w:w="1232" w:type="dxa"/>
            <w:tcBorders>
              <w:tl2br w:val="nil"/>
              <w:tr2bl w:val="nil"/>
            </w:tcBorders>
            <w:vAlign w:val="center"/>
          </w:tcPr>
          <w:p>
            <w:pPr>
              <w:pStyle w:val="142"/>
              <w:rPr>
                <w:rFonts w:ascii="Times New Roman"/>
                <w:sz w:val="21"/>
              </w:rPr>
            </w:pPr>
            <w:r>
              <w:rPr>
                <w:rFonts w:hint="eastAsia" w:ascii="Times New Roman"/>
                <w:sz w:val="21"/>
              </w:rPr>
              <w:t>0.001</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jc w:val="center"/>
              <w:rPr>
                <w:sz w:val="2"/>
                <w:szCs w:val="2"/>
              </w:rPr>
            </w:pPr>
          </w:p>
        </w:tc>
        <w:tc>
          <w:tcPr>
            <w:tcW w:w="1984" w:type="dxa"/>
            <w:tcBorders>
              <w:tl2br w:val="nil"/>
              <w:tr2bl w:val="nil"/>
            </w:tcBorders>
            <w:vAlign w:val="center"/>
          </w:tcPr>
          <w:p>
            <w:pPr>
              <w:jc w:val="center"/>
              <w:rPr>
                <w:rFonts w:eastAsia="宋体"/>
                <w:sz w:val="21"/>
                <w:szCs w:val="21"/>
              </w:rPr>
            </w:pPr>
            <w:r>
              <w:rPr>
                <w:rFonts w:eastAsia="宋体"/>
                <w:sz w:val="21"/>
                <w:szCs w:val="21"/>
                <w:lang w:val="zh-CN"/>
              </w:rPr>
              <w:t>废过滤棉</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0.5</w:t>
            </w:r>
          </w:p>
        </w:tc>
        <w:tc>
          <w:tcPr>
            <w:tcW w:w="1300" w:type="dxa"/>
            <w:tcBorders>
              <w:tl2br w:val="nil"/>
              <w:tr2bl w:val="nil"/>
            </w:tcBorders>
            <w:vAlign w:val="center"/>
          </w:tcPr>
          <w:p>
            <w:pPr>
              <w:pStyle w:val="142"/>
              <w:rPr>
                <w:rFonts w:ascii="Times New Roman"/>
                <w:sz w:val="21"/>
              </w:rPr>
            </w:pPr>
            <w:r>
              <w:rPr>
                <w:rFonts w:hint="eastAsia" w:ascii="Times New Roman"/>
                <w:sz w:val="21"/>
              </w:rPr>
              <w:t>50</w:t>
            </w:r>
          </w:p>
        </w:tc>
        <w:tc>
          <w:tcPr>
            <w:tcW w:w="1232" w:type="dxa"/>
            <w:tcBorders>
              <w:tl2br w:val="nil"/>
              <w:tr2bl w:val="nil"/>
            </w:tcBorders>
            <w:vAlign w:val="center"/>
          </w:tcPr>
          <w:p>
            <w:pPr>
              <w:pStyle w:val="142"/>
              <w:rPr>
                <w:rFonts w:ascii="Times New Roman"/>
                <w:sz w:val="21"/>
              </w:rPr>
            </w:pPr>
            <w:r>
              <w:rPr>
                <w:rFonts w:hint="eastAsia" w:ascii="Times New Roman"/>
                <w:sz w:val="21"/>
              </w:rPr>
              <w:t>0.01</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pPr>
              <w:jc w:val="center"/>
              <w:rPr>
                <w:sz w:val="2"/>
                <w:szCs w:val="2"/>
              </w:rPr>
            </w:pPr>
          </w:p>
        </w:tc>
        <w:tc>
          <w:tcPr>
            <w:tcW w:w="1984" w:type="dxa"/>
            <w:tcBorders>
              <w:tl2br w:val="nil"/>
              <w:tr2bl w:val="nil"/>
            </w:tcBorders>
            <w:vAlign w:val="center"/>
          </w:tcPr>
          <w:p>
            <w:pPr>
              <w:jc w:val="center"/>
              <w:rPr>
                <w:rFonts w:eastAsia="宋体"/>
                <w:sz w:val="21"/>
                <w:szCs w:val="21"/>
              </w:rPr>
            </w:pPr>
            <w:r>
              <w:rPr>
                <w:rFonts w:eastAsia="宋体"/>
                <w:sz w:val="21"/>
                <w:szCs w:val="21"/>
                <w:lang w:val="zh-CN"/>
              </w:rPr>
              <w:t>废活性炭</w:t>
            </w:r>
          </w:p>
        </w:tc>
        <w:tc>
          <w:tcPr>
            <w:tcW w:w="143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2.5</w:t>
            </w:r>
          </w:p>
        </w:tc>
        <w:tc>
          <w:tcPr>
            <w:tcW w:w="1300" w:type="dxa"/>
            <w:tcBorders>
              <w:tl2br w:val="nil"/>
              <w:tr2bl w:val="nil"/>
            </w:tcBorders>
            <w:vAlign w:val="center"/>
          </w:tcPr>
          <w:p>
            <w:pPr>
              <w:pStyle w:val="142"/>
              <w:rPr>
                <w:rFonts w:ascii="Times New Roman"/>
                <w:sz w:val="21"/>
              </w:rPr>
            </w:pPr>
            <w:r>
              <w:rPr>
                <w:rFonts w:hint="eastAsia" w:ascii="Times New Roman"/>
                <w:sz w:val="21"/>
              </w:rPr>
              <w:t>50</w:t>
            </w:r>
          </w:p>
        </w:tc>
        <w:tc>
          <w:tcPr>
            <w:tcW w:w="1232"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rPr>
              <w:t>0.</w:t>
            </w:r>
            <w:r>
              <w:rPr>
                <w:rFonts w:hint="eastAsia" w:ascii="Times New Roman"/>
                <w:sz w:val="21"/>
                <w:lang w:val="en-US" w:eastAsia="zh-CN"/>
              </w:rPr>
              <w:t>05</w:t>
            </w:r>
          </w:p>
        </w:tc>
        <w:tc>
          <w:tcPr>
            <w:tcW w:w="1570" w:type="dxa"/>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pPr>
              <w:pStyle w:val="142"/>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lang w:val="en-US" w:eastAsia="zh-CN"/>
              </w:rPr>
              <w:t>0.1054</w:t>
            </w:r>
          </w:p>
        </w:tc>
        <w:tc>
          <w:tcPr>
            <w:tcW w:w="1570" w:type="dxa"/>
            <w:vMerge w:val="continue"/>
            <w:tcBorders>
              <w:tl2br w:val="nil"/>
              <w:tr2bl w:val="nil"/>
            </w:tcBorders>
            <w:vAlign w:val="center"/>
          </w:tcPr>
          <w:p>
            <w:pPr>
              <w:jc w:val="center"/>
              <w:rPr>
                <w:sz w:val="2"/>
                <w:szCs w:val="2"/>
              </w:rPr>
            </w:pPr>
          </w:p>
        </w:tc>
      </w:tr>
    </w:tbl>
    <w:p>
      <w:pPr>
        <w:pStyle w:val="13"/>
        <w:spacing w:after="0" w:line="500" w:lineRule="exact"/>
        <w:ind w:firstLine="480" w:firstLineChars="200"/>
        <w:rPr>
          <w:rFonts w:eastAsia="宋体"/>
        </w:rPr>
      </w:pPr>
      <w:r>
        <w:rPr>
          <w:rFonts w:eastAsia="宋体"/>
        </w:rPr>
        <w:t>根据《企业事业单位突发环境事件应急预案评审工作指南》对于数量大于临界量的， 应辨识重要环境风险单元。表3-</w:t>
      </w:r>
      <w:r>
        <w:rPr>
          <w:rFonts w:hint="eastAsia" w:eastAsia="宋体"/>
        </w:rPr>
        <w:t>9</w:t>
      </w:r>
      <w:r>
        <w:rPr>
          <w:rFonts w:eastAsia="宋体"/>
        </w:rPr>
        <w:t>中企业存在环境风险的</w:t>
      </w:r>
      <w:r>
        <w:rPr>
          <w:rFonts w:hint="eastAsia" w:eastAsia="宋体"/>
        </w:rPr>
        <w:t>油漆仓库、生产车间</w:t>
      </w:r>
      <w:r>
        <w:rPr>
          <w:rFonts w:eastAsia="宋体"/>
        </w:rPr>
        <w:t>、</w:t>
      </w:r>
      <w:r>
        <w:rPr>
          <w:rFonts w:hint="eastAsia" w:eastAsia="宋体"/>
        </w:rPr>
        <w:t>污水处理站、</w:t>
      </w:r>
      <w:r>
        <w:rPr>
          <w:rFonts w:eastAsia="宋体"/>
        </w:rPr>
        <w:t>危废仓库Q值均小于1，企业不存在重要环境风险单元。</w:t>
      </w:r>
    </w:p>
    <w:p>
      <w:pPr>
        <w:pStyle w:val="4"/>
        <w:adjustRightInd w:val="0"/>
        <w:snapToGrid w:val="0"/>
        <w:spacing w:line="480" w:lineRule="exact"/>
        <w:rPr>
          <w:rFonts w:eastAsia="宋体"/>
          <w:sz w:val="24"/>
          <w:szCs w:val="24"/>
        </w:rPr>
      </w:pPr>
      <w:bookmarkStart w:id="108" w:name="_Toc24134"/>
      <w:bookmarkStart w:id="109" w:name="_Toc18985"/>
      <w:bookmarkStart w:id="110" w:name="_Toc32620"/>
      <w:r>
        <w:rPr>
          <w:rFonts w:eastAsia="宋体"/>
          <w:sz w:val="24"/>
          <w:szCs w:val="24"/>
        </w:rPr>
        <w:t>3.</w:t>
      </w:r>
      <w:r>
        <w:rPr>
          <w:rFonts w:hint="eastAsia" w:eastAsia="宋体"/>
          <w:sz w:val="24"/>
          <w:szCs w:val="24"/>
        </w:rPr>
        <w:t>5</w:t>
      </w:r>
      <w:r>
        <w:rPr>
          <w:rFonts w:eastAsia="宋体"/>
          <w:sz w:val="24"/>
          <w:szCs w:val="24"/>
        </w:rPr>
        <w:t xml:space="preserve"> 生产工艺情况</w:t>
      </w:r>
      <w:bookmarkEnd w:id="105"/>
      <w:bookmarkEnd w:id="108"/>
      <w:bookmarkEnd w:id="109"/>
      <w:bookmarkEnd w:id="110"/>
    </w:p>
    <w:p>
      <w:pPr>
        <w:adjustRightInd w:val="0"/>
        <w:snapToGrid w:val="0"/>
        <w:spacing w:line="500" w:lineRule="exact"/>
        <w:ind w:firstLine="480" w:firstLineChars="200"/>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公司主要生产家具，</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3-10</w:t>
      </w:r>
      <w:r>
        <w:rPr>
          <w:rFonts w:hint="eastAsia" w:ascii="宋体" w:hAnsi="宋体" w:eastAsia="宋体" w:cs="宋体"/>
          <w:color w:val="000000" w:themeColor="text1"/>
          <w:sz w:val="28"/>
          <w:szCs w:val="28"/>
          <w14:textFill>
            <w14:solidFill>
              <w14:schemeClr w14:val="tx1"/>
            </w14:solidFill>
          </w14:textFill>
        </w:rPr>
        <w:t>。</w:t>
      </w:r>
    </w:p>
    <w:p>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10</w:t>
      </w:r>
      <w:r>
        <w:rPr>
          <w:rFonts w:eastAsia="宋体"/>
          <w:b/>
          <w:color w:val="000000" w:themeColor="text1"/>
          <w14:textFill>
            <w14:solidFill>
              <w14:schemeClr w14:val="tx1"/>
            </w14:solidFill>
          </w14:textFill>
        </w:rPr>
        <w:t xml:space="preserve">  公司</w:t>
      </w:r>
      <w:r>
        <w:rPr>
          <w:rFonts w:hint="eastAsia" w:eastAsia="宋体"/>
          <w:b/>
          <w:color w:val="000000" w:themeColor="text1"/>
          <w14:textFill>
            <w14:solidFill>
              <w14:schemeClr w14:val="tx1"/>
            </w14:solidFill>
          </w14:textFill>
        </w:rPr>
        <w:t>现有</w:t>
      </w:r>
      <w:r>
        <w:rPr>
          <w:rFonts w:eastAsia="宋体"/>
          <w:b/>
          <w:color w:val="000000" w:themeColor="text1"/>
          <w14:textFill>
            <w14:solidFill>
              <w14:schemeClr w14:val="tx1"/>
            </w14:solidFill>
          </w14:textFill>
        </w:rPr>
        <w:t>产品概况</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484"/>
        <w:gridCol w:w="2011"/>
        <w:gridCol w:w="2368"/>
        <w:gridCol w:w="1263"/>
        <w:gridCol w:w="17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pPr>
              <w:spacing w:before="72" w:beforeLines="30" w:after="72" w:afterLines="3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791" w:type="pct"/>
            <w:vAlign w:val="center"/>
          </w:tcPr>
          <w:p>
            <w:pPr>
              <w:spacing w:before="72" w:beforeLines="30" w:after="72" w:afterLines="3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072" w:type="pct"/>
            <w:vAlign w:val="center"/>
          </w:tcPr>
          <w:p>
            <w:pPr>
              <w:spacing w:before="72" w:beforeLines="30" w:after="72" w:afterLines="3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w:t>
            </w:r>
          </w:p>
        </w:tc>
        <w:tc>
          <w:tcPr>
            <w:tcW w:w="1262" w:type="pct"/>
            <w:vAlign w:val="center"/>
          </w:tcPr>
          <w:p>
            <w:pPr>
              <w:spacing w:before="72" w:beforeLines="30" w:after="72" w:afterLines="3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产品规格</w:t>
            </w:r>
          </w:p>
        </w:tc>
        <w:tc>
          <w:tcPr>
            <w:tcW w:w="673" w:type="pct"/>
            <w:vAlign w:val="center"/>
          </w:tcPr>
          <w:p>
            <w:pPr>
              <w:spacing w:before="72" w:beforeLines="30" w:after="72" w:afterLines="3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910" w:type="pct"/>
            <w:vAlign w:val="center"/>
          </w:tcPr>
          <w:p>
            <w:pPr>
              <w:spacing w:before="72" w:beforeLines="30" w:after="72" w:afterLines="30"/>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0" w:type="pct"/>
            <w:vMerge w:val="restart"/>
            <w:vAlign w:val="center"/>
          </w:tcPr>
          <w:p>
            <w:pPr>
              <w:spacing w:before="72" w:beforeLines="30" w:after="72" w:afterLines="3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c>
          <w:tcPr>
            <w:tcW w:w="791" w:type="pct"/>
            <w:vMerge w:val="restart"/>
            <w:vAlign w:val="center"/>
          </w:tcPr>
          <w:p>
            <w:pPr>
              <w:pStyle w:val="249"/>
              <w:rPr>
                <w:rFonts w:ascii="宋体" w:hAnsi="宋体" w:cs="宋体"/>
                <w:szCs w:val="21"/>
              </w:rPr>
            </w:pPr>
            <w:r>
              <w:rPr>
                <w:rFonts w:hint="eastAsia" w:ascii="宋体" w:hAnsi="宋体" w:cs="宋体"/>
                <w:szCs w:val="21"/>
              </w:rPr>
              <w:t>家具生产线</w:t>
            </w:r>
          </w:p>
        </w:tc>
        <w:tc>
          <w:tcPr>
            <w:tcW w:w="1072" w:type="pct"/>
            <w:vAlign w:val="center"/>
          </w:tcPr>
          <w:p>
            <w:pPr>
              <w:pStyle w:val="142"/>
              <w:spacing w:before="77" w:line="263" w:lineRule="exact"/>
              <w:ind w:left="101" w:right="75"/>
              <w:rPr>
                <w:rFonts w:hint="eastAsia" w:eastAsia="宋体"/>
                <w:sz w:val="21"/>
                <w:lang w:eastAsia="zh-CN"/>
              </w:rPr>
            </w:pPr>
            <w:r>
              <w:rPr>
                <w:rFonts w:hint="eastAsia" w:ascii="Times New Roman" w:hAnsi="Times New Roman" w:cs="Times New Roman"/>
                <w:sz w:val="21"/>
                <w:lang w:val="en-US" w:eastAsia="zh-CN"/>
              </w:rPr>
              <w:t>实木床</w:t>
            </w:r>
          </w:p>
        </w:tc>
        <w:tc>
          <w:tcPr>
            <w:tcW w:w="1262" w:type="pct"/>
            <w:vAlign w:val="center"/>
          </w:tcPr>
          <w:p>
            <w:pPr>
              <w:pStyle w:val="142"/>
              <w:spacing w:before="91"/>
              <w:ind w:left="26"/>
              <w:rPr>
                <w:rFonts w:ascii="Times New Roman" w:hAnsi="Times New Roman" w:cs="Times New Roman"/>
                <w:sz w:val="21"/>
              </w:rPr>
            </w:pPr>
            <w:r>
              <w:rPr>
                <w:rFonts w:hint="eastAsia" w:ascii="Times New Roman" w:hAnsi="Times New Roman" w:cs="Times New Roman"/>
                <w:sz w:val="21"/>
                <w:lang w:val="en-US" w:eastAsia="zh-CN"/>
              </w:rPr>
              <w:t>1.5m-2.2m</w:t>
            </w:r>
          </w:p>
        </w:tc>
        <w:tc>
          <w:tcPr>
            <w:tcW w:w="673" w:type="pct"/>
            <w:vAlign w:val="center"/>
          </w:tcPr>
          <w:p>
            <w:pPr>
              <w:pStyle w:val="142"/>
              <w:spacing w:before="91"/>
              <w:ind w:left="26"/>
              <w:rPr>
                <w:rFonts w:hint="eastAsia" w:ascii="Times New Roman" w:eastAsia="宋体"/>
                <w:sz w:val="21"/>
                <w:lang w:eastAsia="zh-CN"/>
              </w:rPr>
            </w:pPr>
            <w:r>
              <w:rPr>
                <w:rFonts w:hint="eastAsia" w:ascii="Times New Roman" w:hAnsi="Times New Roman" w:cs="Times New Roman"/>
                <w:sz w:val="21"/>
                <w:lang w:val="en-US" w:eastAsia="zh-CN"/>
              </w:rPr>
              <w:t>1</w:t>
            </w:r>
            <w:r>
              <w:rPr>
                <w:rFonts w:hint="eastAsia" w:ascii="Times New Roman" w:hAnsi="Times New Roman" w:cs="Times New Roman"/>
                <w:sz w:val="21"/>
              </w:rPr>
              <w:t>5000</w:t>
            </w:r>
            <w:r>
              <w:rPr>
                <w:rFonts w:hint="eastAsia" w:ascii="Times New Roman" w:hAnsi="Times New Roman" w:cs="Times New Roman"/>
                <w:sz w:val="21"/>
                <w:lang w:val="en-US" w:eastAsia="zh-CN"/>
              </w:rPr>
              <w:t>套</w:t>
            </w:r>
          </w:p>
        </w:tc>
        <w:tc>
          <w:tcPr>
            <w:tcW w:w="910" w:type="pct"/>
            <w:vMerge w:val="restart"/>
            <w:vAlign w:val="center"/>
          </w:tcPr>
          <w:p>
            <w:pPr>
              <w:spacing w:before="72" w:beforeLines="30" w:after="72" w:afterLines="30"/>
              <w:jc w:val="center"/>
              <w:rPr>
                <w:rFonts w:eastAsia="宋体"/>
                <w:sz w:val="21"/>
                <w:szCs w:val="21"/>
              </w:rPr>
            </w:pPr>
            <w:r>
              <w:rPr>
                <w:rFonts w:eastAsia="宋体"/>
                <w:sz w:val="21"/>
                <w:szCs w:val="21"/>
              </w:rPr>
              <w:t>生产时数</w:t>
            </w:r>
            <w:r>
              <w:rPr>
                <w:rFonts w:hint="eastAsia" w:eastAsia="宋体"/>
                <w:sz w:val="21"/>
                <w:szCs w:val="21"/>
              </w:rPr>
              <w:t>2400</w:t>
            </w:r>
            <w:r>
              <w:rPr>
                <w:rFonts w:eastAsia="宋体"/>
                <w:sz w:val="21"/>
                <w:szCs w:val="21"/>
              </w:rPr>
              <w:t>h/a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0" w:type="pct"/>
            <w:vMerge w:val="continue"/>
            <w:vAlign w:val="center"/>
          </w:tcPr>
          <w:p>
            <w:pPr>
              <w:spacing w:before="72" w:beforeLines="30" w:after="72" w:afterLines="30"/>
              <w:jc w:val="center"/>
              <w:rPr>
                <w:rFonts w:eastAsia="宋体"/>
                <w:color w:val="000000" w:themeColor="text1"/>
                <w:sz w:val="21"/>
                <w:szCs w:val="21"/>
                <w14:textFill>
                  <w14:solidFill>
                    <w14:schemeClr w14:val="tx1"/>
                  </w14:solidFill>
                </w14:textFill>
              </w:rPr>
            </w:pPr>
            <w:bookmarkStart w:id="111" w:name="_Toc32524"/>
            <w:bookmarkStart w:id="112" w:name="_Toc18085"/>
            <w:bookmarkStart w:id="113" w:name="_Toc20743"/>
            <w:bookmarkStart w:id="114" w:name="_Toc11684"/>
          </w:p>
        </w:tc>
        <w:tc>
          <w:tcPr>
            <w:tcW w:w="791" w:type="pct"/>
            <w:vMerge w:val="continue"/>
            <w:vAlign w:val="center"/>
          </w:tcPr>
          <w:p>
            <w:pPr>
              <w:pStyle w:val="249"/>
              <w:rPr>
                <w:rFonts w:hint="eastAsia" w:ascii="宋体" w:hAnsi="宋体" w:cs="宋体"/>
                <w:szCs w:val="21"/>
              </w:rPr>
            </w:pPr>
          </w:p>
        </w:tc>
        <w:tc>
          <w:tcPr>
            <w:tcW w:w="1072" w:type="pct"/>
            <w:vAlign w:val="center"/>
          </w:tcPr>
          <w:p>
            <w:pPr>
              <w:pStyle w:val="142"/>
              <w:spacing w:before="77" w:line="263" w:lineRule="exact"/>
              <w:ind w:left="101" w:right="75"/>
              <w:rPr>
                <w:rFonts w:hint="eastAsia" w:ascii="Times New Roman" w:hAnsi="Times New Roman" w:eastAsia="宋体" w:cs="Times New Roman"/>
                <w:sz w:val="21"/>
                <w:lang w:val="en-US" w:eastAsia="zh-CN"/>
              </w:rPr>
            </w:pPr>
            <w:r>
              <w:rPr>
                <w:rFonts w:hint="eastAsia" w:ascii="Times New Roman" w:hAnsi="Times New Roman" w:cs="Times New Roman"/>
                <w:sz w:val="21"/>
                <w:lang w:val="en-US" w:eastAsia="zh-CN"/>
              </w:rPr>
              <w:t>木柜</w:t>
            </w:r>
          </w:p>
        </w:tc>
        <w:tc>
          <w:tcPr>
            <w:tcW w:w="1262" w:type="pct"/>
            <w:vAlign w:val="center"/>
          </w:tcPr>
          <w:p>
            <w:pPr>
              <w:pStyle w:val="142"/>
              <w:spacing w:before="91"/>
              <w:ind w:left="26"/>
              <w:rPr>
                <w:rFonts w:hint="eastAsia" w:ascii="Times New Roman" w:hAnsi="Times New Roman" w:cs="Times New Roman"/>
                <w:sz w:val="21"/>
              </w:rPr>
            </w:pPr>
            <w:r>
              <w:rPr>
                <w:rFonts w:hint="eastAsia" w:ascii="Times New Roman" w:hAnsi="Times New Roman" w:cs="Times New Roman"/>
                <w:sz w:val="21"/>
              </w:rPr>
              <w:t>根据客户要求定制</w:t>
            </w:r>
          </w:p>
        </w:tc>
        <w:tc>
          <w:tcPr>
            <w:tcW w:w="673" w:type="pct"/>
            <w:vAlign w:val="center"/>
          </w:tcPr>
          <w:p>
            <w:pPr>
              <w:pStyle w:val="142"/>
              <w:spacing w:before="91"/>
              <w:ind w:left="26"/>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20000个</w:t>
            </w:r>
          </w:p>
        </w:tc>
        <w:tc>
          <w:tcPr>
            <w:tcW w:w="910" w:type="pct"/>
            <w:vMerge w:val="continue"/>
            <w:vAlign w:val="center"/>
          </w:tcPr>
          <w:p>
            <w:pPr>
              <w:spacing w:before="72" w:beforeLines="30" w:after="72" w:afterLines="30"/>
              <w:jc w:val="center"/>
              <w:rPr>
                <w:rFonts w:eastAsia="宋体"/>
                <w:sz w:val="21"/>
                <w:szCs w:val="21"/>
              </w:rPr>
            </w:pPr>
          </w:p>
        </w:tc>
      </w:tr>
    </w:tbl>
    <w:p>
      <w:pPr>
        <w:pStyle w:val="2"/>
        <w:adjustRightInd w:val="0"/>
        <w:snapToGrid w:val="0"/>
        <w:spacing w:line="480" w:lineRule="exact"/>
        <w:rPr>
          <w:rFonts w:eastAsia="宋体"/>
        </w:rPr>
      </w:pPr>
      <w:r>
        <w:rPr>
          <w:rFonts w:eastAsia="宋体"/>
        </w:rPr>
        <w:t>3.</w:t>
      </w:r>
      <w:r>
        <w:rPr>
          <w:rFonts w:hint="eastAsia" w:eastAsia="宋体"/>
        </w:rPr>
        <w:t>5</w:t>
      </w:r>
      <w:r>
        <w:rPr>
          <w:rFonts w:eastAsia="宋体"/>
        </w:rPr>
        <w:t>.1 生产工艺简介</w:t>
      </w:r>
      <w:bookmarkEnd w:id="111"/>
      <w:bookmarkEnd w:id="112"/>
      <w:bookmarkEnd w:id="113"/>
      <w:bookmarkEnd w:id="114"/>
    </w:p>
    <w:p>
      <w:pPr>
        <w:adjustRightInd w:val="0"/>
        <w:snapToGrid w:val="0"/>
        <w:spacing w:line="500" w:lineRule="exact"/>
        <w:ind w:firstLine="480" w:firstLineChars="200"/>
        <w:jc w:val="left"/>
        <w:rPr>
          <w:rFonts w:hint="eastAsia" w:eastAsiaTheme="minorEastAsia"/>
          <w:bCs/>
        </w:rPr>
      </w:pPr>
      <w:r>
        <w:rPr>
          <w:rFonts w:hint="eastAsia" w:eastAsiaTheme="minorEastAsia"/>
          <w:bCs/>
        </w:rPr>
        <w:t>项目生产工艺流程图见图3-2。</w:t>
      </w:r>
    </w:p>
    <w:p>
      <w:pPr>
        <w:pStyle w:val="47"/>
      </w:pPr>
      <w:r>
        <w:drawing>
          <wp:inline distT="0" distB="0" distL="114300" distR="114300">
            <wp:extent cx="4648200" cy="461010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7"/>
                    <a:stretch>
                      <a:fillRect/>
                    </a:stretch>
                  </pic:blipFill>
                  <pic:spPr>
                    <a:xfrm>
                      <a:off x="0" y="0"/>
                      <a:ext cx="4648200" cy="4610100"/>
                    </a:xfrm>
                    <a:prstGeom prst="rect">
                      <a:avLst/>
                    </a:prstGeom>
                    <a:noFill/>
                    <a:ln>
                      <a:noFill/>
                    </a:ln>
                  </pic:spPr>
                </pic:pic>
              </a:graphicData>
            </a:graphic>
          </wp:inline>
        </w:drawing>
      </w:r>
    </w:p>
    <w:p>
      <w:pPr>
        <w:pStyle w:val="13"/>
        <w:spacing w:after="0" w:line="500" w:lineRule="exact"/>
        <w:jc w:val="center"/>
      </w:pPr>
      <w:bookmarkStart w:id="115" w:name="_Toc11213"/>
      <w:r>
        <w:rPr>
          <w:rFonts w:hint="eastAsia" w:eastAsia="宋体"/>
          <w:b/>
          <w:bCs/>
          <w:kern w:val="0"/>
        </w:rPr>
        <w:t>图3-2 家具生产工艺流程图</w:t>
      </w:r>
    </w:p>
    <w:p>
      <w:pPr>
        <w:snapToGrid w:val="0"/>
        <w:spacing w:line="500" w:lineRule="exact"/>
        <w:ind w:firstLine="482" w:firstLineChars="200"/>
        <w:jc w:val="left"/>
        <w:rPr>
          <w:rFonts w:eastAsia="宋体"/>
          <w:b/>
          <w:bCs/>
          <w:kern w:val="0"/>
        </w:rPr>
      </w:pPr>
      <w:r>
        <w:rPr>
          <w:rFonts w:eastAsia="宋体"/>
          <w:b/>
          <w:bCs/>
          <w:kern w:val="0"/>
        </w:rPr>
        <w:t>家具工艺流程简述：</w:t>
      </w:r>
    </w:p>
    <w:p>
      <w:pPr>
        <w:spacing w:line="500" w:lineRule="exact"/>
        <w:ind w:firstLine="480" w:firstLineChars="200"/>
        <w:jc w:val="left"/>
        <w:rPr>
          <w:rFonts w:hint="default" w:ascii="Times New Roman" w:hAnsi="Times New Roman" w:eastAsia="宋体" w:cs="Times New Roman"/>
          <w:b/>
          <w:bCs w:val="0"/>
          <w:sz w:val="24"/>
          <w:lang w:val="zh-CN" w:eastAsia="zh-CN"/>
        </w:rPr>
      </w:pPr>
      <w:r>
        <w:rPr>
          <w:rFonts w:hint="default" w:ascii="Times New Roman" w:hAnsi="Times New Roman" w:eastAsia="宋体" w:cs="Times New Roman"/>
          <w:bCs/>
          <w:sz w:val="24"/>
          <w:lang w:val="zh-CN" w:eastAsia="zh-CN"/>
        </w:rPr>
        <w:t>（1）</w:t>
      </w:r>
      <w:r>
        <w:rPr>
          <w:rFonts w:hint="default" w:ascii="Times New Roman" w:hAnsi="Times New Roman" w:eastAsia="宋体" w:cs="Times New Roman"/>
          <w:b/>
          <w:bCs w:val="0"/>
          <w:sz w:val="24"/>
          <w:lang w:val="zh-CN" w:eastAsia="zh-CN"/>
        </w:rPr>
        <w:t>下料</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首先将实木木材、多层板按照产品设计尺寸要求，使用开料锯、截料锯、单片锯、多片锯等设备进行裁切下料，得到需要的板材。</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下料过程产生木加工粉尘（G1）、木材边角料（S1）、噪声（N）。</w:t>
      </w:r>
    </w:p>
    <w:p>
      <w:pPr>
        <w:spacing w:line="500" w:lineRule="exact"/>
        <w:ind w:firstLine="480" w:firstLineChars="200"/>
        <w:jc w:val="left"/>
        <w:rPr>
          <w:rFonts w:hint="default" w:ascii="Times New Roman" w:hAnsi="Times New Roman" w:eastAsia="宋体" w:cs="Times New Roman"/>
          <w:bCs/>
          <w:sz w:val="24"/>
          <w:lang w:val="zh-CN" w:eastAsia="zh-CN"/>
        </w:rPr>
      </w:pPr>
      <w:r>
        <w:rPr>
          <w:rFonts w:hint="default" w:ascii="Times New Roman" w:hAnsi="Times New Roman" w:eastAsia="宋体" w:cs="Times New Roman"/>
          <w:bCs/>
          <w:sz w:val="24"/>
          <w:lang w:val="zh-CN" w:eastAsia="zh-CN"/>
        </w:rPr>
        <w:t>（2）</w:t>
      </w:r>
      <w:r>
        <w:rPr>
          <w:rFonts w:hint="default" w:ascii="Times New Roman" w:hAnsi="Times New Roman" w:eastAsia="宋体" w:cs="Times New Roman"/>
          <w:b/>
          <w:bCs w:val="0"/>
          <w:sz w:val="24"/>
          <w:lang w:val="zh-CN" w:eastAsia="zh-CN"/>
        </w:rPr>
        <w:t>刨料</w:t>
      </w:r>
    </w:p>
    <w:p>
      <w:pPr>
        <w:spacing w:line="500" w:lineRule="exact"/>
        <w:ind w:firstLine="480" w:firstLineChars="200"/>
        <w:jc w:val="left"/>
        <w:rPr>
          <w:rFonts w:hint="default" w:ascii="Times New Roman" w:hAnsi="Times New Roman" w:eastAsia="宋体" w:cs="Times New Roman"/>
          <w:bCs/>
          <w:sz w:val="24"/>
          <w:lang w:val="zh-CN" w:eastAsia="zh-CN"/>
        </w:rPr>
      </w:pPr>
      <w:r>
        <w:rPr>
          <w:rFonts w:hint="default" w:ascii="Times New Roman" w:hAnsi="Times New Roman" w:eastAsia="宋体" w:cs="Times New Roman"/>
          <w:bCs/>
          <w:sz w:val="24"/>
          <w:lang w:val="zh-CN" w:eastAsia="zh-CN"/>
        </w:rPr>
        <w:t>将断料后的木材利用单面刨、双面刨、四面刨、斜口平面刨进行刨料加工。</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刨料过程产生木加工粉尘（G2）、木材边角料（S2）、噪声（N）。</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zh-CN" w:eastAsia="zh-CN"/>
        </w:rPr>
        <w:t>（3）</w:t>
      </w:r>
      <w:r>
        <w:rPr>
          <w:rFonts w:hint="default" w:ascii="Times New Roman" w:hAnsi="Times New Roman" w:eastAsia="宋体" w:cs="Times New Roman"/>
          <w:b/>
          <w:bCs w:val="0"/>
          <w:sz w:val="24"/>
          <w:lang w:val="zh-CN" w:eastAsia="zh-CN"/>
        </w:rPr>
        <w:t>砂光</w:t>
      </w:r>
    </w:p>
    <w:p>
      <w:pPr>
        <w:spacing w:line="500" w:lineRule="exact"/>
        <w:ind w:firstLine="480" w:firstLineChars="200"/>
        <w:jc w:val="left"/>
        <w:rPr>
          <w:rFonts w:hint="default" w:ascii="Times New Roman" w:hAnsi="Times New Roman" w:eastAsia="宋体" w:cs="Times New Roman"/>
          <w:bCs/>
          <w:sz w:val="24"/>
          <w:lang w:val="zh-CN" w:eastAsia="zh-CN"/>
        </w:rPr>
      </w:pPr>
      <w:r>
        <w:rPr>
          <w:rFonts w:hint="default" w:ascii="Times New Roman" w:hAnsi="Times New Roman" w:eastAsia="宋体" w:cs="Times New Roman"/>
          <w:bCs/>
          <w:sz w:val="24"/>
          <w:lang w:val="zh-CN" w:eastAsia="zh-CN"/>
        </w:rPr>
        <w:t>将刨料后的木板使用砂光机、立砂机、压砂机、震荡砂光机、宽带</w:t>
      </w:r>
      <w:r>
        <w:rPr>
          <w:rFonts w:hint="default" w:ascii="Times New Roman" w:hAnsi="Times New Roman" w:eastAsia="宋体" w:cs="Times New Roman"/>
          <w:bCs/>
          <w:sz w:val="24"/>
          <w:lang w:val="en-US" w:eastAsia="zh-CN"/>
        </w:rPr>
        <w:t>刨砂机</w:t>
      </w:r>
      <w:r>
        <w:rPr>
          <w:rFonts w:hint="default" w:ascii="Times New Roman" w:hAnsi="Times New Roman" w:eastAsia="宋体" w:cs="Times New Roman"/>
          <w:bCs/>
          <w:sz w:val="24"/>
          <w:lang w:val="zh-CN" w:eastAsia="zh-CN"/>
        </w:rPr>
        <w:t>进行砂光加工，以去除木材表面的毛刺等，使其表面平整、光滑。</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砂光过程会产生木加工粉尘（G3）、噪声（N）。</w:t>
      </w:r>
    </w:p>
    <w:p>
      <w:pPr>
        <w:spacing w:line="500" w:lineRule="exact"/>
        <w:ind w:firstLine="480" w:firstLineChars="200"/>
        <w:jc w:val="left"/>
        <w:rPr>
          <w:rFonts w:hint="default" w:ascii="Times New Roman" w:hAnsi="Times New Roman" w:eastAsia="宋体" w:cs="Times New Roman"/>
          <w:bCs/>
          <w:sz w:val="24"/>
          <w:lang w:val="zh-CN" w:eastAsia="zh-CN"/>
        </w:rPr>
      </w:pPr>
      <w:r>
        <w:rPr>
          <w:rFonts w:hint="default" w:ascii="Times New Roman" w:hAnsi="Times New Roman" w:eastAsia="宋体" w:cs="Times New Roman"/>
          <w:bCs/>
          <w:sz w:val="24"/>
          <w:lang w:val="zh-CN" w:eastAsia="zh-CN"/>
        </w:rPr>
        <w:t>（4）</w:t>
      </w:r>
      <w:r>
        <w:rPr>
          <w:rFonts w:hint="default" w:ascii="Times New Roman" w:hAnsi="Times New Roman" w:eastAsia="宋体" w:cs="Times New Roman"/>
          <w:b/>
          <w:bCs w:val="0"/>
          <w:sz w:val="24"/>
          <w:lang w:val="zh-CN" w:eastAsia="zh-CN"/>
        </w:rPr>
        <w:t>冷压</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根据需要，将部分木板与木板使用拼板机、冷压机黏贴压实，增加板材厚度，此处使用白乳胶作为粘接剂，在常温下对其进行加压粘结后自然固化，冷压时间约为8min。</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冷压过程会产生冷压废气（G4）。</w:t>
      </w:r>
    </w:p>
    <w:p>
      <w:pPr>
        <w:spacing w:line="500" w:lineRule="exact"/>
        <w:ind w:firstLine="480" w:firstLineChars="200"/>
        <w:jc w:val="left"/>
        <w:rPr>
          <w:rFonts w:hint="default" w:ascii="Times New Roman" w:hAnsi="Times New Roman" w:eastAsia="宋体" w:cs="Times New Roman"/>
          <w:bCs/>
          <w:sz w:val="24"/>
          <w:lang w:val="zh-CN" w:eastAsia="zh-CN"/>
        </w:rPr>
      </w:pPr>
      <w:r>
        <w:rPr>
          <w:rFonts w:hint="default" w:ascii="Times New Roman" w:hAnsi="Times New Roman" w:eastAsia="宋体" w:cs="Times New Roman"/>
          <w:bCs/>
          <w:sz w:val="24"/>
          <w:lang w:val="zh-CN" w:eastAsia="zh-CN"/>
        </w:rPr>
        <w:t>（5）</w:t>
      </w:r>
      <w:r>
        <w:rPr>
          <w:rFonts w:hint="default" w:ascii="Times New Roman" w:hAnsi="Times New Roman" w:eastAsia="宋体" w:cs="Times New Roman"/>
          <w:b/>
          <w:bCs w:val="0"/>
          <w:sz w:val="24"/>
          <w:lang w:val="zh-CN" w:eastAsia="zh-CN"/>
        </w:rPr>
        <w:t>精加工</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使用立铣机、吊镂机、加工中心、三排钻、五排钻、数控榫机、锯片出榫机等设备，对工件进行铣形、钻孔、榫卯加工。</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精加工过程会产生木加工粉尘（G5）、木材边角料（S3）、噪声（N）。</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（6）</w:t>
      </w:r>
      <w:r>
        <w:rPr>
          <w:rFonts w:hint="default" w:ascii="Times New Roman" w:hAnsi="Times New Roman" w:eastAsia="宋体" w:cs="Times New Roman"/>
          <w:b/>
          <w:bCs w:val="0"/>
          <w:sz w:val="24"/>
          <w:lang w:val="en-US" w:eastAsia="zh-CN"/>
        </w:rPr>
        <w:t>试装</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对加工后的板材进行试装，提前观察安装效果，试装合格后则可进行后续操作，不合格品重新加工，此过程消耗部分五金配件等进行组装。</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试装过程会产生少量废零件（S4）。</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（7）</w:t>
      </w:r>
      <w:r>
        <w:rPr>
          <w:rFonts w:hint="default" w:ascii="Times New Roman" w:hAnsi="Times New Roman" w:eastAsia="宋体" w:cs="Times New Roman"/>
          <w:b/>
          <w:bCs w:val="0"/>
          <w:sz w:val="24"/>
          <w:lang w:val="en-US" w:eastAsia="zh-CN"/>
        </w:rPr>
        <w:t>打磨</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将工件表面的毛刺通过手持式打磨机进行打磨，以满足喷漆前木料表面平整光滑的要求，提高下步整体涂装效果。</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打磨过程会产生打磨废气（G6）、噪声（N）。</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打磨后按产品定制要求选择喷水性漆。</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（8）</w:t>
      </w:r>
      <w:r>
        <w:rPr>
          <w:rFonts w:hint="default" w:ascii="Times New Roman" w:hAnsi="Times New Roman" w:eastAsia="宋体" w:cs="Times New Roman"/>
          <w:b/>
          <w:bCs w:val="0"/>
          <w:sz w:val="24"/>
          <w:lang w:val="en-US" w:eastAsia="zh-CN"/>
        </w:rPr>
        <w:t>擦色</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人工用颜料对板材表面进行擦色，可以使木材的纹理得到填充以节省漆料的用量，并满足工件表面的平整、平滑，提高整体涂装效果。此过程将色精、水按照1:50的比例混合形成颜料后使用。</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擦色过程会产生擦色废气（G8）、废包装桶（S5-1）、废刷子（S6）。</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（9）</w:t>
      </w:r>
      <w:r>
        <w:rPr>
          <w:rFonts w:hint="default" w:ascii="Times New Roman" w:hAnsi="Times New Roman" w:eastAsia="宋体" w:cs="Times New Roman"/>
          <w:b/>
          <w:bCs w:val="0"/>
          <w:sz w:val="24"/>
          <w:lang w:val="en-US" w:eastAsia="zh-CN"/>
        </w:rPr>
        <w:t>调底漆、喷底漆及烘干</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①</w:t>
      </w:r>
      <w:r>
        <w:rPr>
          <w:rFonts w:hint="default" w:ascii="Times New Roman" w:hAnsi="Times New Roman" w:eastAsia="宋体" w:cs="Times New Roman"/>
          <w:b/>
          <w:bCs w:val="0"/>
          <w:sz w:val="24"/>
          <w:lang w:val="en-US" w:eastAsia="zh-CN"/>
        </w:rPr>
        <w:t>调底漆</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本项目2#生产车间3层设有1间调漆房，尺寸为9m（长）×2.5m（宽）×3m（高），底漆喷漆前需在调漆房内将水性底漆、固化剂、水按5:1:1的比例在调漆桶中调配混匀。此过程人工操作，会产生调漆废气（G9-1）、废包装桶（S5-2）。</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②</w:t>
      </w:r>
      <w:r>
        <w:rPr>
          <w:rFonts w:hint="default" w:ascii="Times New Roman" w:hAnsi="Times New Roman" w:eastAsia="宋体" w:cs="Times New Roman"/>
          <w:b/>
          <w:bCs w:val="0"/>
          <w:sz w:val="24"/>
          <w:lang w:val="en-US" w:eastAsia="zh-CN"/>
        </w:rPr>
        <w:t>喷底漆</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本项目2#生产车间3层设有4间底漆喷漆房，尺寸均为9m（长）×5m（宽）×3m（高），每间底漆喷漆房设置1个喷漆工位，喷漆时喷漆房关闭，喷涂方式为平面喷涂，使用无气喷涂法，操作者手持高压无气喷枪把涂料喷涂到工件的表面，形成涂层。每间底漆喷漆房配备1把喷枪，喷枪不作业时浸泡在水中，每天工作结束后清洗喷枪，产生的喷枪清洗水作为调漆用水。该工序会产生喷漆废气（G10-1）、废漆渣（S7-1）、设备噪声（N）。</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③</w:t>
      </w:r>
      <w:r>
        <w:rPr>
          <w:rFonts w:hint="default" w:ascii="Times New Roman" w:hAnsi="Times New Roman" w:eastAsia="宋体" w:cs="Times New Roman"/>
          <w:b/>
          <w:bCs w:val="0"/>
          <w:sz w:val="24"/>
          <w:lang w:val="en-US" w:eastAsia="zh-CN"/>
        </w:rPr>
        <w:t>烘干</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本项目2#生产车间3层设有4间底漆烘干房，尺寸均为9m（长）×10m（宽）×3m（高），烘干房内配备烘干抽湿机，通过设备电加热降低房间湿度，同时控制房间温度为20-25</w:t>
      </w:r>
      <w:r>
        <w:rPr>
          <w:rFonts w:hint="default" w:ascii="Times New Roman" w:hAnsi="Times New Roman" w:eastAsia="宋体" w:cs="Times New Roman"/>
          <w:bCs/>
          <w:sz w:val="24"/>
          <w:lang w:val="en-US" w:eastAsia="ja-JP"/>
        </w:rPr>
        <w:t>℃</w:t>
      </w:r>
      <w:r>
        <w:rPr>
          <w:rFonts w:hint="default" w:ascii="Times New Roman" w:hAnsi="Times New Roman" w:eastAsia="宋体" w:cs="Times New Roman"/>
          <w:bCs/>
          <w:sz w:val="24"/>
          <w:lang w:val="en-US" w:eastAsia="zh-CN"/>
        </w:rPr>
        <w:t>，喷完底漆后，产品通过各自密闭的底漆烘干房烘干，单批烘干时间为3h。该工序会产生烘干废气（G11-1）。</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（10）</w:t>
      </w:r>
      <w:r>
        <w:rPr>
          <w:rFonts w:hint="default" w:ascii="Times New Roman" w:hAnsi="Times New Roman" w:eastAsia="宋体" w:cs="Times New Roman"/>
          <w:b/>
          <w:bCs w:val="0"/>
          <w:sz w:val="24"/>
          <w:lang w:val="en-US" w:eastAsia="zh-CN"/>
        </w:rPr>
        <w:t>底漆打磨</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本项目2#生产车间3层设有2间水式打磨房，尺寸均为18m（长）×9m（宽）×3m（高），底漆烘干后，漆膜会有不均匀的现象，且表面粗糙，需通过手持式打磨机将木料表面进行打磨使其光滑，便于后续面漆喷涂。</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此工序会产生底漆打磨粉尘（G12）和设备噪声（N）。</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（11）</w:t>
      </w:r>
      <w:r>
        <w:rPr>
          <w:rFonts w:hint="default" w:ascii="Times New Roman" w:hAnsi="Times New Roman" w:eastAsia="宋体" w:cs="Times New Roman"/>
          <w:b/>
          <w:bCs w:val="0"/>
          <w:sz w:val="24"/>
          <w:lang w:val="en-US" w:eastAsia="zh-CN"/>
        </w:rPr>
        <w:t>调面漆、喷面漆及烘干</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①</w:t>
      </w:r>
      <w:r>
        <w:rPr>
          <w:rFonts w:hint="default" w:ascii="Times New Roman" w:hAnsi="Times New Roman" w:eastAsia="宋体" w:cs="Times New Roman"/>
          <w:b/>
          <w:bCs w:val="0"/>
          <w:sz w:val="24"/>
          <w:lang w:val="en-US" w:eastAsia="zh-CN"/>
        </w:rPr>
        <w:t>调面漆</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本项目在2#生产车间四层设有1间调漆房，尺寸均为9m（长）×2.5m（宽）×3m（高），面漆喷漆前需在调漆房内将水性面漆、固化剂、水按10:2:1的比例在调漆桶中调配混匀，此过程人工操作，该工序会产生调漆废气（G9-2）、废包装桶（S5-3）。</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②</w:t>
      </w:r>
      <w:r>
        <w:rPr>
          <w:rFonts w:hint="default" w:ascii="Times New Roman" w:hAnsi="Times New Roman" w:eastAsia="宋体" w:cs="Times New Roman"/>
          <w:b/>
          <w:bCs w:val="0"/>
          <w:sz w:val="24"/>
          <w:lang w:val="en-US" w:eastAsia="zh-CN"/>
        </w:rPr>
        <w:t>喷面漆</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本项目2#生产车间4层设有4间面漆喷漆房，尺寸均为9m（长）×5m（宽）×3m（高），每间底漆喷漆房设置1个喷漆工位，喷漆时喷漆房关闭，喷涂方式为平面喷涂，使用无气喷涂法，操作者手持高压无气喷枪把涂料喷涂到工件的表面，形成涂层。每间面漆喷漆房配备1把喷枪，喷枪不作业时浸泡在水中，每天工作结束后清洗喷枪，产生的喷枪清洗水作为调漆用水，不对外排放。该工序会产生喷漆废气（G10-2）、废漆渣（S7-2）、设备噪声（N）。</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③</w:t>
      </w:r>
      <w:r>
        <w:rPr>
          <w:rFonts w:hint="default" w:ascii="Times New Roman" w:hAnsi="Times New Roman" w:eastAsia="宋体" w:cs="Times New Roman"/>
          <w:b/>
          <w:bCs w:val="0"/>
          <w:sz w:val="24"/>
          <w:lang w:val="en-US" w:eastAsia="zh-CN"/>
        </w:rPr>
        <w:t>流平</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本项目在2#生产车间4层设有4间流平房，尺寸均为5m（长）×5m（宽）×3m（高），喷完面漆后，工件放置在流平房内静置30分钟，面漆膜流平同时起到一定表干作用，保证漆膜的平整度和光泽度。该工序会产生流平废气（G13）。</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④</w:t>
      </w:r>
      <w:r>
        <w:rPr>
          <w:rFonts w:hint="default" w:ascii="Times New Roman" w:hAnsi="Times New Roman" w:eastAsia="宋体" w:cs="Times New Roman"/>
          <w:b/>
          <w:bCs w:val="0"/>
          <w:sz w:val="24"/>
          <w:lang w:val="en-US" w:eastAsia="zh-CN"/>
        </w:rPr>
        <w:t>烘干</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本项目2#生产车间四层设有4间面漆烘干房，面积均为65m</w:t>
      </w:r>
      <w:r>
        <w:rPr>
          <w:rFonts w:hint="default" w:ascii="Times New Roman" w:hAnsi="Times New Roman" w:eastAsia="宋体" w:cs="Times New Roman"/>
          <w:bCs/>
          <w:sz w:val="24"/>
          <w:vertAlign w:val="superscript"/>
          <w:lang w:val="en-US" w:eastAsia="zh-CN"/>
        </w:rPr>
        <w:t>2</w:t>
      </w:r>
      <w:r>
        <w:rPr>
          <w:rFonts w:hint="default" w:ascii="Times New Roman" w:hAnsi="Times New Roman" w:eastAsia="宋体" w:cs="Times New Roman"/>
          <w:bCs/>
          <w:sz w:val="24"/>
          <w:lang w:val="en-US" w:eastAsia="zh-CN"/>
        </w:rPr>
        <w:t>，烘干房内配备烘干抽湿机，通过设备电加热降低房间湿度，同时控制房间温度为20-25</w:t>
      </w:r>
      <w:r>
        <w:rPr>
          <w:rFonts w:hint="default" w:ascii="Times New Roman" w:hAnsi="Times New Roman" w:eastAsia="宋体" w:cs="Times New Roman"/>
          <w:bCs/>
          <w:sz w:val="24"/>
          <w:lang w:val="en-US" w:eastAsia="ja-JP"/>
        </w:rPr>
        <w:t>℃</w:t>
      </w:r>
      <w:r>
        <w:rPr>
          <w:rFonts w:hint="default" w:ascii="Times New Roman" w:hAnsi="Times New Roman" w:eastAsia="宋体" w:cs="Times New Roman"/>
          <w:bCs/>
          <w:sz w:val="24"/>
          <w:lang w:val="en-US" w:eastAsia="zh-CN"/>
        </w:rPr>
        <w:t>，面漆流平后，产品通过各自的面漆烘干房烘干，单批烘干时间为3h。该工序会产生烘干废气（G11-2）。</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（12）</w:t>
      </w:r>
      <w:r>
        <w:rPr>
          <w:rFonts w:hint="default" w:ascii="Times New Roman" w:hAnsi="Times New Roman" w:eastAsia="宋体" w:cs="Times New Roman"/>
          <w:b/>
          <w:bCs w:val="0"/>
          <w:sz w:val="24"/>
          <w:lang w:val="en-US" w:eastAsia="zh-CN"/>
        </w:rPr>
        <w:t>缝纫/裁剪</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利用剪刀及缝纫机对外购的面料、皮革等进行裁剪拼接成所需要的尺寸规格，该工序产生的污染物主要为废材料（S9）及设备噪声（N）。</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（13）</w:t>
      </w:r>
      <w:r>
        <w:rPr>
          <w:rFonts w:hint="default" w:ascii="Times New Roman" w:hAnsi="Times New Roman" w:eastAsia="宋体" w:cs="Times New Roman"/>
          <w:b/>
          <w:bCs w:val="0"/>
          <w:sz w:val="24"/>
          <w:lang w:val="en-US" w:eastAsia="zh-CN"/>
        </w:rPr>
        <w:t>喷胶/粘贴</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实木床部分需进行软包处理。本项目在2#生产车间四层设有1间喷胶房，尺寸为9m（长）×4.5m（宽）×3m（高），在软包房内将加工好的木板上人工喷上水性胶，然后将外购成品海绵两层或三层叠加粘贴好，最后用裁切、缝制好的面料、皮料将海绵套住，形成坐垫、靠垫等配件。喷胶房内设置1个喷胶工位，喷胶时喷胶房关闭，喷涂方式为平面喷涂，使用无气喷涂法，操作者手持高压无气喷枪把水性喷胶喷涂到工件的表面。该工序会产生喷胶废气（G17）、废包装桶 （S5-4）及设备噪声（N）。</w:t>
      </w:r>
    </w:p>
    <w:p>
      <w:pPr>
        <w:spacing w:line="500" w:lineRule="exact"/>
        <w:ind w:firstLine="480" w:firstLineChars="200"/>
        <w:jc w:val="left"/>
        <w:rPr>
          <w:rFonts w:hint="default" w:ascii="Times New Roman" w:hAnsi="Times New Roman" w:eastAsia="宋体" w:cs="Times New Roman"/>
          <w:bCs/>
          <w:sz w:val="24"/>
          <w:lang w:val="en-US" w:eastAsia="zh-CN"/>
        </w:rPr>
      </w:pPr>
      <w:r>
        <w:rPr>
          <w:rFonts w:hint="default" w:ascii="Times New Roman" w:hAnsi="Times New Roman" w:eastAsia="宋体" w:cs="Times New Roman"/>
          <w:bCs/>
          <w:sz w:val="24"/>
          <w:lang w:val="en-US" w:eastAsia="zh-CN"/>
        </w:rPr>
        <w:t>（14）</w:t>
      </w:r>
      <w:r>
        <w:rPr>
          <w:rFonts w:hint="default" w:ascii="Times New Roman" w:hAnsi="Times New Roman" w:eastAsia="宋体" w:cs="Times New Roman"/>
          <w:b/>
          <w:bCs w:val="0"/>
          <w:sz w:val="24"/>
          <w:lang w:val="en-US" w:eastAsia="zh-CN"/>
        </w:rPr>
        <w:t>包装</w:t>
      </w:r>
    </w:p>
    <w:p>
      <w:pPr>
        <w:spacing w:line="500" w:lineRule="exact"/>
        <w:ind w:firstLine="480" w:firstLineChars="200"/>
        <w:rPr>
          <w:rFonts w:eastAsia="宋体"/>
          <w:b/>
          <w:bCs/>
          <w:kern w:val="0"/>
        </w:rPr>
      </w:pPr>
      <w:r>
        <w:rPr>
          <w:rFonts w:hint="default" w:ascii="Times New Roman" w:hAnsi="Times New Roman" w:eastAsia="宋体" w:cs="Times New Roman"/>
          <w:bCs/>
          <w:sz w:val="24"/>
          <w:lang w:val="en-US" w:eastAsia="zh-CN"/>
        </w:rPr>
        <w:t>将喷涂、烘干后的木制品进行包装。包装过程会产生废包装材料（S8-1、S8-2）。</w:t>
      </w:r>
    </w:p>
    <w:p>
      <w:pPr>
        <w:pStyle w:val="2"/>
        <w:adjustRightInd w:val="0"/>
        <w:snapToGrid w:val="0"/>
        <w:spacing w:line="480" w:lineRule="exact"/>
        <w:rPr>
          <w:rFonts w:eastAsia="宋体"/>
        </w:rPr>
      </w:pPr>
      <w:bookmarkStart w:id="116" w:name="_Toc10285"/>
      <w:bookmarkStart w:id="117" w:name="_Toc23680"/>
      <w:bookmarkStart w:id="118" w:name="_Toc3593"/>
      <w:r>
        <w:rPr>
          <w:rFonts w:eastAsia="宋体"/>
        </w:rPr>
        <w:t>3.</w:t>
      </w:r>
      <w:r>
        <w:rPr>
          <w:rFonts w:hint="eastAsia" w:eastAsia="宋体"/>
        </w:rPr>
        <w:t>5</w:t>
      </w:r>
      <w:r>
        <w:rPr>
          <w:rFonts w:eastAsia="宋体"/>
        </w:rPr>
        <w:t>.2 生产设备</w:t>
      </w:r>
      <w:bookmarkEnd w:id="115"/>
      <w:bookmarkEnd w:id="116"/>
      <w:bookmarkEnd w:id="117"/>
      <w:bookmarkEnd w:id="118"/>
    </w:p>
    <w:p>
      <w:pPr>
        <w:adjustRightInd w:val="0"/>
        <w:snapToGrid w:val="0"/>
        <w:spacing w:line="500" w:lineRule="exact"/>
        <w:ind w:firstLine="480" w:firstLineChars="200"/>
        <w:rPr>
          <w:rFonts w:eastAsia="宋体"/>
        </w:rPr>
      </w:pPr>
      <w:r>
        <w:rPr>
          <w:rFonts w:eastAsia="宋体"/>
          <w:kern w:val="0"/>
        </w:rPr>
        <w:t>公司生产及公用设备见表3-1</w:t>
      </w:r>
      <w:r>
        <w:rPr>
          <w:rFonts w:hint="eastAsia" w:eastAsia="宋体"/>
          <w:kern w:val="0"/>
        </w:rPr>
        <w:t>1</w:t>
      </w:r>
      <w:r>
        <w:rPr>
          <w:rFonts w:eastAsia="宋体"/>
          <w:kern w:val="0"/>
        </w:rPr>
        <w:t>。</w:t>
      </w:r>
    </w:p>
    <w:p>
      <w:pPr>
        <w:adjustRightInd w:val="0"/>
        <w:snapToGrid w:val="0"/>
        <w:spacing w:line="500" w:lineRule="exact"/>
        <w:jc w:val="center"/>
        <w:rPr>
          <w:rFonts w:eastAsia="宋体"/>
          <w:b/>
        </w:rPr>
      </w:pPr>
      <w:r>
        <w:rPr>
          <w:rFonts w:eastAsia="宋体"/>
          <w:b/>
        </w:rPr>
        <w:t>表3-1</w:t>
      </w:r>
      <w:r>
        <w:rPr>
          <w:rFonts w:hint="eastAsia" w:eastAsia="宋体"/>
          <w:b/>
        </w:rPr>
        <w:t>1</w:t>
      </w:r>
      <w:r>
        <w:rPr>
          <w:rFonts w:eastAsia="宋体"/>
          <w:b/>
        </w:rPr>
        <w:t xml:space="preserve"> 主要生产及公用设备统计表</w:t>
      </w:r>
    </w:p>
    <w:tbl>
      <w:tblPr>
        <w:tblStyle w:val="38"/>
        <w:tblW w:w="52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49"/>
        <w:gridCol w:w="1130"/>
        <w:gridCol w:w="1131"/>
        <w:gridCol w:w="1841"/>
        <w:gridCol w:w="211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2" w:type="pct"/>
            <w:gridSpan w:val="2"/>
            <w:shd w:val="clear" w:color="auto" w:fill="auto"/>
            <w:noWrap/>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生产车间</w:t>
            </w:r>
          </w:p>
        </w:tc>
        <w:tc>
          <w:tcPr>
            <w:tcW w:w="534" w:type="pct"/>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主要生产单元</w:t>
            </w:r>
          </w:p>
        </w:tc>
        <w:tc>
          <w:tcPr>
            <w:tcW w:w="535" w:type="pct"/>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主要工艺</w:t>
            </w:r>
          </w:p>
        </w:tc>
        <w:tc>
          <w:tcPr>
            <w:tcW w:w="871" w:type="pct"/>
            <w:shd w:val="clear" w:color="auto" w:fill="auto"/>
            <w:noWrap/>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设备名称</w:t>
            </w:r>
          </w:p>
        </w:tc>
        <w:tc>
          <w:tcPr>
            <w:tcW w:w="1000" w:type="pct"/>
            <w:shd w:val="clear" w:color="auto" w:fill="auto"/>
            <w:noWrap/>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环评数量（台/套）</w:t>
            </w:r>
          </w:p>
        </w:tc>
        <w:tc>
          <w:tcPr>
            <w:tcW w:w="1015" w:type="pct"/>
            <w:shd w:val="clear" w:color="auto" w:fill="auto"/>
            <w:noWrap/>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是否为淘汰落后生产工艺设备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restart"/>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w:t>
            </w:r>
          </w:p>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w:t>
            </w:r>
          </w:p>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车</w:t>
            </w:r>
          </w:p>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w:t>
            </w:r>
          </w:p>
        </w:tc>
        <w:tc>
          <w:tcPr>
            <w:tcW w:w="401" w:type="pct"/>
            <w:vMerge w:val="restart"/>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一层</w:t>
            </w:r>
          </w:p>
        </w:tc>
        <w:tc>
          <w:tcPr>
            <w:tcW w:w="534" w:type="pct"/>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下料</w:t>
            </w:r>
          </w:p>
        </w:tc>
        <w:tc>
          <w:tcPr>
            <w:tcW w:w="535" w:type="pct"/>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锯料</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开料锯</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1</w:t>
            </w:r>
          </w:p>
        </w:tc>
        <w:tc>
          <w:tcPr>
            <w:tcW w:w="1015" w:type="pct"/>
            <w:shd w:val="clear" w:color="auto" w:fill="auto"/>
            <w:noWrap/>
            <w:vAlign w:val="center"/>
          </w:tcPr>
          <w:p>
            <w:pPr>
              <w:adjustRightInd w:val="0"/>
              <w:snapToGrid w:val="0"/>
              <w:jc w:val="center"/>
              <w:rPr>
                <w:rFonts w:hint="eastAsia"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截料锯</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2</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刨料</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单面刨</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2</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砂光</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大砂光机</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3</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砂光机</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2</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铣形</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单轴立铣</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7</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双立铣</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3</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restart"/>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四层</w:t>
            </w:r>
          </w:p>
        </w:tc>
        <w:tc>
          <w:tcPr>
            <w:tcW w:w="534" w:type="pct"/>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喷胶</w:t>
            </w:r>
          </w:p>
        </w:tc>
        <w:tc>
          <w:tcPr>
            <w:tcW w:w="535" w:type="pct"/>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喷胶</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喷胶房</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1</w:t>
            </w:r>
          </w:p>
        </w:tc>
        <w:tc>
          <w:tcPr>
            <w:tcW w:w="1015" w:type="pct"/>
            <w:shd w:val="clear" w:color="auto" w:fill="auto"/>
            <w:noWrap/>
            <w:vAlign w:val="center"/>
          </w:tcPr>
          <w:p>
            <w:pPr>
              <w:adjustRightInd w:val="0"/>
              <w:snapToGrid w:val="0"/>
              <w:jc w:val="center"/>
              <w:rPr>
                <w:rFonts w:hint="default" w:eastAsia="宋体"/>
                <w:sz w:val="21"/>
                <w:szCs w:val="21"/>
                <w:lang w:eastAsia="zh-CN"/>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喷枪</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1</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喷底漆</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底漆喷漆房</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4</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喷枪</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4</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烘干</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底漆烘干房</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4</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打磨</w:t>
            </w:r>
          </w:p>
        </w:tc>
        <w:tc>
          <w:tcPr>
            <w:tcW w:w="535" w:type="pct"/>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底漆打磨</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底漆打磨房</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2</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Merge w:val="continue"/>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手持式打磨机</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4</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辅助设备</w:t>
            </w:r>
          </w:p>
        </w:tc>
        <w:tc>
          <w:tcPr>
            <w:tcW w:w="535"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螺杆压缩机</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1</w:t>
            </w:r>
          </w:p>
        </w:tc>
        <w:tc>
          <w:tcPr>
            <w:tcW w:w="1015" w:type="pct"/>
            <w:shd w:val="clear" w:color="auto" w:fill="auto"/>
            <w:noWrap/>
            <w:vAlign w:val="center"/>
          </w:tcPr>
          <w:p>
            <w:pPr>
              <w:adjustRightInd w:val="0"/>
              <w:snapToGrid w:val="0"/>
              <w:jc w:val="center"/>
              <w:rPr>
                <w:rFonts w:hint="default" w:eastAsia="宋体"/>
                <w:sz w:val="21"/>
                <w:szCs w:val="21"/>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restart"/>
            <w:shd w:val="clear" w:color="auto" w:fill="auto"/>
            <w:noWrap/>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w:t>
            </w:r>
          </w:p>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w:t>
            </w:r>
          </w:p>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车</w:t>
            </w:r>
          </w:p>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w:t>
            </w:r>
          </w:p>
        </w:tc>
        <w:tc>
          <w:tcPr>
            <w:tcW w:w="401" w:type="pct"/>
            <w:vMerge w:val="restart"/>
            <w:shd w:val="clear" w:color="auto" w:fill="auto"/>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四层</w:t>
            </w:r>
          </w:p>
        </w:tc>
        <w:tc>
          <w:tcPr>
            <w:tcW w:w="534" w:type="pct"/>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喷涂</w:t>
            </w:r>
          </w:p>
        </w:tc>
        <w:tc>
          <w:tcPr>
            <w:tcW w:w="535"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调面漆</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面漆调漆房</w:t>
            </w:r>
          </w:p>
        </w:tc>
        <w:tc>
          <w:tcPr>
            <w:tcW w:w="1000" w:type="pct"/>
            <w:shd w:val="clear" w:color="auto" w:fill="auto"/>
            <w:noWrap/>
            <w:vAlign w:val="center"/>
          </w:tcPr>
          <w:p>
            <w:pPr>
              <w:adjustRightInd w:val="0"/>
              <w:snapToGrid w:val="0"/>
              <w:jc w:val="center"/>
              <w:rPr>
                <w:rFonts w:hint="default" w:eastAsia="宋体"/>
                <w:sz w:val="21"/>
                <w:szCs w:val="21"/>
                <w:lang w:val="en-US" w:eastAsia="zh-CN"/>
              </w:rPr>
            </w:pPr>
            <w:r>
              <w:rPr>
                <w:rFonts w:hint="default" w:eastAsia="宋体"/>
                <w:sz w:val="21"/>
                <w:szCs w:val="21"/>
              </w:rPr>
              <w:t>4</w:t>
            </w:r>
          </w:p>
        </w:tc>
        <w:tc>
          <w:tcPr>
            <w:tcW w:w="1015" w:type="pct"/>
            <w:shd w:val="clear" w:color="auto" w:fill="auto"/>
            <w:noWrap/>
            <w:vAlign w:val="center"/>
          </w:tcPr>
          <w:p>
            <w:pPr>
              <w:adjustRightInd w:val="0"/>
              <w:snapToGrid w:val="0"/>
              <w:jc w:val="center"/>
              <w:rPr>
                <w:rFonts w:hint="default" w:eastAsia="宋体"/>
                <w:sz w:val="21"/>
                <w:szCs w:val="21"/>
                <w:lang w:val="en-US" w:eastAsia="zh-CN"/>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Merge w:val="restar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喷面漆</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面漆喷漆房</w:t>
            </w:r>
          </w:p>
        </w:tc>
        <w:tc>
          <w:tcPr>
            <w:tcW w:w="1000" w:type="pct"/>
            <w:vAlign w:val="center"/>
          </w:tcPr>
          <w:p>
            <w:pPr>
              <w:adjustRightInd w:val="0"/>
              <w:snapToGrid w:val="0"/>
              <w:jc w:val="center"/>
              <w:rPr>
                <w:rFonts w:hint="default" w:eastAsia="宋体"/>
                <w:sz w:val="21"/>
                <w:szCs w:val="21"/>
                <w:lang w:val="en-US" w:eastAsia="zh-CN"/>
              </w:rPr>
            </w:pPr>
            <w:r>
              <w:rPr>
                <w:rFonts w:hint="default" w:eastAsia="宋体"/>
                <w:sz w:val="21"/>
                <w:szCs w:val="21"/>
              </w:rPr>
              <w:t>4</w:t>
            </w:r>
          </w:p>
        </w:tc>
        <w:tc>
          <w:tcPr>
            <w:tcW w:w="1015" w:type="pct"/>
            <w:vAlign w:val="center"/>
          </w:tcPr>
          <w:p>
            <w:pPr>
              <w:adjustRightInd w:val="0"/>
              <w:snapToGrid w:val="0"/>
              <w:jc w:val="center"/>
              <w:rPr>
                <w:rFonts w:hint="default" w:eastAsia="宋体"/>
                <w:sz w:val="21"/>
                <w:szCs w:val="21"/>
                <w:lang w:val="en-US" w:eastAsia="zh-CN"/>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喷枪</w:t>
            </w:r>
          </w:p>
        </w:tc>
        <w:tc>
          <w:tcPr>
            <w:tcW w:w="1000" w:type="pct"/>
            <w:vAlign w:val="center"/>
          </w:tcPr>
          <w:p>
            <w:pPr>
              <w:adjustRightInd w:val="0"/>
              <w:snapToGrid w:val="0"/>
              <w:jc w:val="center"/>
              <w:rPr>
                <w:rFonts w:hint="default" w:eastAsia="宋体"/>
                <w:sz w:val="21"/>
                <w:szCs w:val="21"/>
                <w:lang w:val="en-US" w:eastAsia="zh-CN"/>
              </w:rPr>
            </w:pPr>
            <w:r>
              <w:rPr>
                <w:rFonts w:hint="default" w:eastAsia="宋体"/>
                <w:sz w:val="21"/>
                <w:szCs w:val="21"/>
              </w:rPr>
              <w:t>4</w:t>
            </w:r>
          </w:p>
        </w:tc>
        <w:tc>
          <w:tcPr>
            <w:tcW w:w="1015" w:type="pct"/>
            <w:vAlign w:val="center"/>
          </w:tcPr>
          <w:p>
            <w:pPr>
              <w:adjustRightInd w:val="0"/>
              <w:snapToGrid w:val="0"/>
              <w:jc w:val="center"/>
              <w:rPr>
                <w:rFonts w:hint="default" w:eastAsia="宋体"/>
                <w:sz w:val="21"/>
                <w:szCs w:val="21"/>
                <w:lang w:val="en-US" w:eastAsia="zh-CN"/>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流平</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面漆流平房</w:t>
            </w:r>
          </w:p>
        </w:tc>
        <w:tc>
          <w:tcPr>
            <w:tcW w:w="1000" w:type="pct"/>
            <w:vAlign w:val="center"/>
          </w:tcPr>
          <w:p>
            <w:pPr>
              <w:adjustRightInd w:val="0"/>
              <w:snapToGrid w:val="0"/>
              <w:jc w:val="center"/>
              <w:rPr>
                <w:rFonts w:hint="default" w:eastAsia="宋体"/>
                <w:sz w:val="21"/>
                <w:szCs w:val="21"/>
                <w:lang w:val="en-US" w:eastAsia="zh-CN"/>
              </w:rPr>
            </w:pPr>
            <w:r>
              <w:rPr>
                <w:rFonts w:hint="default" w:eastAsia="宋体"/>
                <w:sz w:val="21"/>
                <w:szCs w:val="21"/>
              </w:rPr>
              <w:t>4</w:t>
            </w:r>
          </w:p>
        </w:tc>
        <w:tc>
          <w:tcPr>
            <w:tcW w:w="1015" w:type="pct"/>
            <w:vAlign w:val="center"/>
          </w:tcPr>
          <w:p>
            <w:pPr>
              <w:adjustRightInd w:val="0"/>
              <w:snapToGrid w:val="0"/>
              <w:jc w:val="center"/>
              <w:rPr>
                <w:rFonts w:hint="default" w:eastAsia="宋体"/>
                <w:sz w:val="21"/>
                <w:szCs w:val="21"/>
                <w:lang w:val="en-US" w:eastAsia="zh-CN"/>
              </w:rPr>
            </w:pPr>
            <w:r>
              <w:rPr>
                <w:rFonts w:hint="eastAsia" w:ascii="Times New Roman" w:hAnsi="Times New Roman" w:eastAsia="宋体" w:cs="Times New Roman"/>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00"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401"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4" w:type="pct"/>
            <w:vMerge w:val="continue"/>
          </w:tcPr>
          <w:p>
            <w:pPr>
              <w:adjustRightInd w:val="0"/>
              <w:snapToGrid w:val="0"/>
              <w:jc w:val="center"/>
              <w:rPr>
                <w:rFonts w:hint="default" w:ascii="Times New Roman" w:hAnsi="Times New Roman" w:eastAsia="宋体" w:cs="Times New Roman"/>
                <w:color w:val="auto"/>
                <w:sz w:val="21"/>
                <w:szCs w:val="21"/>
                <w:lang w:val="en-US" w:eastAsia="zh-CN"/>
              </w:rPr>
            </w:pPr>
          </w:p>
        </w:tc>
        <w:tc>
          <w:tcPr>
            <w:tcW w:w="535"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烘干</w:t>
            </w:r>
          </w:p>
        </w:tc>
        <w:tc>
          <w:tcPr>
            <w:tcW w:w="871" w:type="pct"/>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面漆烘干房</w:t>
            </w:r>
          </w:p>
        </w:tc>
        <w:tc>
          <w:tcPr>
            <w:tcW w:w="1000" w:type="pct"/>
            <w:vAlign w:val="center"/>
          </w:tcPr>
          <w:p>
            <w:pPr>
              <w:adjustRightInd w:val="0"/>
              <w:snapToGrid w:val="0"/>
              <w:jc w:val="center"/>
              <w:rPr>
                <w:rFonts w:hint="default" w:eastAsia="宋体"/>
                <w:sz w:val="21"/>
                <w:szCs w:val="21"/>
                <w:lang w:val="en-US" w:eastAsia="zh-CN"/>
              </w:rPr>
            </w:pPr>
            <w:r>
              <w:rPr>
                <w:rFonts w:hint="default" w:eastAsia="宋体"/>
                <w:sz w:val="21"/>
                <w:szCs w:val="21"/>
              </w:rPr>
              <w:t>4</w:t>
            </w:r>
          </w:p>
        </w:tc>
        <w:tc>
          <w:tcPr>
            <w:tcW w:w="1015" w:type="pct"/>
            <w:vAlign w:val="center"/>
          </w:tcPr>
          <w:p>
            <w:pPr>
              <w:adjustRightInd w:val="0"/>
              <w:snapToGrid w:val="0"/>
              <w:jc w:val="center"/>
              <w:rPr>
                <w:rFonts w:hint="default" w:eastAsia="宋体"/>
                <w:sz w:val="21"/>
                <w:szCs w:val="21"/>
                <w:lang w:val="en-US" w:eastAsia="zh-CN"/>
              </w:rPr>
            </w:pPr>
            <w:r>
              <w:rPr>
                <w:rFonts w:hint="eastAsia" w:ascii="Times New Roman" w:hAnsi="Times New Roman" w:eastAsia="宋体" w:cs="Times New Roman"/>
                <w:sz w:val="21"/>
                <w:szCs w:val="21"/>
                <w:lang w:val="en-US" w:eastAsia="zh-CN"/>
              </w:rPr>
              <w:t>否</w:t>
            </w:r>
          </w:p>
        </w:tc>
      </w:tr>
    </w:tbl>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pPr>
        <w:pStyle w:val="251"/>
        <w:outlineLvl w:val="2"/>
      </w:pPr>
      <w:bookmarkStart w:id="119" w:name="_Toc20839"/>
      <w:bookmarkStart w:id="120" w:name="_Toc247"/>
      <w:bookmarkStart w:id="121" w:name="_Toc6678"/>
      <w:bookmarkStart w:id="122" w:name="_Toc11399"/>
      <w:r>
        <w:rPr>
          <w:rFonts w:hint="eastAsia"/>
        </w:rPr>
        <w:t xml:space="preserve">3.5.3 </w:t>
      </w:r>
      <w:r>
        <w:rPr>
          <w:rFonts w:hint="eastAsia" w:ascii="宋体" w:hAnsi="宋体" w:eastAsia="宋体" w:cs="宋体"/>
        </w:rPr>
        <w:t>生产工艺过程含有风险工艺和设备情况</w:t>
      </w:r>
      <w:bookmarkEnd w:id="119"/>
      <w:bookmarkEnd w:id="120"/>
      <w:bookmarkEnd w:id="121"/>
    </w:p>
    <w:p>
      <w:pPr>
        <w:adjustRightInd w:val="0"/>
        <w:snapToGrid w:val="0"/>
        <w:spacing w:line="500" w:lineRule="exact"/>
        <w:ind w:firstLine="480" w:firstLineChars="200"/>
        <w:rPr>
          <w:rFonts w:eastAsiaTheme="minorEastAsia"/>
          <w:color w:val="000000" w:themeColor="text1"/>
          <w14:textFill>
            <w14:solidFill>
              <w14:schemeClr w14:val="tx1"/>
            </w14:solidFill>
          </w14:textFill>
        </w:rPr>
      </w:pPr>
      <w:r>
        <w:rPr>
          <w:rFonts w:eastAsia="宋体"/>
        </w:rPr>
        <w:t>对照《企业突发环境事件风险分级方法（发布稿）》中6.2中表1评估企业生产工艺情况。具有多套工艺单元的企业，对每套生产工艺分别评分并求和。企业生产工艺最高分值为30分，超过30分则按最高分计。</w:t>
      </w:r>
      <w:r>
        <w:rPr>
          <w:rFonts w:eastAsiaTheme="minorEastAsia"/>
          <w:color w:val="000000" w:themeColor="text1"/>
          <w14:textFill>
            <w14:solidFill>
              <w14:schemeClr w14:val="tx1"/>
            </w14:solidFill>
          </w14:textFill>
        </w:rPr>
        <w:t>根据表</w:t>
      </w:r>
      <w:r>
        <w:rPr>
          <w:rFonts w:hint="eastAsia" w:eastAsiaTheme="minorEastAsia"/>
          <w:color w:val="000000" w:themeColor="text1"/>
          <w14:textFill>
            <w14:solidFill>
              <w14:schemeClr w14:val="tx1"/>
            </w14:solidFill>
          </w14:textFill>
        </w:rPr>
        <w:t>3-1</w:t>
      </w:r>
      <w:r>
        <w:rPr>
          <w:rFonts w:eastAsiaTheme="minorEastAsia"/>
          <w:color w:val="000000" w:themeColor="text1"/>
          <w14:textFill>
            <w14:solidFill>
              <w14:schemeClr w14:val="tx1"/>
            </w14:solidFill>
          </w14:textFill>
        </w:rPr>
        <w:t>2，可知生产工艺分值为</w:t>
      </w:r>
      <w:r>
        <w:rPr>
          <w:rFonts w:hint="eastAsia" w:eastAsiaTheme="minorEastAsia"/>
          <w:color w:val="000000" w:themeColor="text1"/>
          <w14:textFill>
            <w14:solidFill>
              <w14:schemeClr w14:val="tx1"/>
            </w14:solidFill>
          </w14:textFill>
        </w:rPr>
        <w:t>5</w:t>
      </w:r>
      <w:r>
        <w:rPr>
          <w:rFonts w:eastAsiaTheme="minorEastAsia"/>
          <w:color w:val="000000" w:themeColor="text1"/>
          <w14:textFill>
            <w14:solidFill>
              <w14:schemeClr w14:val="tx1"/>
            </w14:solidFill>
          </w14:textFill>
        </w:rPr>
        <w:t>分。</w:t>
      </w:r>
    </w:p>
    <w:p>
      <w:pPr>
        <w:pStyle w:val="254"/>
        <w:adjustRightInd w:val="0"/>
        <w:snapToGrid w:val="0"/>
        <w:ind w:firstLine="171" w:firstLineChars="71"/>
        <w:jc w:val="center"/>
        <w:rPr>
          <w:rFonts w:eastAsia="宋体"/>
          <w:b/>
          <w:sz w:val="24"/>
        </w:rPr>
      </w:pPr>
      <w:r>
        <w:rPr>
          <w:rFonts w:eastAsia="宋体"/>
          <w:b/>
          <w:sz w:val="24"/>
        </w:rPr>
        <w:t>表</w:t>
      </w:r>
      <w:r>
        <w:rPr>
          <w:rFonts w:hint="eastAsia" w:eastAsia="宋体"/>
          <w:b/>
          <w:sz w:val="24"/>
        </w:rPr>
        <w:t>3-1</w:t>
      </w:r>
      <w:r>
        <w:rPr>
          <w:rFonts w:eastAsia="宋体"/>
          <w:b/>
          <w:sz w:val="24"/>
        </w:rPr>
        <w:t>2 企业生产工艺</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482"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企业生产中使用白乳胶、固化剂等</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5</w:t>
            </w:r>
          </w:p>
        </w:tc>
      </w:tr>
    </w:tbl>
    <w:p>
      <w:pPr>
        <w:adjustRightInd w:val="0"/>
        <w:snapToGrid w:val="0"/>
        <w:ind w:firstLine="360" w:firstLineChars="20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pPr>
        <w:adjustRightInd w:val="0"/>
        <w:ind w:firstLine="360" w:firstLineChars="200"/>
        <w:jc w:val="left"/>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pPr>
        <w:pStyle w:val="2"/>
        <w:adjustRightInd w:val="0"/>
        <w:snapToGrid w:val="0"/>
        <w:spacing w:line="500" w:lineRule="exact"/>
        <w:rPr>
          <w:rFonts w:eastAsia="宋体"/>
          <w:szCs w:val="24"/>
        </w:rPr>
      </w:pPr>
      <w:bookmarkStart w:id="123" w:name="_Toc10409"/>
      <w:bookmarkStart w:id="124" w:name="_Toc10361"/>
      <w:bookmarkStart w:id="125" w:name="_Toc28286"/>
      <w:r>
        <w:rPr>
          <w:rFonts w:eastAsia="宋体"/>
          <w:szCs w:val="24"/>
        </w:rPr>
        <w:t>3.</w:t>
      </w:r>
      <w:r>
        <w:rPr>
          <w:rFonts w:hint="eastAsia" w:eastAsia="宋体"/>
          <w:szCs w:val="24"/>
        </w:rPr>
        <w:t>5</w:t>
      </w:r>
      <w:r>
        <w:rPr>
          <w:rFonts w:eastAsia="宋体"/>
          <w:szCs w:val="24"/>
        </w:rPr>
        <w:t>.</w:t>
      </w:r>
      <w:r>
        <w:rPr>
          <w:rFonts w:hint="eastAsia" w:eastAsia="宋体"/>
          <w:szCs w:val="24"/>
        </w:rPr>
        <w:t>4</w:t>
      </w:r>
      <w:r>
        <w:rPr>
          <w:rFonts w:eastAsia="宋体"/>
          <w:szCs w:val="24"/>
        </w:rPr>
        <w:t>公用辅助工程情况</w:t>
      </w:r>
      <w:bookmarkEnd w:id="122"/>
      <w:bookmarkEnd w:id="123"/>
      <w:bookmarkEnd w:id="124"/>
      <w:bookmarkEnd w:id="125"/>
    </w:p>
    <w:p>
      <w:pPr>
        <w:pStyle w:val="251"/>
        <w:snapToGrid w:val="0"/>
        <w:rPr>
          <w:rFonts w:eastAsia="宋体"/>
          <w:szCs w:val="24"/>
        </w:rPr>
      </w:pPr>
      <w:r>
        <w:rPr>
          <w:rFonts w:eastAsia="宋体"/>
          <w:szCs w:val="24"/>
        </w:rPr>
        <w:t>3.</w:t>
      </w:r>
      <w:r>
        <w:rPr>
          <w:rFonts w:hint="eastAsia"/>
          <w:szCs w:val="24"/>
        </w:rPr>
        <w:t>5</w:t>
      </w:r>
      <w:r>
        <w:rPr>
          <w:szCs w:val="24"/>
        </w:rPr>
        <w:t>.</w:t>
      </w:r>
      <w:r>
        <w:rPr>
          <w:rFonts w:hint="eastAsia"/>
          <w:szCs w:val="24"/>
        </w:rPr>
        <w:t>4</w:t>
      </w:r>
      <w:r>
        <w:rPr>
          <w:szCs w:val="24"/>
        </w:rPr>
        <w:t>.1</w:t>
      </w:r>
      <w:r>
        <w:rPr>
          <w:rFonts w:eastAsia="宋体"/>
          <w:szCs w:val="24"/>
        </w:rPr>
        <w:t>给水与排水</w:t>
      </w:r>
    </w:p>
    <w:p>
      <w:pPr>
        <w:snapToGrid w:val="0"/>
        <w:spacing w:line="500" w:lineRule="exact"/>
        <w:ind w:firstLine="480" w:firstLineChars="200"/>
        <w:rPr>
          <w:rFonts w:eastAsia="宋体"/>
        </w:rPr>
      </w:pPr>
      <w:r>
        <w:rPr>
          <w:rFonts w:eastAsia="宋体"/>
        </w:rPr>
        <w:t>（1）供水</w:t>
      </w:r>
    </w:p>
    <w:p>
      <w:pPr>
        <w:snapToGrid w:val="0"/>
        <w:spacing w:line="500" w:lineRule="exact"/>
        <w:ind w:firstLine="480" w:firstLineChars="200"/>
        <w:rPr>
          <w:rFonts w:eastAsia="宋体"/>
        </w:rPr>
      </w:pPr>
      <w:r>
        <w:rPr>
          <w:rFonts w:eastAsia="宋体"/>
        </w:rPr>
        <w:t>本项目所需生活用水水源由市政自来水管网统一供给。</w:t>
      </w:r>
    </w:p>
    <w:p>
      <w:pPr>
        <w:snapToGrid w:val="0"/>
        <w:spacing w:line="500" w:lineRule="exact"/>
        <w:ind w:firstLine="480" w:firstLineChars="200"/>
        <w:rPr>
          <w:rFonts w:eastAsia="宋体"/>
        </w:rPr>
      </w:pPr>
      <w:r>
        <w:rPr>
          <w:rFonts w:eastAsia="宋体"/>
        </w:rPr>
        <w:t>（2）排水</w:t>
      </w:r>
    </w:p>
    <w:p>
      <w:pPr>
        <w:numPr>
          <w:ilvl w:val="0"/>
          <w:numId w:val="0"/>
        </w:numPr>
        <w:snapToGrid/>
        <w:spacing w:line="360" w:lineRule="auto"/>
        <w:ind w:firstLine="480" w:firstLineChars="200"/>
        <w:jc w:val="left"/>
        <w:rPr>
          <w:rFonts w:eastAsia="宋体"/>
        </w:rPr>
      </w:pPr>
      <w:bookmarkStart w:id="126" w:name="_Toc28463"/>
      <w:r>
        <w:rPr>
          <w:rFonts w:eastAsia="宋体"/>
        </w:rPr>
        <w:t>建设项目实行雨污分流、清污分流。</w:t>
      </w:r>
      <w:r>
        <w:rPr>
          <w:rFonts w:hint="eastAsia" w:eastAsia="宋体"/>
          <w:bCs/>
        </w:rPr>
        <w:t>本项目</w:t>
      </w:r>
      <w:r>
        <w:rPr>
          <w:rFonts w:hint="default" w:ascii="Times New Roman" w:hAnsi="Times New Roman" w:eastAsia="宋体" w:cs="Times New Roman"/>
          <w:b w:val="0"/>
          <w:bCs w:val="0"/>
          <w:kern w:val="2"/>
          <w:sz w:val="24"/>
          <w:szCs w:val="24"/>
          <w:lang w:val="en-US" w:eastAsia="zh-CN" w:bidi="ar-SA"/>
        </w:rPr>
        <w:t>水式打磨柜废水经处理后循环使用，定期补充损耗；水旋柜废水</w:t>
      </w:r>
      <w:r>
        <w:rPr>
          <w:rFonts w:hint="default" w:ascii="Times New Roman" w:hAnsi="Times New Roman" w:eastAsia="宋体"/>
          <w:sz w:val="24"/>
          <w:szCs w:val="24"/>
          <w:highlight w:val="none"/>
          <w:lang w:val="en-US" w:eastAsia="zh-CN"/>
        </w:rPr>
        <w:t>经</w:t>
      </w:r>
      <w:r>
        <w:rPr>
          <w:rFonts w:hint="default" w:ascii="Times New Roman" w:hAnsi="Times New Roman" w:eastAsia="宋体" w:cs="Times New Roman"/>
          <w:b w:val="0"/>
          <w:bCs w:val="0"/>
          <w:kern w:val="2"/>
          <w:sz w:val="24"/>
          <w:szCs w:val="24"/>
          <w:lang w:val="en-US" w:eastAsia="zh-CN" w:bidi="ar-SA"/>
        </w:rPr>
        <w:t>过絮凝、气浮、沉淀处理后循环使用不外排；喷枪清洗废水作为调漆用水添加到涂料中，不外排；</w:t>
      </w:r>
      <w:r>
        <w:rPr>
          <w:rFonts w:hint="default" w:ascii="Times New Roman" w:hAnsi="Times New Roman" w:eastAsia="宋体" w:cs="Times New Roman"/>
          <w:b w:val="0"/>
          <w:bCs w:val="0"/>
          <w:kern w:val="2"/>
          <w:sz w:val="24"/>
          <w:szCs w:val="24"/>
          <w:lang w:val="zh-CN" w:eastAsia="zh-CN" w:bidi="ar-SA"/>
        </w:rPr>
        <w:t>本项目生活污水和洗浴废水经化粪池处理、食堂废水经隔油池处理</w:t>
      </w:r>
      <w:r>
        <w:rPr>
          <w:rFonts w:hint="default" w:ascii="Times New Roman" w:hAnsi="Times New Roman" w:eastAsia="宋体" w:cs="Times New Roman"/>
          <w:b w:val="0"/>
          <w:bCs w:val="0"/>
          <w:kern w:val="2"/>
          <w:sz w:val="24"/>
          <w:szCs w:val="24"/>
          <w:lang w:val="en-US" w:eastAsia="zh-CN" w:bidi="ar-SA"/>
        </w:rPr>
        <w:t>一并接管至</w:t>
      </w:r>
      <w:r>
        <w:rPr>
          <w:rFonts w:hint="default" w:ascii="Times New Roman" w:hAnsi="Times New Roman" w:eastAsia="宋体" w:cs="Times New Roman"/>
          <w:b w:val="0"/>
          <w:bCs w:val="0"/>
          <w:kern w:val="2"/>
          <w:sz w:val="24"/>
          <w:szCs w:val="24"/>
          <w:lang w:val="zh-CN" w:eastAsia="zh-CN" w:bidi="ar-SA"/>
        </w:rPr>
        <w:t>海安市</w:t>
      </w:r>
      <w:r>
        <w:rPr>
          <w:rFonts w:hint="eastAsia" w:eastAsia="宋体" w:cs="Times New Roman"/>
          <w:b w:val="0"/>
          <w:bCs w:val="0"/>
          <w:kern w:val="2"/>
          <w:sz w:val="24"/>
          <w:szCs w:val="24"/>
          <w:lang w:val="en-US" w:eastAsia="zh-CN" w:bidi="ar-SA"/>
        </w:rPr>
        <w:t>惠泽净水</w:t>
      </w:r>
      <w:r>
        <w:rPr>
          <w:rFonts w:hint="default" w:ascii="Times New Roman" w:hAnsi="Times New Roman" w:eastAsia="宋体" w:cs="Times New Roman"/>
          <w:b w:val="0"/>
          <w:bCs w:val="0"/>
          <w:kern w:val="2"/>
          <w:sz w:val="24"/>
          <w:szCs w:val="24"/>
          <w:lang w:val="zh-CN" w:eastAsia="zh-CN" w:bidi="ar-SA"/>
        </w:rPr>
        <w:t>有限公司</w:t>
      </w:r>
      <w:r>
        <w:rPr>
          <w:rFonts w:hint="default" w:ascii="Times New Roman" w:hAnsi="Times New Roman" w:eastAsia="宋体" w:cs="Times New Roman"/>
          <w:b w:val="0"/>
          <w:bCs w:val="0"/>
          <w:kern w:val="2"/>
          <w:sz w:val="24"/>
          <w:szCs w:val="24"/>
          <w:lang w:val="en-US" w:eastAsia="zh-CN" w:bidi="ar-SA"/>
        </w:rPr>
        <w:t>。</w:t>
      </w:r>
    </w:p>
    <w:p>
      <w:pPr>
        <w:pStyle w:val="251"/>
        <w:rPr>
          <w:rFonts w:eastAsia="宋体"/>
        </w:rPr>
      </w:pPr>
      <w:r>
        <w:rPr>
          <w:rFonts w:eastAsia="宋体"/>
        </w:rPr>
        <w:t>3.</w:t>
      </w:r>
      <w:r>
        <w:rPr>
          <w:rFonts w:hint="eastAsia" w:eastAsia="宋体"/>
        </w:rPr>
        <w:t>5</w:t>
      </w:r>
      <w:r>
        <w:rPr>
          <w:rFonts w:eastAsia="宋体"/>
        </w:rPr>
        <w:t>.</w:t>
      </w:r>
      <w:r>
        <w:rPr>
          <w:rFonts w:hint="eastAsia" w:eastAsia="宋体"/>
        </w:rPr>
        <w:t>4</w:t>
      </w:r>
      <w:r>
        <w:rPr>
          <w:rFonts w:eastAsia="宋体"/>
        </w:rPr>
        <w:t>.2供电、供热及电讯</w:t>
      </w:r>
      <w:bookmarkEnd w:id="126"/>
    </w:p>
    <w:p>
      <w:p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（1）供电</w:t>
      </w:r>
    </w:p>
    <w:p>
      <w:p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供电依托市政电网。</w:t>
      </w:r>
    </w:p>
    <w:p>
      <w:pPr>
        <w:numPr>
          <w:ilvl w:val="0"/>
          <w:numId w:val="4"/>
        </w:num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通讯</w:t>
      </w:r>
    </w:p>
    <w:p>
      <w:pPr>
        <w:snapToGrid w:val="0"/>
        <w:spacing w:line="500" w:lineRule="exact"/>
        <w:ind w:firstLine="480" w:firstLineChars="200"/>
        <w:rPr>
          <w:rFonts w:ascii="宋体" w:hAnsi="宋体" w:eastAsia="宋体" w:cs="宋体"/>
        </w:rPr>
      </w:pPr>
      <w:r>
        <w:rPr>
          <w:rFonts w:eastAsia="宋体"/>
        </w:rPr>
        <w:t>公司根据国家有关规范和工艺流程对电讯的要求，设计装置专用电话线</w:t>
      </w:r>
      <w:r>
        <w:rPr>
          <w:rFonts w:hint="eastAsia" w:ascii="宋体" w:hAnsi="宋体" w:eastAsia="宋体" w:cs="宋体"/>
        </w:rPr>
        <w:t>路。</w:t>
      </w:r>
    </w:p>
    <w:p>
      <w:pPr>
        <w:pStyle w:val="251"/>
      </w:pPr>
      <w:bookmarkStart w:id="127" w:name="_Toc10586"/>
      <w:r>
        <w:rPr>
          <w:rFonts w:hint="eastAsia"/>
        </w:rPr>
        <w:t>3.5.4.3</w:t>
      </w:r>
      <w:r>
        <w:rPr>
          <w:rFonts w:hint="eastAsia" w:ascii="宋体" w:hAnsi="宋体" w:eastAsia="宋体" w:cs="宋体"/>
        </w:rPr>
        <w:t>仓储及运输</w:t>
      </w:r>
      <w:bookmarkEnd w:id="127"/>
    </w:p>
    <w:p>
      <w:pPr>
        <w:snapToGrid w:val="0"/>
        <w:spacing w:line="500" w:lineRule="exact"/>
        <w:ind w:firstLine="480" w:firstLineChars="200"/>
        <w:rPr>
          <w:rFonts w:ascii="宋体" w:hAnsi="宋体" w:eastAsia="宋体" w:cs="宋体"/>
        </w:rPr>
      </w:pPr>
      <w:r>
        <w:rPr>
          <w:rFonts w:hint="eastAsia" w:ascii="宋体" w:hAnsi="宋体" w:eastAsia="宋体" w:cs="宋体"/>
        </w:rPr>
        <w:t>（1）仓储</w:t>
      </w:r>
    </w:p>
    <w:p>
      <w:pPr>
        <w:snapToGrid w:val="0"/>
        <w:spacing w:line="500" w:lineRule="exact"/>
        <w:ind w:firstLine="480" w:firstLineChars="200"/>
        <w:rPr>
          <w:rFonts w:ascii="宋体" w:hAnsi="宋体" w:eastAsia="宋体" w:cs="宋体"/>
        </w:rPr>
      </w:pPr>
      <w:r>
        <w:rPr>
          <w:rFonts w:hint="eastAsia" w:ascii="宋体" w:hAnsi="宋体" w:eastAsia="宋体" w:cs="宋体"/>
        </w:rPr>
        <w:t>项目划分有油漆仓库</w:t>
      </w:r>
      <w:r>
        <w:rPr>
          <w:rFonts w:eastAsia="宋体"/>
        </w:rPr>
        <w:t>、</w:t>
      </w:r>
      <w:r>
        <w:rPr>
          <w:rFonts w:hint="eastAsia" w:eastAsia="宋体"/>
        </w:rPr>
        <w:t>一般固废仓库、危废仓库及</w:t>
      </w:r>
      <w:r>
        <w:rPr>
          <w:rFonts w:eastAsia="宋体"/>
        </w:rPr>
        <w:t>成品仓库</w:t>
      </w:r>
      <w:r>
        <w:rPr>
          <w:rFonts w:hint="eastAsia" w:ascii="宋体" w:hAnsi="宋体" w:eastAsia="宋体" w:cs="宋体"/>
        </w:rPr>
        <w:t>。</w:t>
      </w:r>
    </w:p>
    <w:p>
      <w:pPr>
        <w:snapToGrid w:val="0"/>
        <w:spacing w:line="500" w:lineRule="exact"/>
        <w:ind w:firstLine="480" w:firstLineChars="200"/>
        <w:rPr>
          <w:rFonts w:ascii="宋体" w:hAnsi="宋体" w:eastAsia="宋体" w:cs="宋体"/>
        </w:rPr>
      </w:pPr>
      <w:r>
        <w:rPr>
          <w:rFonts w:hint="eastAsia" w:ascii="宋体" w:hAnsi="宋体" w:eastAsia="宋体" w:cs="宋体"/>
        </w:rPr>
        <w:t>（2）运输</w:t>
      </w:r>
    </w:p>
    <w:p>
      <w:pPr>
        <w:snapToGrid w:val="0"/>
        <w:spacing w:line="500" w:lineRule="exact"/>
        <w:ind w:firstLine="480" w:firstLineChars="200"/>
        <w:rPr>
          <w:rFonts w:ascii="宋体" w:hAnsi="宋体" w:eastAsia="宋体" w:cs="宋体"/>
        </w:rPr>
      </w:pPr>
      <w:r>
        <w:rPr>
          <w:rFonts w:hint="eastAsia" w:ascii="宋体" w:hAnsi="宋体" w:eastAsia="宋体" w:cs="宋体"/>
        </w:rPr>
        <w:t>项目主要采用汽车公路运输。原料运输外委社会运输单位。产品购买单位自行运输，本公司不负责运输任务。</w:t>
      </w:r>
    </w:p>
    <w:p>
      <w:pPr>
        <w:pStyle w:val="2"/>
        <w:adjustRightInd w:val="0"/>
        <w:snapToGrid w:val="0"/>
        <w:spacing w:line="500" w:lineRule="exact"/>
        <w:rPr>
          <w:rFonts w:eastAsia="宋体"/>
          <w:szCs w:val="24"/>
        </w:rPr>
      </w:pPr>
      <w:bookmarkStart w:id="128" w:name="_Toc27428"/>
      <w:bookmarkStart w:id="129" w:name="_Toc18121"/>
      <w:bookmarkStart w:id="130" w:name="_Toc10543"/>
      <w:bookmarkStart w:id="131" w:name="_Toc23740"/>
      <w:bookmarkStart w:id="132" w:name="_Toc535414245"/>
      <w:r>
        <w:rPr>
          <w:rFonts w:eastAsia="宋体"/>
          <w:szCs w:val="24"/>
        </w:rPr>
        <w:t>3.</w:t>
      </w:r>
      <w:r>
        <w:rPr>
          <w:rFonts w:hint="eastAsia" w:eastAsia="宋体"/>
          <w:szCs w:val="24"/>
        </w:rPr>
        <w:t>5</w:t>
      </w:r>
      <w:r>
        <w:rPr>
          <w:rFonts w:eastAsia="宋体"/>
          <w:szCs w:val="24"/>
        </w:rPr>
        <w:t>.</w:t>
      </w:r>
      <w:r>
        <w:rPr>
          <w:rFonts w:hint="eastAsia" w:eastAsia="宋体"/>
          <w:szCs w:val="24"/>
        </w:rPr>
        <w:t>5</w:t>
      </w:r>
      <w:r>
        <w:rPr>
          <w:rFonts w:eastAsia="宋体"/>
          <w:szCs w:val="24"/>
        </w:rPr>
        <w:t xml:space="preserve"> “三废”排放及处理情况</w:t>
      </w:r>
      <w:bookmarkEnd w:id="128"/>
      <w:bookmarkEnd w:id="129"/>
      <w:bookmarkEnd w:id="130"/>
      <w:bookmarkEnd w:id="131"/>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（1）大气污染源及污染物排放情况</w:t>
      </w:r>
    </w:p>
    <w:p>
      <w:pPr>
        <w:adjustRightInd w:val="0"/>
        <w:snapToGrid w:val="0"/>
        <w:spacing w:line="500" w:lineRule="exact"/>
        <w:ind w:firstLine="480" w:firstLineChars="200"/>
        <w:rPr>
          <w:rFonts w:hint="eastAsia" w:eastAsia="宋体"/>
          <w:bCs/>
          <w:color w:val="000000" w:themeColor="text1"/>
          <w:lang w:val="en-US" w:eastAsia="zh-CN"/>
          <w14:textFill>
            <w14:solidFill>
              <w14:schemeClr w14:val="tx1"/>
            </w14:solidFill>
          </w14:textFill>
        </w:rPr>
      </w:pPr>
      <w:r>
        <w:rPr>
          <w:rFonts w:hint="eastAsia" w:eastAsia="宋体"/>
          <w:bCs/>
          <w:color w:val="000000" w:themeColor="text1"/>
          <w14:textFill>
            <w14:solidFill>
              <w14:schemeClr w14:val="tx1"/>
            </w14:solidFill>
          </w14:textFill>
        </w:rPr>
        <w:t>本项目废气主要为</w:t>
      </w:r>
      <w:r>
        <w:rPr>
          <w:rFonts w:hint="eastAsia" w:eastAsia="宋体"/>
          <w:bCs/>
          <w:color w:val="000000" w:themeColor="text1"/>
          <w:lang w:val="en-US" w:eastAsia="zh-CN"/>
          <w14:textFill>
            <w14:solidFill>
              <w14:schemeClr w14:val="tx1"/>
            </w14:solidFill>
          </w14:textFill>
        </w:rPr>
        <w:t>开料过程产生的木加工粉尘，</w:t>
      </w:r>
      <w:r>
        <w:rPr>
          <w:rFonts w:hint="eastAsia" w:eastAsia="宋体"/>
          <w:bCs/>
          <w:color w:val="000000" w:themeColor="text1"/>
          <w:lang w:val="zh-CN" w:eastAsia="zh-CN"/>
          <w14:textFill>
            <w14:solidFill>
              <w14:schemeClr w14:val="tx1"/>
            </w14:solidFill>
          </w14:textFill>
        </w:rPr>
        <w:t>打磨工序产生的打磨废气</w:t>
      </w:r>
      <w:r>
        <w:rPr>
          <w:rFonts w:hint="eastAsia" w:eastAsia="宋体"/>
          <w:bCs/>
          <w:color w:val="000000" w:themeColor="text1"/>
          <w:lang w:val="en-US" w:eastAsia="zh-CN"/>
          <w14:textFill>
            <w14:solidFill>
              <w14:schemeClr w14:val="tx1"/>
            </w14:solidFill>
          </w14:textFill>
        </w:rPr>
        <w:t>,</w:t>
      </w:r>
      <w:r>
        <w:rPr>
          <w:rFonts w:hint="eastAsia" w:eastAsia="宋体"/>
          <w:bCs/>
          <w:color w:val="000000" w:themeColor="text1"/>
          <w:lang w:val="zh-CN" w:eastAsia="zh-CN"/>
          <w14:textFill>
            <w14:solidFill>
              <w14:schemeClr w14:val="tx1"/>
            </w14:solidFill>
          </w14:textFill>
        </w:rPr>
        <w:t>底漆打磨工序产生的底漆打磨废气</w:t>
      </w:r>
      <w:r>
        <w:rPr>
          <w:rFonts w:hint="eastAsia" w:eastAsia="宋体"/>
          <w:bCs/>
          <w:color w:val="000000" w:themeColor="text1"/>
          <w:lang w:val="en-US" w:eastAsia="zh-CN"/>
          <w14:textFill>
            <w14:solidFill>
              <w14:schemeClr w14:val="tx1"/>
            </w14:solidFill>
          </w14:textFill>
        </w:rPr>
        <w:t>、</w:t>
      </w:r>
      <w:r>
        <w:rPr>
          <w:rFonts w:hint="eastAsia" w:eastAsia="宋体"/>
          <w:bCs/>
          <w:color w:val="000000" w:themeColor="text1"/>
          <w:lang w:val="zh-CN" w:eastAsia="zh-CN"/>
          <w14:textFill>
            <w14:solidFill>
              <w14:schemeClr w14:val="tx1"/>
            </w14:solidFill>
          </w14:textFill>
        </w:rPr>
        <w:t>调色、擦色工序产生的调色废气、擦色废气，调漆、喷漆、烘干工序产生的调漆废气、喷漆废气、烘干废气，流平工序产生的流平废气、喷胶工序产生的喷胶废气</w:t>
      </w:r>
      <w:r>
        <w:rPr>
          <w:rFonts w:hint="eastAsia" w:eastAsia="宋体"/>
          <w:bCs/>
          <w:color w:val="000000" w:themeColor="text1"/>
          <w:lang w:val="en-US" w:eastAsia="zh-CN"/>
          <w14:textFill>
            <w14:solidFill>
              <w14:schemeClr w14:val="tx1"/>
            </w14:solidFill>
          </w14:textFill>
        </w:rPr>
        <w:t>。</w:t>
      </w:r>
    </w:p>
    <w:p>
      <w:pPr>
        <w:adjustRightInd w:val="0"/>
        <w:snapToGrid w:val="0"/>
        <w:spacing w:line="500" w:lineRule="exact"/>
        <w:ind w:firstLine="480" w:firstLineChars="200"/>
        <w:rPr>
          <w:rFonts w:eastAsia="宋体"/>
          <w:bCs/>
          <w:color w:val="000000" w:themeColor="text1"/>
          <w14:textFill>
            <w14:solidFill>
              <w14:schemeClr w14:val="tx1"/>
            </w14:solidFill>
          </w14:textFill>
        </w:rPr>
      </w:pPr>
      <w:r>
        <w:rPr>
          <w:rFonts w:hint="eastAsia" w:eastAsia="宋体"/>
          <w:bCs/>
          <w:color w:val="000000" w:themeColor="text1"/>
          <w:lang w:val="en-US" w:eastAsia="zh-CN"/>
          <w14:textFill>
            <w14:solidFill>
              <w14:schemeClr w14:val="tx1"/>
            </w14:solidFill>
          </w14:textFill>
        </w:rPr>
        <w:t>木加工粉尘通过中央集尘系统+脉冲布袋除尘装置（2 套）+25m 高排气筒（DA001、DA002）排放，</w:t>
      </w:r>
      <w:r>
        <w:rPr>
          <w:rFonts w:hint="eastAsia" w:eastAsia="宋体"/>
          <w:bCs/>
          <w:color w:val="000000" w:themeColor="text1"/>
          <w:lang w:val="zh-CN" w:eastAsia="zh-CN"/>
          <w14:textFill>
            <w14:solidFill>
              <w14:schemeClr w14:val="tx1"/>
            </w14:solidFill>
          </w14:textFill>
        </w:rPr>
        <w:t>打磨</w:t>
      </w:r>
      <w:r>
        <w:rPr>
          <w:rFonts w:hint="eastAsia" w:eastAsia="宋体"/>
          <w:bCs/>
          <w:color w:val="000000" w:themeColor="text1"/>
          <w:lang w:val="en-US" w:eastAsia="zh-CN"/>
          <w14:textFill>
            <w14:solidFill>
              <w14:schemeClr w14:val="tx1"/>
            </w14:solidFill>
          </w14:textFill>
        </w:rPr>
        <w:t>粉尘通过干式打磨柜（1套）+25m高排气筒（DA003），底漆打磨粉尘通过水式打磨柜（2套）+25m高排气筒（DA004、DA005），调色、擦色废气以及水性漆调漆、喷漆、烘干废气喷漆调漆晾干废气通过水旋柜+过滤棉+二级活性炭吸附装置（8套），处理后经25m高排气筒（DA006、DA007、DA008、DA009）排放，喷胶废气通过水旋柜+过滤棉+二级活性炭吸附装置（1套）处理后经25m高排气筒（DA011），未收集部分废气无组织排放。</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根据环评报告</w:t>
      </w:r>
      <w:r>
        <w:rPr>
          <w:rFonts w:eastAsia="宋体"/>
          <w:color w:val="000000" w:themeColor="text1"/>
          <w14:textFill>
            <w14:solidFill>
              <w14:schemeClr w14:val="tx1"/>
            </w14:solidFill>
          </w14:textFill>
        </w:rPr>
        <w:t>废气产生</w:t>
      </w:r>
      <w:r>
        <w:rPr>
          <w:rFonts w:hint="eastAsia" w:eastAsia="宋体"/>
          <w:color w:val="000000" w:themeColor="text1"/>
          <w14:textFill>
            <w14:solidFill>
              <w14:schemeClr w14:val="tx1"/>
            </w14:solidFill>
          </w14:textFill>
        </w:rPr>
        <w:t>及</w:t>
      </w:r>
      <w:r>
        <w:rPr>
          <w:rFonts w:eastAsia="宋体"/>
          <w:color w:val="000000" w:themeColor="text1"/>
          <w14:textFill>
            <w14:solidFill>
              <w14:schemeClr w14:val="tx1"/>
            </w14:solidFill>
          </w14:textFill>
        </w:rPr>
        <w:t>处理的情况见表 3-13。</w:t>
      </w:r>
    </w:p>
    <w:p>
      <w:pPr>
        <w:snapToGrid w:val="0"/>
        <w:spacing w:line="500" w:lineRule="exact"/>
        <w:jc w:val="center"/>
        <w:rPr>
          <w:rFonts w:eastAsia="宋体"/>
          <w:b/>
          <w:bCs/>
        </w:rPr>
      </w:pPr>
      <w:r>
        <w:rPr>
          <w:rFonts w:eastAsia="宋体"/>
          <w:b/>
          <w:bCs/>
        </w:rPr>
        <w:t xml:space="preserve">表3-13 </w:t>
      </w:r>
      <w:r>
        <w:rPr>
          <w:rFonts w:hint="eastAsia" w:eastAsia="宋体"/>
          <w:b/>
          <w:bCs/>
        </w:rPr>
        <w:t>有组织废气产生及处理</w:t>
      </w:r>
      <w:r>
        <w:rPr>
          <w:rFonts w:eastAsia="宋体"/>
          <w:b/>
          <w:bCs/>
        </w:rPr>
        <w:t>一览表</w:t>
      </w:r>
    </w:p>
    <w:tbl>
      <w:tblPr>
        <w:tblStyle w:val="38"/>
        <w:tblW w:w="513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26"/>
        <w:gridCol w:w="851"/>
        <w:gridCol w:w="1116"/>
        <w:gridCol w:w="1082"/>
        <w:gridCol w:w="1082"/>
        <w:gridCol w:w="1296"/>
        <w:gridCol w:w="938"/>
        <w:gridCol w:w="1343"/>
        <w:gridCol w:w="10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4" w:type="pct"/>
            <w:gridSpan w:val="2"/>
            <w:vMerge w:val="restart"/>
            <w:tcBorders>
              <w:tl2br w:val="nil"/>
              <w:tr2bl w:val="nil"/>
            </w:tcBorders>
            <w:vAlign w:val="center"/>
          </w:tcPr>
          <w:p>
            <w:pPr>
              <w:pStyle w:val="142"/>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0" w:type="pct"/>
            <w:vMerge w:val="restart"/>
            <w:tcBorders>
              <w:tl2br w:val="nil"/>
              <w:tr2bl w:val="nil"/>
            </w:tcBorders>
            <w:vAlign w:val="center"/>
          </w:tcPr>
          <w:p>
            <w:pPr>
              <w:pStyle w:val="142"/>
              <w:rPr>
                <w:rFonts w:ascii="Times New Roman" w:hAnsi="Times New Roman" w:cs="Times New Roman"/>
                <w:b/>
                <w:sz w:val="21"/>
              </w:rPr>
            </w:pPr>
            <w:r>
              <w:rPr>
                <w:rFonts w:ascii="Times New Roman" w:hAnsi="Times New Roman" w:cs="Times New Roman"/>
                <w:b/>
                <w:sz w:val="21"/>
              </w:rPr>
              <w:t>污染物名称</w:t>
            </w:r>
          </w:p>
        </w:tc>
        <w:tc>
          <w:tcPr>
            <w:tcW w:w="1829" w:type="pct"/>
            <w:gridSpan w:val="3"/>
            <w:tcBorders>
              <w:tl2br w:val="nil"/>
              <w:tr2bl w:val="nil"/>
            </w:tcBorders>
            <w:vAlign w:val="center"/>
          </w:tcPr>
          <w:p>
            <w:pPr>
              <w:pStyle w:val="142"/>
              <w:rPr>
                <w:rFonts w:ascii="Times New Roman" w:hAnsi="Times New Roman" w:cs="Times New Roman"/>
                <w:b/>
                <w:sz w:val="21"/>
              </w:rPr>
            </w:pPr>
            <w:r>
              <w:rPr>
                <w:rFonts w:ascii="Times New Roman" w:hAnsi="Times New Roman" w:cs="Times New Roman"/>
                <w:b/>
                <w:sz w:val="21"/>
              </w:rPr>
              <w:t>产生状况</w:t>
            </w:r>
          </w:p>
        </w:tc>
        <w:tc>
          <w:tcPr>
            <w:tcW w:w="496" w:type="pct"/>
            <w:vMerge w:val="restart"/>
            <w:tcBorders>
              <w:tl2br w:val="nil"/>
              <w:tr2bl w:val="nil"/>
            </w:tcBorders>
            <w:vAlign w:val="center"/>
          </w:tcPr>
          <w:p>
            <w:pPr>
              <w:pStyle w:val="142"/>
              <w:rPr>
                <w:rFonts w:ascii="Times New Roman" w:hAnsi="Times New Roman" w:cs="Times New Roman"/>
                <w:b/>
                <w:sz w:val="21"/>
              </w:rPr>
            </w:pPr>
            <w:r>
              <w:rPr>
                <w:rFonts w:ascii="Times New Roman" w:hAnsi="Times New Roman" w:cs="Times New Roman"/>
                <w:b/>
                <w:w w:val="95"/>
                <w:sz w:val="21"/>
              </w:rPr>
              <w:t>排气量</w:t>
            </w:r>
          </w:p>
          <w:p>
            <w:pPr>
              <w:pStyle w:val="142"/>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pPr>
              <w:pStyle w:val="142"/>
              <w:rPr>
                <w:rFonts w:ascii="Times New Roman" w:hAnsi="Times New Roman" w:cs="Times New Roman"/>
                <w:b/>
                <w:sz w:val="21"/>
              </w:rPr>
            </w:pPr>
            <w:r>
              <w:rPr>
                <w:rFonts w:ascii="Times New Roman" w:hAnsi="Times New Roman" w:cs="Times New Roman"/>
                <w:b/>
                <w:sz w:val="21"/>
              </w:rPr>
              <w:t>治理措施</w:t>
            </w:r>
          </w:p>
        </w:tc>
        <w:tc>
          <w:tcPr>
            <w:tcW w:w="539" w:type="pct"/>
            <w:vMerge w:val="restart"/>
            <w:tcBorders>
              <w:tl2br w:val="nil"/>
              <w:tr2bl w:val="nil"/>
            </w:tcBorders>
            <w:vAlign w:val="center"/>
          </w:tcPr>
          <w:p>
            <w:pPr>
              <w:pStyle w:val="142"/>
              <w:rPr>
                <w:rFonts w:ascii="Times New Roman" w:hAnsi="Times New Roman" w:cs="Times New Roman"/>
                <w:b/>
                <w:sz w:val="21"/>
              </w:rPr>
            </w:pPr>
            <w:r>
              <w:rPr>
                <w:rFonts w:ascii="Times New Roman" w:hAnsi="Times New Roman" w:cs="Times New Roman"/>
                <w:b/>
                <w:sz w:val="21"/>
              </w:rPr>
              <w:t>排气筒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4" w:type="pct"/>
            <w:gridSpan w:val="2"/>
            <w:vMerge w:val="continue"/>
            <w:tcBorders>
              <w:tl2br w:val="nil"/>
              <w:tr2bl w:val="nil"/>
            </w:tcBorders>
            <w:vAlign w:val="center"/>
          </w:tcPr>
          <w:p>
            <w:pPr>
              <w:jc w:val="center"/>
              <w:rPr>
                <w:sz w:val="2"/>
                <w:szCs w:val="2"/>
              </w:rPr>
            </w:pPr>
          </w:p>
        </w:tc>
        <w:tc>
          <w:tcPr>
            <w:tcW w:w="590" w:type="pct"/>
            <w:vMerge w:val="continue"/>
            <w:tcBorders>
              <w:tl2br w:val="nil"/>
              <w:tr2bl w:val="nil"/>
            </w:tcBorders>
            <w:vAlign w:val="center"/>
          </w:tcPr>
          <w:p>
            <w:pPr>
              <w:jc w:val="center"/>
              <w:rPr>
                <w:sz w:val="2"/>
                <w:szCs w:val="2"/>
              </w:rPr>
            </w:pPr>
          </w:p>
        </w:tc>
        <w:tc>
          <w:tcPr>
            <w:tcW w:w="572" w:type="pct"/>
            <w:tcBorders>
              <w:tl2br w:val="nil"/>
              <w:tr2bl w:val="nil"/>
            </w:tcBorders>
            <w:vAlign w:val="center"/>
          </w:tcPr>
          <w:p>
            <w:pPr>
              <w:pStyle w:val="142"/>
              <w:rPr>
                <w:rFonts w:ascii="Times New Roman" w:hAnsi="Times New Roman" w:cs="Times New Roman"/>
                <w:b/>
                <w:sz w:val="21"/>
              </w:rPr>
            </w:pPr>
            <w:r>
              <w:rPr>
                <w:rFonts w:ascii="Times New Roman" w:hAnsi="Times New Roman" w:cs="Times New Roman"/>
                <w:b/>
                <w:sz w:val="21"/>
              </w:rPr>
              <w:t>浓度</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2" w:type="pct"/>
            <w:tcBorders>
              <w:tl2br w:val="nil"/>
              <w:tr2bl w:val="nil"/>
            </w:tcBorders>
            <w:vAlign w:val="center"/>
          </w:tcPr>
          <w:p>
            <w:pPr>
              <w:pStyle w:val="142"/>
              <w:rPr>
                <w:rFonts w:ascii="Times New Roman" w:hAnsi="Times New Roman" w:cs="Times New Roman"/>
                <w:b/>
                <w:sz w:val="21"/>
              </w:rPr>
            </w:pPr>
            <w:r>
              <w:rPr>
                <w:rFonts w:ascii="Times New Roman" w:hAnsi="Times New Roman" w:cs="Times New Roman"/>
                <w:b/>
                <w:sz w:val="21"/>
              </w:rPr>
              <w:t>速率</w:t>
            </w:r>
          </w:p>
          <w:p>
            <w:pPr>
              <w:pStyle w:val="142"/>
              <w:rPr>
                <w:rFonts w:ascii="Times New Roman" w:hAnsi="Times New Roman" w:cs="Times New Roman"/>
                <w:b/>
                <w:sz w:val="21"/>
              </w:rPr>
            </w:pPr>
            <w:r>
              <w:rPr>
                <w:rFonts w:ascii="Times New Roman" w:hAnsi="Times New Roman" w:cs="Times New Roman"/>
                <w:b/>
                <w:sz w:val="21"/>
              </w:rPr>
              <w:t>(kg/h)</w:t>
            </w:r>
          </w:p>
        </w:tc>
        <w:tc>
          <w:tcPr>
            <w:tcW w:w="684" w:type="pct"/>
            <w:tcBorders>
              <w:tl2br w:val="nil"/>
              <w:tr2bl w:val="nil"/>
            </w:tcBorders>
            <w:vAlign w:val="center"/>
          </w:tcPr>
          <w:p>
            <w:pPr>
              <w:pStyle w:val="142"/>
              <w:rPr>
                <w:rFonts w:ascii="Times New Roman" w:hAnsi="Times New Roman" w:cs="Times New Roman"/>
                <w:b/>
                <w:sz w:val="21"/>
              </w:rPr>
            </w:pPr>
            <w:r>
              <w:rPr>
                <w:rFonts w:ascii="Times New Roman" w:hAnsi="Times New Roman" w:cs="Times New Roman"/>
                <w:b/>
                <w:sz w:val="21"/>
              </w:rPr>
              <w:t>产生量</w:t>
            </w:r>
          </w:p>
          <w:p>
            <w:pPr>
              <w:pStyle w:val="142"/>
              <w:rPr>
                <w:rFonts w:ascii="Times New Roman" w:hAnsi="Times New Roman" w:cs="Times New Roman"/>
                <w:b/>
                <w:sz w:val="21"/>
              </w:rPr>
            </w:pPr>
            <w:r>
              <w:rPr>
                <w:rFonts w:ascii="Times New Roman" w:hAnsi="Times New Roman" w:cs="Times New Roman"/>
                <w:b/>
                <w:sz w:val="21"/>
              </w:rPr>
              <w:t>(t/a)</w:t>
            </w:r>
          </w:p>
        </w:tc>
        <w:tc>
          <w:tcPr>
            <w:tcW w:w="496" w:type="pct"/>
            <w:vMerge w:val="continue"/>
            <w:tcBorders>
              <w:tl2br w:val="nil"/>
              <w:tr2bl w:val="nil"/>
            </w:tcBorders>
            <w:vAlign w:val="center"/>
          </w:tcPr>
          <w:p>
            <w:pPr>
              <w:jc w:val="center"/>
              <w:rPr>
                <w:sz w:val="2"/>
                <w:szCs w:val="2"/>
              </w:rPr>
            </w:pPr>
          </w:p>
        </w:tc>
        <w:tc>
          <w:tcPr>
            <w:tcW w:w="710" w:type="pct"/>
            <w:vMerge w:val="continue"/>
            <w:tcBorders>
              <w:tl2br w:val="nil"/>
              <w:tr2bl w:val="nil"/>
            </w:tcBorders>
            <w:vAlign w:val="center"/>
          </w:tcPr>
          <w:p>
            <w:pPr>
              <w:jc w:val="center"/>
              <w:rPr>
                <w:sz w:val="2"/>
                <w:szCs w:val="2"/>
              </w:rPr>
            </w:pPr>
          </w:p>
        </w:tc>
        <w:tc>
          <w:tcPr>
            <w:tcW w:w="539" w:type="pct"/>
            <w:vMerge w:val="continue"/>
            <w:tcBorders>
              <w:tl2br w:val="nil"/>
              <w:tr2bl w:val="nil"/>
            </w:tcBorders>
            <w:vAlign w:val="center"/>
          </w:tcPr>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4" w:type="pct"/>
            <w:gridSpan w:val="2"/>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木加工废气</w:t>
            </w:r>
          </w:p>
        </w:tc>
        <w:tc>
          <w:tcPr>
            <w:tcW w:w="590"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24.00</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0.360</w:t>
            </w:r>
          </w:p>
        </w:tc>
        <w:tc>
          <w:tcPr>
            <w:tcW w:w="684"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0.864</w:t>
            </w:r>
          </w:p>
        </w:tc>
        <w:tc>
          <w:tcPr>
            <w:tcW w:w="496"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15000</w:t>
            </w:r>
          </w:p>
        </w:tc>
        <w:tc>
          <w:tcPr>
            <w:tcW w:w="710"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脉冲布袋除尘</w:t>
            </w:r>
          </w:p>
        </w:tc>
        <w:tc>
          <w:tcPr>
            <w:tcW w:w="539"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rPr>
              <w:t>1#15m排气筒排放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4" w:type="pct"/>
            <w:gridSpan w:val="2"/>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木加工废气</w:t>
            </w:r>
          </w:p>
        </w:tc>
        <w:tc>
          <w:tcPr>
            <w:tcW w:w="590"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21.60</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0.540</w:t>
            </w:r>
          </w:p>
        </w:tc>
        <w:tc>
          <w:tcPr>
            <w:tcW w:w="684"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1.296</w:t>
            </w:r>
          </w:p>
        </w:tc>
        <w:tc>
          <w:tcPr>
            <w:tcW w:w="496"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25000</w:t>
            </w:r>
          </w:p>
        </w:tc>
        <w:tc>
          <w:tcPr>
            <w:tcW w:w="710"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脉冲布袋除尘</w:t>
            </w:r>
          </w:p>
        </w:tc>
        <w:tc>
          <w:tcPr>
            <w:tcW w:w="539" w:type="pct"/>
            <w:tcBorders>
              <w:tl2br w:val="nil"/>
              <w:tr2bl w:val="nil"/>
            </w:tcBorders>
            <w:vAlign w:val="center"/>
          </w:tcPr>
          <w:p>
            <w:pPr>
              <w:pStyle w:val="142"/>
              <w:rPr>
                <w:rFonts w:ascii="Times New Roman" w:hAnsi="Times New Roman" w:cs="Times New Roman"/>
                <w:w w:val="95"/>
                <w:sz w:val="21"/>
              </w:rPr>
            </w:pPr>
            <w:r>
              <w:rPr>
                <w:rFonts w:hint="eastAsia" w:ascii="Times New Roman" w:hAnsi="Times New Roman" w:cs="Times New Roman"/>
                <w:sz w:val="21"/>
              </w:rPr>
              <w:t>2#15m排气筒排放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4" w:type="pct"/>
            <w:gridSpan w:val="2"/>
            <w:tcBorders>
              <w:tl2br w:val="nil"/>
              <w:tr2bl w:val="nil"/>
            </w:tcBorders>
            <w:vAlign w:val="center"/>
          </w:tcPr>
          <w:p>
            <w:pPr>
              <w:pStyle w:val="142"/>
            </w:pPr>
            <w:r>
              <w:rPr>
                <w:rFonts w:hint="eastAsia" w:ascii="Times New Roman" w:hAnsi="Times New Roman" w:cs="Times New Roman"/>
                <w:sz w:val="21"/>
                <w:lang w:val="en-US" w:eastAsia="zh-CN"/>
              </w:rPr>
              <w:t>打磨废气</w:t>
            </w:r>
          </w:p>
        </w:tc>
        <w:tc>
          <w:tcPr>
            <w:tcW w:w="590"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12.60</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0.441</w:t>
            </w:r>
          </w:p>
        </w:tc>
        <w:tc>
          <w:tcPr>
            <w:tcW w:w="684" w:type="pct"/>
            <w:tcBorders>
              <w:tl2br w:val="nil"/>
              <w:tr2bl w:val="nil"/>
            </w:tcBorders>
            <w:vAlign w:val="center"/>
          </w:tcPr>
          <w:p>
            <w:pPr>
              <w:pStyle w:val="142"/>
              <w:rPr>
                <w:rFonts w:hint="default" w:ascii="Times New Roman" w:hAnsi="Times New Roman" w:cs="Times New Roman"/>
                <w:sz w:val="21"/>
                <w:lang w:val="en-US"/>
              </w:rPr>
            </w:pPr>
            <w:r>
              <w:rPr>
                <w:rFonts w:hint="eastAsia" w:ascii="Times New Roman" w:hAnsi="Times New Roman" w:cs="Times New Roman"/>
                <w:sz w:val="21"/>
                <w:lang w:val="en-US" w:eastAsia="zh-CN"/>
              </w:rPr>
              <w:t>1.058</w:t>
            </w:r>
          </w:p>
        </w:tc>
        <w:tc>
          <w:tcPr>
            <w:tcW w:w="496"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35000</w:t>
            </w:r>
          </w:p>
        </w:tc>
        <w:tc>
          <w:tcPr>
            <w:tcW w:w="710" w:type="pct"/>
            <w:tcBorders>
              <w:tl2br w:val="nil"/>
              <w:tr2bl w:val="nil"/>
            </w:tcBorders>
            <w:vAlign w:val="center"/>
          </w:tcPr>
          <w:p>
            <w:pPr>
              <w:pStyle w:val="142"/>
              <w:rPr>
                <w:rFonts w:hint="default" w:ascii="Times New Roman" w:hAnsi="Times New Roman" w:cs="Times New Roman"/>
                <w:sz w:val="21"/>
                <w:lang w:val="en-US"/>
              </w:rPr>
            </w:pPr>
            <w:r>
              <w:rPr>
                <w:rFonts w:hint="eastAsia" w:ascii="Times New Roman" w:hAnsi="Times New Roman" w:cs="Times New Roman"/>
                <w:sz w:val="21"/>
                <w:lang w:val="en-US" w:eastAsia="zh-CN"/>
              </w:rPr>
              <w:t>干</w:t>
            </w:r>
            <w:r>
              <w:rPr>
                <w:rFonts w:hint="default" w:ascii="Times New Roman" w:hAnsi="Times New Roman" w:cs="Times New Roman"/>
                <w:sz w:val="21"/>
                <w:lang w:val="en-US" w:eastAsia="zh-CN"/>
              </w:rPr>
              <w:t>式打磨柜</w:t>
            </w:r>
          </w:p>
        </w:tc>
        <w:tc>
          <w:tcPr>
            <w:tcW w:w="539"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3</w:t>
            </w:r>
            <w:r>
              <w:rPr>
                <w:rFonts w:hint="eastAsia" w:ascii="Times New Roman" w:hAnsi="Times New Roman" w:cs="Times New Roman"/>
                <w:sz w:val="21"/>
              </w:rPr>
              <w:t>#15m排气筒排放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4" w:type="pct"/>
            <w:gridSpan w:val="2"/>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底漆打磨废气</w:t>
            </w:r>
          </w:p>
        </w:tc>
        <w:tc>
          <w:tcPr>
            <w:tcW w:w="590"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2.13</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0.075</w:t>
            </w:r>
          </w:p>
        </w:tc>
        <w:tc>
          <w:tcPr>
            <w:tcW w:w="684"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0.1792</w:t>
            </w:r>
          </w:p>
        </w:tc>
        <w:tc>
          <w:tcPr>
            <w:tcW w:w="496"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35000</w:t>
            </w:r>
          </w:p>
        </w:tc>
        <w:tc>
          <w:tcPr>
            <w:tcW w:w="710"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水式打磨柜</w:t>
            </w:r>
          </w:p>
        </w:tc>
        <w:tc>
          <w:tcPr>
            <w:tcW w:w="539" w:type="pct"/>
            <w:tcBorders>
              <w:tl2br w:val="nil"/>
              <w:tr2bl w:val="nil"/>
            </w:tcBorders>
            <w:vAlign w:val="center"/>
          </w:tcPr>
          <w:p>
            <w:pPr>
              <w:pStyle w:val="142"/>
              <w:rPr>
                <w:rFonts w:ascii="Times New Roman" w:hAnsi="Times New Roman" w:cs="Times New Roman"/>
                <w:w w:val="95"/>
                <w:sz w:val="21"/>
              </w:rPr>
            </w:pPr>
            <w:r>
              <w:rPr>
                <w:rFonts w:hint="eastAsia" w:ascii="Times New Roman" w:hAnsi="Times New Roman" w:cs="Times New Roman"/>
                <w:sz w:val="21"/>
                <w:lang w:val="en-US" w:eastAsia="zh-CN"/>
              </w:rPr>
              <w:t>4</w:t>
            </w:r>
            <w:r>
              <w:rPr>
                <w:rFonts w:hint="eastAsia" w:ascii="Times New Roman" w:hAnsi="Times New Roman" w:cs="Times New Roman"/>
                <w:sz w:val="21"/>
              </w:rPr>
              <w:t>#15m排气筒排放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4" w:type="pct"/>
            <w:gridSpan w:val="2"/>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底漆打磨废气</w:t>
            </w:r>
          </w:p>
        </w:tc>
        <w:tc>
          <w:tcPr>
            <w:tcW w:w="590"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2.11</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0.074</w:t>
            </w:r>
          </w:p>
        </w:tc>
        <w:tc>
          <w:tcPr>
            <w:tcW w:w="684"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0.1775</w:t>
            </w:r>
          </w:p>
        </w:tc>
        <w:tc>
          <w:tcPr>
            <w:tcW w:w="496"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35000</w:t>
            </w:r>
          </w:p>
        </w:tc>
        <w:tc>
          <w:tcPr>
            <w:tcW w:w="710"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水式打磨柜</w:t>
            </w:r>
          </w:p>
        </w:tc>
        <w:tc>
          <w:tcPr>
            <w:tcW w:w="539"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5</w:t>
            </w:r>
            <w:r>
              <w:rPr>
                <w:rFonts w:hint="eastAsia" w:ascii="Times New Roman" w:hAnsi="Times New Roman" w:cs="Times New Roman"/>
                <w:sz w:val="21"/>
              </w:rPr>
              <w:t>#15m排气筒排放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84" w:type="pct"/>
            <w:vMerge w:val="restart"/>
            <w:tcBorders>
              <w:tl2br w:val="nil"/>
              <w:tr2bl w:val="nil"/>
            </w:tcBorders>
            <w:vAlign w:val="center"/>
          </w:tcPr>
          <w:p>
            <w:pPr>
              <w:pStyle w:val="142"/>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 xml:space="preserve">底漆调漆房、1#、2# </w:t>
            </w:r>
          </w:p>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底漆房、烘干房</w:t>
            </w:r>
          </w:p>
        </w:tc>
        <w:tc>
          <w:tcPr>
            <w:tcW w:w="449" w:type="pct"/>
            <w:vMerge w:val="restar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调底漆、喷底漆废气</w:t>
            </w:r>
          </w:p>
        </w:tc>
        <w:tc>
          <w:tcPr>
            <w:tcW w:w="590"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19.64</w:t>
            </w:r>
          </w:p>
        </w:tc>
        <w:tc>
          <w:tcPr>
            <w:tcW w:w="572"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1.807</w:t>
            </w:r>
          </w:p>
        </w:tc>
        <w:tc>
          <w:tcPr>
            <w:tcW w:w="684"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1.1381</w:t>
            </w:r>
          </w:p>
        </w:tc>
        <w:tc>
          <w:tcPr>
            <w:tcW w:w="496" w:type="pct"/>
            <w:vMerge w:val="restar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92000</w:t>
            </w:r>
          </w:p>
        </w:tc>
        <w:tc>
          <w:tcPr>
            <w:tcW w:w="710" w:type="pct"/>
            <w:vMerge w:val="restar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水帘柜</w:t>
            </w:r>
            <w:r>
              <w:rPr>
                <w:rFonts w:hint="default" w:ascii="Times New Roman" w:hAnsi="Times New Roman" w:cs="Times New Roman"/>
                <w:sz w:val="21"/>
                <w:lang w:val="en-US" w:eastAsia="zh-CN"/>
              </w:rPr>
              <w:t>+</w:t>
            </w:r>
            <w:r>
              <w:rPr>
                <w:rFonts w:hint="eastAsia" w:ascii="Times New Roman" w:hAnsi="Times New Roman" w:cs="Times New Roman"/>
                <w:sz w:val="21"/>
                <w:lang w:val="en-US" w:eastAsia="zh-CN"/>
              </w:rPr>
              <w:t>水喷淋塔</w:t>
            </w:r>
            <w:r>
              <w:rPr>
                <w:rFonts w:hint="default" w:ascii="Times New Roman" w:hAnsi="Times New Roman" w:cs="Times New Roman"/>
                <w:sz w:val="21"/>
                <w:lang w:val="en-US" w:eastAsia="zh-CN"/>
              </w:rPr>
              <w:t>+</w:t>
            </w:r>
            <w:r>
              <w:rPr>
                <w:rFonts w:hint="eastAsia" w:ascii="Times New Roman" w:hAnsi="Times New Roman" w:cs="Times New Roman"/>
                <w:sz w:val="21"/>
                <w:lang w:val="en-US" w:eastAsia="zh-CN"/>
              </w:rPr>
              <w:t>二级活性炭吸附</w:t>
            </w:r>
          </w:p>
        </w:tc>
        <w:tc>
          <w:tcPr>
            <w:tcW w:w="539" w:type="pct"/>
            <w:vMerge w:val="restar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6</w:t>
            </w:r>
            <w:r>
              <w:rPr>
                <w:rFonts w:hint="eastAsia" w:ascii="Times New Roman" w:hAnsi="Times New Roman" w:cs="Times New Roman"/>
                <w:sz w:val="21"/>
              </w:rPr>
              <w:t>#15m排气筒排放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84" w:type="pct"/>
            <w:vMerge w:val="continue"/>
            <w:tcBorders>
              <w:tl2br w:val="nil"/>
              <w:tr2bl w:val="nil"/>
            </w:tcBorders>
            <w:vAlign w:val="center"/>
          </w:tcPr>
          <w:p>
            <w:pPr>
              <w:pStyle w:val="142"/>
            </w:pPr>
          </w:p>
        </w:tc>
        <w:tc>
          <w:tcPr>
            <w:tcW w:w="449" w:type="pct"/>
            <w:vMerge w:val="continue"/>
            <w:tcBorders>
              <w:tl2br w:val="nil"/>
              <w:tr2bl w:val="nil"/>
            </w:tcBorders>
            <w:vAlign w:val="center"/>
          </w:tcPr>
          <w:p>
            <w:pPr>
              <w:pStyle w:val="142"/>
            </w:pPr>
          </w:p>
        </w:tc>
        <w:tc>
          <w:tcPr>
            <w:tcW w:w="590" w:type="pct"/>
            <w:tcBorders>
              <w:tl2br w:val="nil"/>
              <w:tr2bl w:val="nil"/>
            </w:tcBorders>
            <w:vAlign w:val="center"/>
          </w:tcPr>
          <w:p>
            <w:pPr>
              <w:pStyle w:val="142"/>
              <w:rPr>
                <w:rFonts w:hint="eastAsia" w:ascii="Times New Roman" w:hAnsi="Times New Roman" w:cs="Times New Roman"/>
                <w:sz w:val="21"/>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7.80</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0.718</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0.4522</w:t>
            </w:r>
          </w:p>
        </w:tc>
        <w:tc>
          <w:tcPr>
            <w:tcW w:w="496" w:type="pct"/>
            <w:vMerge w:val="continue"/>
            <w:tcBorders>
              <w:tl2br w:val="nil"/>
              <w:tr2bl w:val="nil"/>
            </w:tcBorders>
            <w:vAlign w:val="center"/>
          </w:tcPr>
          <w:p>
            <w:pPr>
              <w:pStyle w:val="142"/>
              <w:rPr>
                <w:rFonts w:hint="default" w:ascii="Times New Roman" w:hAnsi="Times New Roman" w:eastAsia="宋体" w:cs="Times New Roman"/>
                <w:sz w:val="21"/>
                <w:lang w:val="en-US" w:eastAsia="zh-CN"/>
              </w:rPr>
            </w:pPr>
          </w:p>
        </w:tc>
        <w:tc>
          <w:tcPr>
            <w:tcW w:w="710" w:type="pct"/>
            <w:vMerge w:val="continue"/>
            <w:tcBorders>
              <w:tl2br w:val="nil"/>
              <w:tr2bl w:val="nil"/>
            </w:tcBorders>
            <w:vAlign w:val="center"/>
          </w:tcPr>
          <w:p>
            <w:pPr>
              <w:pStyle w:val="142"/>
              <w:rPr>
                <w:rFonts w:hint="eastAsia" w:ascii="Times New Roman" w:hAnsi="Times New Roman" w:cs="Times New Roman"/>
                <w:sz w:val="21"/>
              </w:rPr>
            </w:pPr>
          </w:p>
        </w:tc>
        <w:tc>
          <w:tcPr>
            <w:tcW w:w="539" w:type="pct"/>
            <w:vMerge w:val="continue"/>
            <w:tcBorders>
              <w:tl2br w:val="nil"/>
              <w:tr2bl w:val="nil"/>
            </w:tcBorders>
            <w:vAlign w:val="center"/>
          </w:tcPr>
          <w:p>
            <w:pPr>
              <w:pStyle w:val="142"/>
              <w:rPr>
                <w:rFonts w:hint="eastAsia"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84" w:type="pct"/>
            <w:vMerge w:val="continue"/>
            <w:tcBorders>
              <w:tl2br w:val="nil"/>
              <w:tr2bl w:val="nil"/>
            </w:tcBorders>
            <w:vAlign w:val="center"/>
          </w:tcPr>
          <w:p>
            <w:pPr>
              <w:pStyle w:val="142"/>
              <w:rPr>
                <w:rFonts w:ascii="Times New Roman" w:hAnsi="Times New Roman" w:cs="Times New Roman"/>
                <w:sz w:val="21"/>
              </w:rPr>
            </w:pPr>
          </w:p>
        </w:tc>
        <w:tc>
          <w:tcPr>
            <w:tcW w:w="449"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烘干废气</w:t>
            </w:r>
          </w:p>
        </w:tc>
        <w:tc>
          <w:tcPr>
            <w:tcW w:w="590"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2.73</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0.251</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0.3014</w:t>
            </w:r>
          </w:p>
        </w:tc>
        <w:tc>
          <w:tcPr>
            <w:tcW w:w="496" w:type="pct"/>
            <w:vMerge w:val="continue"/>
            <w:tcBorders>
              <w:tl2br w:val="nil"/>
              <w:tr2bl w:val="nil"/>
            </w:tcBorders>
            <w:vAlign w:val="center"/>
          </w:tcPr>
          <w:p>
            <w:pPr>
              <w:pStyle w:val="142"/>
              <w:rPr>
                <w:rFonts w:ascii="Times New Roman" w:hAnsi="Times New Roman" w:cs="Times New Roman"/>
                <w:sz w:val="21"/>
              </w:rPr>
            </w:pPr>
          </w:p>
        </w:tc>
        <w:tc>
          <w:tcPr>
            <w:tcW w:w="710" w:type="pct"/>
            <w:vMerge w:val="continue"/>
            <w:tcBorders>
              <w:tl2br w:val="nil"/>
              <w:tr2bl w:val="nil"/>
            </w:tcBorders>
            <w:vAlign w:val="center"/>
          </w:tcPr>
          <w:p>
            <w:pPr>
              <w:pStyle w:val="142"/>
              <w:rPr>
                <w:rFonts w:ascii="Times New Roman" w:hAnsi="Times New Roman" w:cs="Times New Roman"/>
                <w:sz w:val="21"/>
              </w:rPr>
            </w:pPr>
          </w:p>
        </w:tc>
        <w:tc>
          <w:tcPr>
            <w:tcW w:w="539" w:type="pct"/>
            <w:vMerge w:val="continue"/>
            <w:tcBorders>
              <w:tl2br w:val="nil"/>
              <w:tr2bl w:val="nil"/>
            </w:tcBorders>
            <w:vAlign w:val="center"/>
          </w:tcPr>
          <w:p>
            <w:pPr>
              <w:pStyle w:val="142"/>
              <w:rPr>
                <w:rFonts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34" w:type="pct"/>
            <w:gridSpan w:val="2"/>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调色、擦色废气</w:t>
            </w:r>
          </w:p>
        </w:tc>
        <w:tc>
          <w:tcPr>
            <w:tcW w:w="590"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0.09</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0.06</w:t>
            </w:r>
          </w:p>
        </w:tc>
        <w:tc>
          <w:tcPr>
            <w:tcW w:w="684"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0.0065</w:t>
            </w:r>
          </w:p>
        </w:tc>
        <w:tc>
          <w:tcPr>
            <w:tcW w:w="496" w:type="pct"/>
            <w:vMerge w:val="continue"/>
            <w:tcBorders>
              <w:tl2br w:val="nil"/>
              <w:tr2bl w:val="nil"/>
            </w:tcBorders>
            <w:vAlign w:val="center"/>
          </w:tcPr>
          <w:p>
            <w:pPr>
              <w:pStyle w:val="142"/>
              <w:rPr>
                <w:rFonts w:ascii="Times New Roman" w:hAnsi="Times New Roman" w:cs="Times New Roman"/>
                <w:sz w:val="21"/>
              </w:rPr>
            </w:pPr>
          </w:p>
        </w:tc>
        <w:tc>
          <w:tcPr>
            <w:tcW w:w="710" w:type="pct"/>
            <w:vMerge w:val="continue"/>
            <w:tcBorders>
              <w:tl2br w:val="nil"/>
              <w:tr2bl w:val="nil"/>
            </w:tcBorders>
            <w:vAlign w:val="center"/>
          </w:tcPr>
          <w:p>
            <w:pPr>
              <w:pStyle w:val="142"/>
              <w:rPr>
                <w:rFonts w:ascii="Times New Roman" w:hAnsi="Times New Roman" w:cs="Times New Roman"/>
                <w:sz w:val="21"/>
              </w:rPr>
            </w:pPr>
          </w:p>
        </w:tc>
        <w:tc>
          <w:tcPr>
            <w:tcW w:w="539" w:type="pct"/>
            <w:vMerge w:val="continue"/>
            <w:tcBorders>
              <w:tl2br w:val="nil"/>
              <w:tr2bl w:val="nil"/>
            </w:tcBorders>
            <w:vAlign w:val="center"/>
          </w:tcPr>
          <w:p>
            <w:pPr>
              <w:pStyle w:val="142"/>
              <w:rPr>
                <w:rFonts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384" w:type="pct"/>
            <w:vMerge w:val="restart"/>
            <w:tcBorders>
              <w:tl2br w:val="nil"/>
              <w:tr2bl w:val="nil"/>
            </w:tcBorders>
            <w:vAlign w:val="center"/>
          </w:tcPr>
          <w:p>
            <w:pPr>
              <w:pStyle w:val="142"/>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3#、4# </w:t>
            </w:r>
          </w:p>
          <w:p>
            <w:pPr>
              <w:pStyle w:val="142"/>
              <w:rPr>
                <w:rFonts w:hint="default" w:ascii="Times New Roman" w:hAnsi="Times New Roman" w:cs="Times New Roman"/>
                <w:sz w:val="21"/>
                <w:lang w:val="en-US"/>
              </w:rPr>
            </w:pPr>
            <w:r>
              <w:rPr>
                <w:rFonts w:hint="eastAsia" w:ascii="Times New Roman" w:hAnsi="Times New Roman" w:cs="Times New Roman"/>
                <w:sz w:val="21"/>
                <w:lang w:val="en-US" w:eastAsia="zh-CN"/>
              </w:rPr>
              <w:t>底漆房、烘干</w:t>
            </w:r>
          </w:p>
        </w:tc>
        <w:tc>
          <w:tcPr>
            <w:tcW w:w="449" w:type="pct"/>
            <w:vMerge w:val="restar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喷底漆废气</w:t>
            </w:r>
          </w:p>
        </w:tc>
        <w:tc>
          <w:tcPr>
            <w:tcW w:w="590"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22.36</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1.789</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1.1271</w:t>
            </w:r>
          </w:p>
        </w:tc>
        <w:tc>
          <w:tcPr>
            <w:tcW w:w="496" w:type="pct"/>
            <w:vMerge w:val="restar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80000</w:t>
            </w:r>
          </w:p>
        </w:tc>
        <w:tc>
          <w:tcPr>
            <w:tcW w:w="710" w:type="pct"/>
            <w:vMerge w:val="restar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水帘柜</w:t>
            </w:r>
            <w:r>
              <w:rPr>
                <w:rFonts w:hint="default" w:ascii="Times New Roman" w:hAnsi="Times New Roman" w:cs="Times New Roman"/>
                <w:sz w:val="21"/>
                <w:lang w:val="en-US" w:eastAsia="zh-CN"/>
              </w:rPr>
              <w:t>+</w:t>
            </w:r>
            <w:r>
              <w:rPr>
                <w:rFonts w:hint="eastAsia" w:ascii="Times New Roman" w:hAnsi="Times New Roman" w:cs="Times New Roman"/>
                <w:sz w:val="21"/>
                <w:lang w:val="en-US" w:eastAsia="zh-CN"/>
              </w:rPr>
              <w:t>水喷淋塔</w:t>
            </w:r>
            <w:r>
              <w:rPr>
                <w:rFonts w:hint="default" w:ascii="Times New Roman" w:hAnsi="Times New Roman" w:cs="Times New Roman"/>
                <w:sz w:val="21"/>
                <w:lang w:val="en-US" w:eastAsia="zh-CN"/>
              </w:rPr>
              <w:t>+</w:t>
            </w:r>
            <w:r>
              <w:rPr>
                <w:rFonts w:hint="eastAsia" w:ascii="Times New Roman" w:hAnsi="Times New Roman" w:cs="Times New Roman"/>
                <w:sz w:val="21"/>
                <w:lang w:val="en-US" w:eastAsia="zh-CN"/>
              </w:rPr>
              <w:t>二级活性炭吸附</w:t>
            </w:r>
          </w:p>
        </w:tc>
        <w:tc>
          <w:tcPr>
            <w:tcW w:w="539" w:type="pct"/>
            <w:vMerge w:val="restar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7</w:t>
            </w:r>
            <w:r>
              <w:rPr>
                <w:rFonts w:hint="eastAsia" w:ascii="Times New Roman" w:hAnsi="Times New Roman" w:cs="Times New Roman"/>
                <w:sz w:val="21"/>
              </w:rPr>
              <w:t>#15m排气筒排放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384" w:type="pct"/>
            <w:vMerge w:val="continue"/>
            <w:tcBorders>
              <w:tl2br w:val="nil"/>
              <w:tr2bl w:val="nil"/>
            </w:tcBorders>
            <w:vAlign w:val="center"/>
          </w:tcPr>
          <w:p>
            <w:pPr>
              <w:pStyle w:val="142"/>
            </w:pPr>
          </w:p>
        </w:tc>
        <w:tc>
          <w:tcPr>
            <w:tcW w:w="449" w:type="pct"/>
            <w:vMerge w:val="continue"/>
            <w:tcBorders>
              <w:tl2br w:val="nil"/>
              <w:tr2bl w:val="nil"/>
            </w:tcBorders>
            <w:vAlign w:val="center"/>
          </w:tcPr>
          <w:p>
            <w:pPr>
              <w:pStyle w:val="142"/>
            </w:pPr>
          </w:p>
        </w:tc>
        <w:tc>
          <w:tcPr>
            <w:tcW w:w="590" w:type="pct"/>
            <w:tcBorders>
              <w:tl2br w:val="nil"/>
              <w:tr2bl w:val="nil"/>
            </w:tcBorders>
            <w:vAlign w:val="center"/>
          </w:tcPr>
          <w:p>
            <w:pPr>
              <w:pStyle w:val="142"/>
              <w:rPr>
                <w:rFonts w:hint="eastAsia" w:ascii="Times New Roman" w:hAnsi="Times New Roman" w:cs="Times New Roman"/>
                <w:sz w:val="21"/>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10.92</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0.874</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0.5504</w:t>
            </w:r>
          </w:p>
        </w:tc>
        <w:tc>
          <w:tcPr>
            <w:tcW w:w="496" w:type="pct"/>
            <w:vMerge w:val="continue"/>
            <w:tcBorders>
              <w:tl2br w:val="nil"/>
              <w:tr2bl w:val="nil"/>
            </w:tcBorders>
            <w:vAlign w:val="center"/>
          </w:tcPr>
          <w:p>
            <w:pPr>
              <w:pStyle w:val="142"/>
              <w:rPr>
                <w:rFonts w:hint="eastAsia" w:ascii="Times New Roman" w:hAnsi="Times New Roman" w:cs="Times New Roman"/>
                <w:sz w:val="21"/>
              </w:rPr>
            </w:pPr>
          </w:p>
        </w:tc>
        <w:tc>
          <w:tcPr>
            <w:tcW w:w="710" w:type="pct"/>
            <w:vMerge w:val="continue"/>
            <w:tcBorders>
              <w:tl2br w:val="nil"/>
              <w:tr2bl w:val="nil"/>
            </w:tcBorders>
            <w:vAlign w:val="center"/>
          </w:tcPr>
          <w:p>
            <w:pPr>
              <w:pStyle w:val="142"/>
              <w:rPr>
                <w:rFonts w:hint="eastAsia" w:ascii="Times New Roman" w:hAnsi="Times New Roman" w:cs="Times New Roman"/>
                <w:sz w:val="21"/>
              </w:rPr>
            </w:pPr>
          </w:p>
        </w:tc>
        <w:tc>
          <w:tcPr>
            <w:tcW w:w="539" w:type="pct"/>
            <w:vMerge w:val="continue"/>
            <w:tcBorders>
              <w:tl2br w:val="nil"/>
              <w:tr2bl w:val="nil"/>
            </w:tcBorders>
            <w:vAlign w:val="center"/>
          </w:tcPr>
          <w:p>
            <w:pPr>
              <w:pStyle w:val="142"/>
              <w:rPr>
                <w:rFonts w:hint="eastAsia"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84" w:type="pct"/>
            <w:vMerge w:val="continue"/>
            <w:tcBorders>
              <w:tl2br w:val="nil"/>
              <w:tr2bl w:val="nil"/>
            </w:tcBorders>
            <w:vAlign w:val="center"/>
          </w:tcPr>
          <w:p>
            <w:pPr>
              <w:pStyle w:val="142"/>
              <w:rPr>
                <w:rFonts w:ascii="Times New Roman" w:hAnsi="Times New Roman" w:cs="Times New Roman"/>
                <w:sz w:val="21"/>
              </w:rPr>
            </w:pPr>
          </w:p>
        </w:tc>
        <w:tc>
          <w:tcPr>
            <w:tcW w:w="449" w:type="pc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烘干废气</w:t>
            </w:r>
          </w:p>
        </w:tc>
        <w:tc>
          <w:tcPr>
            <w:tcW w:w="590"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3.82</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0.306</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0.3669</w:t>
            </w:r>
          </w:p>
        </w:tc>
        <w:tc>
          <w:tcPr>
            <w:tcW w:w="496" w:type="pct"/>
            <w:vMerge w:val="continue"/>
            <w:tcBorders>
              <w:tl2br w:val="nil"/>
              <w:tr2bl w:val="nil"/>
            </w:tcBorders>
            <w:vAlign w:val="center"/>
          </w:tcPr>
          <w:p>
            <w:pPr>
              <w:pStyle w:val="142"/>
              <w:rPr>
                <w:rFonts w:ascii="Times New Roman" w:hAnsi="Times New Roman" w:cs="Times New Roman"/>
                <w:sz w:val="21"/>
              </w:rPr>
            </w:pPr>
          </w:p>
        </w:tc>
        <w:tc>
          <w:tcPr>
            <w:tcW w:w="710" w:type="pct"/>
            <w:vMerge w:val="continue"/>
            <w:tcBorders>
              <w:tl2br w:val="nil"/>
              <w:tr2bl w:val="nil"/>
            </w:tcBorders>
            <w:vAlign w:val="center"/>
          </w:tcPr>
          <w:p>
            <w:pPr>
              <w:pStyle w:val="142"/>
              <w:rPr>
                <w:rFonts w:ascii="Times New Roman" w:hAnsi="Times New Roman" w:cs="Times New Roman"/>
                <w:sz w:val="21"/>
              </w:rPr>
            </w:pPr>
          </w:p>
        </w:tc>
        <w:tc>
          <w:tcPr>
            <w:tcW w:w="539" w:type="pct"/>
            <w:vMerge w:val="continue"/>
            <w:tcBorders>
              <w:tl2br w:val="nil"/>
              <w:tr2bl w:val="nil"/>
            </w:tcBorders>
            <w:vAlign w:val="center"/>
          </w:tcPr>
          <w:p>
            <w:pPr>
              <w:pStyle w:val="142"/>
              <w:rPr>
                <w:rFonts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384" w:type="pct"/>
            <w:vMerge w:val="restart"/>
            <w:tcBorders>
              <w:tl2br w:val="nil"/>
              <w:tr2bl w:val="nil"/>
            </w:tcBorders>
            <w:vAlign w:val="center"/>
          </w:tcPr>
          <w:p>
            <w:pPr>
              <w:pStyle w:val="142"/>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 xml:space="preserve">面漆调漆房、1#、2# </w:t>
            </w:r>
          </w:p>
          <w:p>
            <w:pPr>
              <w:pStyle w:val="142"/>
              <w:rPr>
                <w:rFonts w:hint="default" w:ascii="Times New Roman" w:hAnsi="Times New Roman" w:cs="Times New Roman"/>
                <w:sz w:val="21"/>
                <w:lang w:val="en-US"/>
              </w:rPr>
            </w:pPr>
            <w:r>
              <w:rPr>
                <w:rFonts w:hint="eastAsia" w:ascii="Times New Roman" w:hAnsi="Times New Roman" w:cs="Times New Roman"/>
                <w:sz w:val="21"/>
                <w:lang w:val="en-US" w:eastAsia="zh-CN"/>
              </w:rPr>
              <w:t>面漆房、烘干房</w:t>
            </w:r>
          </w:p>
        </w:tc>
        <w:tc>
          <w:tcPr>
            <w:tcW w:w="449" w:type="pct"/>
            <w:vMerge w:val="restar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调面漆、喷面漆废气</w:t>
            </w:r>
          </w:p>
        </w:tc>
        <w:tc>
          <w:tcPr>
            <w:tcW w:w="590"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21.22</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1.698</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0.4075</w:t>
            </w:r>
          </w:p>
        </w:tc>
        <w:tc>
          <w:tcPr>
            <w:tcW w:w="496" w:type="pct"/>
            <w:vMerge w:val="restar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94000</w:t>
            </w:r>
          </w:p>
        </w:tc>
        <w:tc>
          <w:tcPr>
            <w:tcW w:w="710" w:type="pct"/>
            <w:vMerge w:val="restar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水帘柜</w:t>
            </w:r>
            <w:r>
              <w:rPr>
                <w:rFonts w:hint="default" w:ascii="Times New Roman" w:hAnsi="Times New Roman" w:cs="Times New Roman"/>
                <w:sz w:val="21"/>
                <w:lang w:val="en-US" w:eastAsia="zh-CN"/>
              </w:rPr>
              <w:t>+</w:t>
            </w:r>
            <w:r>
              <w:rPr>
                <w:rFonts w:hint="eastAsia" w:ascii="Times New Roman" w:hAnsi="Times New Roman" w:cs="Times New Roman"/>
                <w:sz w:val="21"/>
                <w:lang w:val="en-US" w:eastAsia="zh-CN"/>
              </w:rPr>
              <w:t>水喷淋塔</w:t>
            </w:r>
            <w:r>
              <w:rPr>
                <w:rFonts w:hint="default" w:ascii="Times New Roman" w:hAnsi="Times New Roman" w:cs="Times New Roman"/>
                <w:sz w:val="21"/>
                <w:lang w:val="en-US" w:eastAsia="zh-CN"/>
              </w:rPr>
              <w:t>+</w:t>
            </w:r>
            <w:r>
              <w:rPr>
                <w:rFonts w:hint="eastAsia" w:ascii="Times New Roman" w:hAnsi="Times New Roman" w:cs="Times New Roman"/>
                <w:sz w:val="21"/>
                <w:lang w:val="en-US" w:eastAsia="zh-CN"/>
              </w:rPr>
              <w:t>二级活性炭吸附</w:t>
            </w:r>
          </w:p>
        </w:tc>
        <w:tc>
          <w:tcPr>
            <w:tcW w:w="539" w:type="pct"/>
            <w:vMerge w:val="restar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8</w:t>
            </w:r>
            <w:r>
              <w:rPr>
                <w:rFonts w:hint="eastAsia" w:ascii="Times New Roman" w:hAnsi="Times New Roman" w:cs="Times New Roman"/>
                <w:sz w:val="21"/>
              </w:rPr>
              <w:t>#15m排气筒排放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384" w:type="pct"/>
            <w:vMerge w:val="continue"/>
            <w:tcBorders>
              <w:tl2br w:val="nil"/>
              <w:tr2bl w:val="nil"/>
            </w:tcBorders>
            <w:vAlign w:val="center"/>
          </w:tcPr>
          <w:p>
            <w:pPr>
              <w:pStyle w:val="142"/>
            </w:pPr>
          </w:p>
        </w:tc>
        <w:tc>
          <w:tcPr>
            <w:tcW w:w="449" w:type="pct"/>
            <w:vMerge w:val="continue"/>
            <w:tcBorders>
              <w:tl2br w:val="nil"/>
              <w:tr2bl w:val="nil"/>
            </w:tcBorders>
            <w:vAlign w:val="center"/>
          </w:tcPr>
          <w:p>
            <w:pPr>
              <w:pStyle w:val="142"/>
            </w:pPr>
          </w:p>
        </w:tc>
        <w:tc>
          <w:tcPr>
            <w:tcW w:w="590" w:type="pct"/>
            <w:tcBorders>
              <w:tl2br w:val="nil"/>
              <w:tr2bl w:val="nil"/>
            </w:tcBorders>
            <w:vAlign w:val="center"/>
          </w:tcPr>
          <w:p>
            <w:pPr>
              <w:pStyle w:val="142"/>
              <w:rPr>
                <w:rFonts w:hint="eastAsia" w:ascii="Times New Roman" w:hAnsi="Times New Roman" w:cs="Times New Roman"/>
                <w:sz w:val="21"/>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7.14</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0.671</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0.1611</w:t>
            </w:r>
          </w:p>
        </w:tc>
        <w:tc>
          <w:tcPr>
            <w:tcW w:w="496" w:type="pct"/>
            <w:vMerge w:val="continue"/>
            <w:tcBorders>
              <w:tl2br w:val="nil"/>
              <w:tr2bl w:val="nil"/>
            </w:tcBorders>
            <w:vAlign w:val="center"/>
          </w:tcPr>
          <w:p>
            <w:pPr>
              <w:pStyle w:val="142"/>
              <w:rPr>
                <w:rFonts w:hint="eastAsia" w:ascii="Times New Roman" w:hAnsi="Times New Roman" w:cs="Times New Roman"/>
                <w:sz w:val="21"/>
              </w:rPr>
            </w:pPr>
          </w:p>
        </w:tc>
        <w:tc>
          <w:tcPr>
            <w:tcW w:w="710" w:type="pct"/>
            <w:vMerge w:val="continue"/>
            <w:tcBorders>
              <w:tl2br w:val="nil"/>
              <w:tr2bl w:val="nil"/>
            </w:tcBorders>
            <w:vAlign w:val="center"/>
          </w:tcPr>
          <w:p>
            <w:pPr>
              <w:pStyle w:val="142"/>
              <w:rPr>
                <w:rFonts w:hint="eastAsia" w:ascii="Times New Roman" w:hAnsi="Times New Roman" w:cs="Times New Roman"/>
                <w:sz w:val="21"/>
              </w:rPr>
            </w:pPr>
          </w:p>
        </w:tc>
        <w:tc>
          <w:tcPr>
            <w:tcW w:w="539" w:type="pct"/>
            <w:vMerge w:val="continue"/>
            <w:tcBorders>
              <w:tl2br w:val="nil"/>
              <w:tr2bl w:val="nil"/>
            </w:tcBorders>
            <w:vAlign w:val="center"/>
          </w:tcPr>
          <w:p>
            <w:pPr>
              <w:pStyle w:val="142"/>
              <w:rPr>
                <w:rFonts w:hint="eastAsia"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384" w:type="pct"/>
            <w:vMerge w:val="continue"/>
            <w:tcBorders>
              <w:tl2br w:val="nil"/>
              <w:tr2bl w:val="nil"/>
            </w:tcBorders>
            <w:vAlign w:val="center"/>
          </w:tcPr>
          <w:p>
            <w:pPr>
              <w:pStyle w:val="142"/>
            </w:pPr>
          </w:p>
        </w:tc>
        <w:tc>
          <w:tcPr>
            <w:tcW w:w="449" w:type="pct"/>
            <w:tcBorders>
              <w:tl2br w:val="nil"/>
              <w:tr2bl w:val="nil"/>
            </w:tcBorders>
            <w:vAlign w:val="center"/>
          </w:tcPr>
          <w:p>
            <w:pPr>
              <w:pStyle w:val="142"/>
              <w:rPr>
                <w:rFonts w:hint="default" w:eastAsia="宋体"/>
                <w:lang w:val="en-US" w:eastAsia="zh-CN"/>
              </w:rPr>
            </w:pPr>
            <w:r>
              <w:rPr>
                <w:rFonts w:hint="eastAsia"/>
                <w:sz w:val="21"/>
                <w:szCs w:val="21"/>
                <w:lang w:val="en-US" w:eastAsia="zh-CN"/>
              </w:rPr>
              <w:t>流平废气</w:t>
            </w:r>
          </w:p>
        </w:tc>
        <w:tc>
          <w:tcPr>
            <w:tcW w:w="590"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0.48</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0.045</w:t>
            </w:r>
          </w:p>
        </w:tc>
        <w:tc>
          <w:tcPr>
            <w:tcW w:w="684"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0.0269</w:t>
            </w:r>
          </w:p>
        </w:tc>
        <w:tc>
          <w:tcPr>
            <w:tcW w:w="496" w:type="pct"/>
            <w:vMerge w:val="continue"/>
            <w:tcBorders>
              <w:tl2br w:val="nil"/>
              <w:tr2bl w:val="nil"/>
            </w:tcBorders>
            <w:vAlign w:val="center"/>
          </w:tcPr>
          <w:p>
            <w:pPr>
              <w:pStyle w:val="142"/>
              <w:rPr>
                <w:rFonts w:hint="eastAsia" w:ascii="Times New Roman" w:hAnsi="Times New Roman" w:cs="Times New Roman"/>
                <w:sz w:val="21"/>
              </w:rPr>
            </w:pPr>
          </w:p>
        </w:tc>
        <w:tc>
          <w:tcPr>
            <w:tcW w:w="710" w:type="pct"/>
            <w:vMerge w:val="continue"/>
            <w:tcBorders>
              <w:tl2br w:val="nil"/>
              <w:tr2bl w:val="nil"/>
            </w:tcBorders>
            <w:vAlign w:val="center"/>
          </w:tcPr>
          <w:p>
            <w:pPr>
              <w:pStyle w:val="142"/>
              <w:rPr>
                <w:rFonts w:hint="eastAsia" w:ascii="Times New Roman" w:hAnsi="Times New Roman" w:cs="Times New Roman"/>
                <w:sz w:val="21"/>
              </w:rPr>
            </w:pPr>
          </w:p>
        </w:tc>
        <w:tc>
          <w:tcPr>
            <w:tcW w:w="539" w:type="pct"/>
            <w:vMerge w:val="continue"/>
            <w:tcBorders>
              <w:tl2br w:val="nil"/>
              <w:tr2bl w:val="nil"/>
            </w:tcBorders>
            <w:vAlign w:val="center"/>
          </w:tcPr>
          <w:p>
            <w:pPr>
              <w:pStyle w:val="142"/>
              <w:rPr>
                <w:rFonts w:hint="eastAsia"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84" w:type="pct"/>
            <w:vMerge w:val="continue"/>
            <w:tcBorders>
              <w:tl2br w:val="nil"/>
              <w:tr2bl w:val="nil"/>
            </w:tcBorders>
            <w:vAlign w:val="center"/>
          </w:tcPr>
          <w:p>
            <w:pPr>
              <w:pStyle w:val="142"/>
              <w:rPr>
                <w:rFonts w:ascii="Times New Roman" w:hAnsi="Times New Roman" w:cs="Times New Roman"/>
                <w:sz w:val="21"/>
              </w:rPr>
            </w:pPr>
          </w:p>
        </w:tc>
        <w:tc>
          <w:tcPr>
            <w:tcW w:w="449" w:type="pc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烘干废气</w:t>
            </w:r>
          </w:p>
        </w:tc>
        <w:tc>
          <w:tcPr>
            <w:tcW w:w="590"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0.71</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0.067</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0.0806</w:t>
            </w:r>
          </w:p>
        </w:tc>
        <w:tc>
          <w:tcPr>
            <w:tcW w:w="496" w:type="pct"/>
            <w:vMerge w:val="continue"/>
            <w:tcBorders>
              <w:tl2br w:val="nil"/>
              <w:tr2bl w:val="nil"/>
            </w:tcBorders>
            <w:vAlign w:val="center"/>
          </w:tcPr>
          <w:p>
            <w:pPr>
              <w:pStyle w:val="142"/>
              <w:rPr>
                <w:rFonts w:ascii="Times New Roman" w:hAnsi="Times New Roman" w:cs="Times New Roman"/>
                <w:sz w:val="21"/>
              </w:rPr>
            </w:pPr>
          </w:p>
        </w:tc>
        <w:tc>
          <w:tcPr>
            <w:tcW w:w="710" w:type="pct"/>
            <w:vMerge w:val="continue"/>
            <w:tcBorders>
              <w:tl2br w:val="nil"/>
              <w:tr2bl w:val="nil"/>
            </w:tcBorders>
            <w:vAlign w:val="center"/>
          </w:tcPr>
          <w:p>
            <w:pPr>
              <w:pStyle w:val="142"/>
              <w:rPr>
                <w:rFonts w:ascii="Times New Roman" w:hAnsi="Times New Roman" w:cs="Times New Roman"/>
                <w:sz w:val="21"/>
              </w:rPr>
            </w:pPr>
          </w:p>
        </w:tc>
        <w:tc>
          <w:tcPr>
            <w:tcW w:w="539" w:type="pct"/>
            <w:vMerge w:val="continue"/>
            <w:tcBorders>
              <w:tl2br w:val="nil"/>
              <w:tr2bl w:val="nil"/>
            </w:tcBorders>
            <w:vAlign w:val="center"/>
          </w:tcPr>
          <w:p>
            <w:pPr>
              <w:pStyle w:val="142"/>
              <w:rPr>
                <w:rFonts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84" w:type="pct"/>
            <w:vMerge w:val="restart"/>
            <w:tcBorders>
              <w:tl2br w:val="nil"/>
              <w:tr2bl w:val="nil"/>
            </w:tcBorders>
            <w:vAlign w:val="center"/>
          </w:tcPr>
          <w:p>
            <w:pPr>
              <w:pStyle w:val="142"/>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3#、4# </w:t>
            </w:r>
          </w:p>
          <w:p>
            <w:pPr>
              <w:pStyle w:val="142"/>
              <w:rPr>
                <w:rFonts w:hint="default" w:ascii="Times New Roman" w:hAnsi="Times New Roman" w:cs="Times New Roman"/>
                <w:sz w:val="21"/>
                <w:lang w:val="en-US"/>
              </w:rPr>
            </w:pPr>
            <w:r>
              <w:rPr>
                <w:rFonts w:hint="eastAsia" w:ascii="Times New Roman" w:hAnsi="Times New Roman" w:cs="Times New Roman"/>
                <w:sz w:val="21"/>
                <w:lang w:val="en-US" w:eastAsia="zh-CN"/>
              </w:rPr>
              <w:t>面漆房、烘干房</w:t>
            </w:r>
          </w:p>
        </w:tc>
        <w:tc>
          <w:tcPr>
            <w:tcW w:w="449" w:type="pct"/>
            <w:vMerge w:val="restar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喷面漆废气</w:t>
            </w:r>
          </w:p>
        </w:tc>
        <w:tc>
          <w:tcPr>
            <w:tcW w:w="590"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18.56</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1.671</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0.401</w:t>
            </w:r>
          </w:p>
        </w:tc>
        <w:tc>
          <w:tcPr>
            <w:tcW w:w="496" w:type="pct"/>
            <w:vMerge w:val="restar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90000</w:t>
            </w:r>
          </w:p>
        </w:tc>
        <w:tc>
          <w:tcPr>
            <w:tcW w:w="710" w:type="pct"/>
            <w:vMerge w:val="restar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水帘柜</w:t>
            </w:r>
            <w:r>
              <w:rPr>
                <w:rFonts w:hint="default" w:ascii="Times New Roman" w:hAnsi="Times New Roman" w:cs="Times New Roman"/>
                <w:sz w:val="21"/>
                <w:lang w:val="en-US" w:eastAsia="zh-CN"/>
              </w:rPr>
              <w:t>+</w:t>
            </w:r>
            <w:r>
              <w:rPr>
                <w:rFonts w:hint="eastAsia" w:ascii="Times New Roman" w:hAnsi="Times New Roman" w:cs="Times New Roman"/>
                <w:sz w:val="21"/>
                <w:lang w:val="en-US" w:eastAsia="zh-CN"/>
              </w:rPr>
              <w:t>水喷淋塔</w:t>
            </w:r>
            <w:r>
              <w:rPr>
                <w:rFonts w:hint="default" w:ascii="Times New Roman" w:hAnsi="Times New Roman" w:cs="Times New Roman"/>
                <w:sz w:val="21"/>
                <w:lang w:val="en-US" w:eastAsia="zh-CN"/>
              </w:rPr>
              <w:t>+</w:t>
            </w:r>
            <w:r>
              <w:rPr>
                <w:rFonts w:hint="eastAsia" w:ascii="Times New Roman" w:hAnsi="Times New Roman" w:cs="Times New Roman"/>
                <w:sz w:val="21"/>
                <w:lang w:val="en-US" w:eastAsia="zh-CN"/>
              </w:rPr>
              <w:t>二级活性炭吸附</w:t>
            </w:r>
          </w:p>
        </w:tc>
        <w:tc>
          <w:tcPr>
            <w:tcW w:w="539" w:type="pct"/>
            <w:vMerge w:val="restar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9</w:t>
            </w:r>
            <w:r>
              <w:rPr>
                <w:rFonts w:hint="eastAsia" w:ascii="Times New Roman" w:hAnsi="Times New Roman" w:cs="Times New Roman"/>
                <w:sz w:val="21"/>
              </w:rPr>
              <w:t>#15m排气筒排放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84" w:type="pct"/>
            <w:vMerge w:val="continue"/>
            <w:tcBorders>
              <w:tl2br w:val="nil"/>
              <w:tr2bl w:val="nil"/>
            </w:tcBorders>
            <w:vAlign w:val="center"/>
          </w:tcPr>
          <w:p>
            <w:pPr>
              <w:pStyle w:val="142"/>
            </w:pPr>
          </w:p>
        </w:tc>
        <w:tc>
          <w:tcPr>
            <w:tcW w:w="449" w:type="pct"/>
            <w:vMerge w:val="continue"/>
            <w:tcBorders>
              <w:tl2br w:val="nil"/>
              <w:tr2bl w:val="nil"/>
            </w:tcBorders>
            <w:vAlign w:val="center"/>
          </w:tcPr>
          <w:p>
            <w:pPr>
              <w:pStyle w:val="142"/>
            </w:pPr>
          </w:p>
        </w:tc>
        <w:tc>
          <w:tcPr>
            <w:tcW w:w="590" w:type="pct"/>
            <w:tcBorders>
              <w:tl2br w:val="nil"/>
              <w:tr2bl w:val="nil"/>
            </w:tcBorders>
            <w:vAlign w:val="center"/>
          </w:tcPr>
          <w:p>
            <w:pPr>
              <w:pStyle w:val="142"/>
              <w:rPr>
                <w:rFonts w:hint="eastAsia" w:ascii="Times New Roman" w:hAnsi="Times New Roman" w:cs="Times New Roman"/>
                <w:sz w:val="21"/>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10.92</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0.983</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0.2358</w:t>
            </w:r>
          </w:p>
        </w:tc>
        <w:tc>
          <w:tcPr>
            <w:tcW w:w="496" w:type="pct"/>
            <w:vMerge w:val="continue"/>
            <w:tcBorders>
              <w:tl2br w:val="nil"/>
              <w:tr2bl w:val="nil"/>
            </w:tcBorders>
            <w:vAlign w:val="center"/>
          </w:tcPr>
          <w:p>
            <w:pPr>
              <w:pStyle w:val="142"/>
              <w:rPr>
                <w:rFonts w:hint="eastAsia" w:ascii="Times New Roman" w:hAnsi="Times New Roman" w:cs="Times New Roman"/>
                <w:sz w:val="21"/>
              </w:rPr>
            </w:pPr>
          </w:p>
        </w:tc>
        <w:tc>
          <w:tcPr>
            <w:tcW w:w="710" w:type="pct"/>
            <w:vMerge w:val="continue"/>
            <w:tcBorders>
              <w:tl2br w:val="nil"/>
              <w:tr2bl w:val="nil"/>
            </w:tcBorders>
            <w:vAlign w:val="center"/>
          </w:tcPr>
          <w:p>
            <w:pPr>
              <w:pStyle w:val="142"/>
              <w:rPr>
                <w:rFonts w:hint="eastAsia" w:ascii="Times New Roman" w:hAnsi="Times New Roman" w:cs="Times New Roman"/>
                <w:sz w:val="21"/>
              </w:rPr>
            </w:pPr>
          </w:p>
        </w:tc>
        <w:tc>
          <w:tcPr>
            <w:tcW w:w="539" w:type="pct"/>
            <w:vMerge w:val="continue"/>
            <w:tcBorders>
              <w:tl2br w:val="nil"/>
              <w:tr2bl w:val="nil"/>
            </w:tcBorders>
            <w:vAlign w:val="center"/>
          </w:tcPr>
          <w:p>
            <w:pPr>
              <w:pStyle w:val="142"/>
              <w:rPr>
                <w:rFonts w:hint="eastAsia"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84" w:type="pct"/>
            <w:vMerge w:val="continue"/>
            <w:tcBorders>
              <w:tl2br w:val="nil"/>
              <w:tr2bl w:val="nil"/>
            </w:tcBorders>
            <w:vAlign w:val="center"/>
          </w:tcPr>
          <w:p>
            <w:pPr>
              <w:pStyle w:val="142"/>
            </w:pPr>
          </w:p>
        </w:tc>
        <w:tc>
          <w:tcPr>
            <w:tcW w:w="449" w:type="pct"/>
            <w:vMerge w:val="continue"/>
            <w:tcBorders>
              <w:tl2br w:val="nil"/>
              <w:tr2bl w:val="nil"/>
            </w:tcBorders>
            <w:vAlign w:val="center"/>
          </w:tcPr>
          <w:p>
            <w:pPr>
              <w:pStyle w:val="142"/>
            </w:pPr>
          </w:p>
        </w:tc>
        <w:tc>
          <w:tcPr>
            <w:tcW w:w="590"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甲醛</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2.25</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0.203</w:t>
            </w:r>
          </w:p>
        </w:tc>
        <w:tc>
          <w:tcPr>
            <w:tcW w:w="684"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0.0487</w:t>
            </w:r>
          </w:p>
        </w:tc>
        <w:tc>
          <w:tcPr>
            <w:tcW w:w="496" w:type="pct"/>
            <w:vMerge w:val="continue"/>
            <w:tcBorders>
              <w:tl2br w:val="nil"/>
              <w:tr2bl w:val="nil"/>
            </w:tcBorders>
            <w:vAlign w:val="center"/>
          </w:tcPr>
          <w:p>
            <w:pPr>
              <w:pStyle w:val="142"/>
              <w:rPr>
                <w:rFonts w:hint="eastAsia" w:ascii="Times New Roman" w:hAnsi="Times New Roman" w:cs="Times New Roman"/>
                <w:sz w:val="21"/>
              </w:rPr>
            </w:pPr>
          </w:p>
        </w:tc>
        <w:tc>
          <w:tcPr>
            <w:tcW w:w="710" w:type="pct"/>
            <w:vMerge w:val="continue"/>
            <w:tcBorders>
              <w:tl2br w:val="nil"/>
              <w:tr2bl w:val="nil"/>
            </w:tcBorders>
            <w:vAlign w:val="center"/>
          </w:tcPr>
          <w:p>
            <w:pPr>
              <w:pStyle w:val="142"/>
              <w:rPr>
                <w:rFonts w:hint="eastAsia" w:ascii="Times New Roman" w:hAnsi="Times New Roman" w:cs="Times New Roman"/>
                <w:sz w:val="21"/>
              </w:rPr>
            </w:pPr>
          </w:p>
        </w:tc>
        <w:tc>
          <w:tcPr>
            <w:tcW w:w="539" w:type="pct"/>
            <w:vMerge w:val="continue"/>
            <w:tcBorders>
              <w:tl2br w:val="nil"/>
              <w:tr2bl w:val="nil"/>
            </w:tcBorders>
            <w:vAlign w:val="center"/>
          </w:tcPr>
          <w:p>
            <w:pPr>
              <w:pStyle w:val="142"/>
              <w:rPr>
                <w:rFonts w:hint="eastAsia"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84" w:type="pct"/>
            <w:vMerge w:val="continue"/>
            <w:tcBorders>
              <w:tl2br w:val="nil"/>
              <w:tr2bl w:val="nil"/>
            </w:tcBorders>
            <w:vAlign w:val="center"/>
          </w:tcPr>
          <w:p>
            <w:pPr>
              <w:pStyle w:val="142"/>
            </w:pPr>
          </w:p>
        </w:tc>
        <w:tc>
          <w:tcPr>
            <w:tcW w:w="449" w:type="pct"/>
            <w:vMerge w:val="restart"/>
            <w:tcBorders>
              <w:tl2br w:val="nil"/>
              <w:tr2bl w:val="nil"/>
            </w:tcBorders>
            <w:vAlign w:val="center"/>
          </w:tcPr>
          <w:p>
            <w:pPr>
              <w:pStyle w:val="142"/>
              <w:rPr>
                <w:rFonts w:hint="eastAsia" w:eastAsia="宋体"/>
                <w:lang w:val="en-US" w:eastAsia="zh-CN"/>
              </w:rPr>
            </w:pPr>
            <w:r>
              <w:rPr>
                <w:rFonts w:hint="eastAsia"/>
                <w:sz w:val="21"/>
                <w:szCs w:val="21"/>
                <w:lang w:val="en-US" w:eastAsia="zh-CN"/>
              </w:rPr>
              <w:t>流平废气</w:t>
            </w:r>
          </w:p>
        </w:tc>
        <w:tc>
          <w:tcPr>
            <w:tcW w:w="590" w:type="pct"/>
            <w:tcBorders>
              <w:tl2br w:val="nil"/>
              <w:tr2bl w:val="nil"/>
            </w:tcBorders>
            <w:vAlign w:val="center"/>
          </w:tcPr>
          <w:p>
            <w:pPr>
              <w:pStyle w:val="142"/>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0.73</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0.066</w:t>
            </w:r>
          </w:p>
        </w:tc>
        <w:tc>
          <w:tcPr>
            <w:tcW w:w="684"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0.0393</w:t>
            </w:r>
          </w:p>
        </w:tc>
        <w:tc>
          <w:tcPr>
            <w:tcW w:w="496" w:type="pct"/>
            <w:vMerge w:val="continue"/>
            <w:tcBorders>
              <w:tl2br w:val="nil"/>
              <w:tr2bl w:val="nil"/>
            </w:tcBorders>
            <w:vAlign w:val="center"/>
          </w:tcPr>
          <w:p>
            <w:pPr>
              <w:pStyle w:val="142"/>
              <w:rPr>
                <w:rFonts w:hint="eastAsia" w:ascii="Times New Roman" w:hAnsi="Times New Roman" w:cs="Times New Roman"/>
                <w:sz w:val="21"/>
              </w:rPr>
            </w:pPr>
          </w:p>
        </w:tc>
        <w:tc>
          <w:tcPr>
            <w:tcW w:w="710" w:type="pct"/>
            <w:vMerge w:val="continue"/>
            <w:tcBorders>
              <w:tl2br w:val="nil"/>
              <w:tr2bl w:val="nil"/>
            </w:tcBorders>
            <w:vAlign w:val="center"/>
          </w:tcPr>
          <w:p>
            <w:pPr>
              <w:pStyle w:val="142"/>
              <w:rPr>
                <w:rFonts w:hint="eastAsia" w:ascii="Times New Roman" w:hAnsi="Times New Roman" w:cs="Times New Roman"/>
                <w:sz w:val="21"/>
              </w:rPr>
            </w:pPr>
          </w:p>
        </w:tc>
        <w:tc>
          <w:tcPr>
            <w:tcW w:w="539" w:type="pct"/>
            <w:vMerge w:val="continue"/>
            <w:tcBorders>
              <w:tl2br w:val="nil"/>
              <w:tr2bl w:val="nil"/>
            </w:tcBorders>
            <w:vAlign w:val="center"/>
          </w:tcPr>
          <w:p>
            <w:pPr>
              <w:pStyle w:val="142"/>
              <w:rPr>
                <w:rFonts w:hint="eastAsia"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384" w:type="pct"/>
            <w:vMerge w:val="continue"/>
            <w:tcBorders>
              <w:tl2br w:val="nil"/>
              <w:tr2bl w:val="nil"/>
            </w:tcBorders>
            <w:vAlign w:val="center"/>
          </w:tcPr>
          <w:p>
            <w:pPr>
              <w:pStyle w:val="142"/>
            </w:pPr>
          </w:p>
        </w:tc>
        <w:tc>
          <w:tcPr>
            <w:tcW w:w="449" w:type="pct"/>
            <w:vMerge w:val="continue"/>
            <w:tcBorders>
              <w:tl2br w:val="nil"/>
              <w:tr2bl w:val="nil"/>
            </w:tcBorders>
            <w:vAlign w:val="center"/>
          </w:tcPr>
          <w:p>
            <w:pPr>
              <w:pStyle w:val="142"/>
              <w:rPr>
                <w:rFonts w:hint="eastAsia"/>
                <w:sz w:val="21"/>
                <w:szCs w:val="21"/>
                <w:lang w:val="en-US" w:eastAsia="zh-CN"/>
              </w:rPr>
            </w:pPr>
          </w:p>
        </w:tc>
        <w:tc>
          <w:tcPr>
            <w:tcW w:w="590"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甲醛</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0.15</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0.014</w:t>
            </w:r>
          </w:p>
        </w:tc>
        <w:tc>
          <w:tcPr>
            <w:tcW w:w="684"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0.0081</w:t>
            </w:r>
          </w:p>
        </w:tc>
        <w:tc>
          <w:tcPr>
            <w:tcW w:w="496" w:type="pct"/>
            <w:vMerge w:val="continue"/>
            <w:tcBorders>
              <w:tl2br w:val="nil"/>
              <w:tr2bl w:val="nil"/>
            </w:tcBorders>
            <w:vAlign w:val="center"/>
          </w:tcPr>
          <w:p>
            <w:pPr>
              <w:pStyle w:val="142"/>
              <w:rPr>
                <w:rFonts w:hint="eastAsia" w:ascii="Times New Roman" w:hAnsi="Times New Roman" w:cs="Times New Roman"/>
                <w:sz w:val="21"/>
              </w:rPr>
            </w:pPr>
          </w:p>
        </w:tc>
        <w:tc>
          <w:tcPr>
            <w:tcW w:w="710" w:type="pct"/>
            <w:vMerge w:val="continue"/>
            <w:tcBorders>
              <w:tl2br w:val="nil"/>
              <w:tr2bl w:val="nil"/>
            </w:tcBorders>
            <w:vAlign w:val="center"/>
          </w:tcPr>
          <w:p>
            <w:pPr>
              <w:pStyle w:val="142"/>
              <w:rPr>
                <w:rFonts w:hint="eastAsia" w:ascii="Times New Roman" w:hAnsi="Times New Roman" w:cs="Times New Roman"/>
                <w:sz w:val="21"/>
              </w:rPr>
            </w:pPr>
          </w:p>
        </w:tc>
        <w:tc>
          <w:tcPr>
            <w:tcW w:w="539" w:type="pct"/>
            <w:vMerge w:val="continue"/>
            <w:tcBorders>
              <w:tl2br w:val="nil"/>
              <w:tr2bl w:val="nil"/>
            </w:tcBorders>
            <w:vAlign w:val="center"/>
          </w:tcPr>
          <w:p>
            <w:pPr>
              <w:pStyle w:val="142"/>
              <w:rPr>
                <w:rFonts w:hint="eastAsia"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84" w:type="pct"/>
            <w:vMerge w:val="continue"/>
            <w:tcBorders>
              <w:tl2br w:val="nil"/>
              <w:tr2bl w:val="nil"/>
            </w:tcBorders>
            <w:vAlign w:val="center"/>
          </w:tcPr>
          <w:p>
            <w:pPr>
              <w:pStyle w:val="142"/>
              <w:rPr>
                <w:rFonts w:ascii="Times New Roman" w:hAnsi="Times New Roman" w:cs="Times New Roman"/>
                <w:sz w:val="21"/>
              </w:rPr>
            </w:pPr>
          </w:p>
        </w:tc>
        <w:tc>
          <w:tcPr>
            <w:tcW w:w="449" w:type="pct"/>
            <w:vMerge w:val="restar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烘干废气</w:t>
            </w:r>
          </w:p>
        </w:tc>
        <w:tc>
          <w:tcPr>
            <w:tcW w:w="590"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1.09</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0.098</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0.1179</w:t>
            </w:r>
          </w:p>
        </w:tc>
        <w:tc>
          <w:tcPr>
            <w:tcW w:w="496" w:type="pct"/>
            <w:vMerge w:val="continue"/>
            <w:tcBorders>
              <w:tl2br w:val="nil"/>
              <w:tr2bl w:val="nil"/>
            </w:tcBorders>
            <w:vAlign w:val="center"/>
          </w:tcPr>
          <w:p>
            <w:pPr>
              <w:pStyle w:val="142"/>
              <w:rPr>
                <w:rFonts w:ascii="Times New Roman" w:hAnsi="Times New Roman" w:cs="Times New Roman"/>
                <w:sz w:val="21"/>
              </w:rPr>
            </w:pPr>
          </w:p>
        </w:tc>
        <w:tc>
          <w:tcPr>
            <w:tcW w:w="710" w:type="pct"/>
            <w:vMerge w:val="continue"/>
            <w:tcBorders>
              <w:tl2br w:val="nil"/>
              <w:tr2bl w:val="nil"/>
            </w:tcBorders>
            <w:vAlign w:val="center"/>
          </w:tcPr>
          <w:p>
            <w:pPr>
              <w:pStyle w:val="142"/>
              <w:rPr>
                <w:rFonts w:ascii="Times New Roman" w:hAnsi="Times New Roman" w:cs="Times New Roman"/>
                <w:sz w:val="21"/>
              </w:rPr>
            </w:pPr>
          </w:p>
        </w:tc>
        <w:tc>
          <w:tcPr>
            <w:tcW w:w="539" w:type="pct"/>
            <w:vMerge w:val="continue"/>
            <w:tcBorders>
              <w:tl2br w:val="nil"/>
              <w:tr2bl w:val="nil"/>
            </w:tcBorders>
            <w:vAlign w:val="center"/>
          </w:tcPr>
          <w:p>
            <w:pPr>
              <w:pStyle w:val="142"/>
              <w:rPr>
                <w:rFonts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84" w:type="pct"/>
            <w:vMerge w:val="continue"/>
            <w:tcBorders>
              <w:tl2br w:val="nil"/>
              <w:tr2bl w:val="nil"/>
            </w:tcBorders>
            <w:vAlign w:val="center"/>
          </w:tcPr>
          <w:p>
            <w:pPr>
              <w:pStyle w:val="142"/>
              <w:rPr>
                <w:rFonts w:ascii="Times New Roman" w:hAnsi="Times New Roman" w:cs="Times New Roman"/>
                <w:sz w:val="21"/>
              </w:rPr>
            </w:pPr>
          </w:p>
        </w:tc>
        <w:tc>
          <w:tcPr>
            <w:tcW w:w="449" w:type="pct"/>
            <w:vMerge w:val="continue"/>
            <w:tcBorders>
              <w:tl2br w:val="nil"/>
              <w:tr2bl w:val="nil"/>
            </w:tcBorders>
            <w:vAlign w:val="center"/>
          </w:tcPr>
          <w:p>
            <w:pPr>
              <w:pStyle w:val="142"/>
              <w:rPr>
                <w:rFonts w:hint="default" w:ascii="Times New Roman" w:hAnsi="Times New Roman" w:cs="Times New Roman"/>
                <w:sz w:val="21"/>
                <w:lang w:val="en-US" w:eastAsia="zh-CN"/>
              </w:rPr>
            </w:pPr>
          </w:p>
        </w:tc>
        <w:tc>
          <w:tcPr>
            <w:tcW w:w="590"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甲醛</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0.23</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0.020</w:t>
            </w:r>
          </w:p>
        </w:tc>
        <w:tc>
          <w:tcPr>
            <w:tcW w:w="684"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0.0244</w:t>
            </w:r>
          </w:p>
        </w:tc>
        <w:tc>
          <w:tcPr>
            <w:tcW w:w="496" w:type="pct"/>
            <w:vMerge w:val="continue"/>
            <w:tcBorders>
              <w:tl2br w:val="nil"/>
              <w:tr2bl w:val="nil"/>
            </w:tcBorders>
            <w:vAlign w:val="center"/>
          </w:tcPr>
          <w:p>
            <w:pPr>
              <w:pStyle w:val="142"/>
              <w:rPr>
                <w:rFonts w:ascii="Times New Roman" w:hAnsi="Times New Roman" w:cs="Times New Roman"/>
                <w:sz w:val="21"/>
              </w:rPr>
            </w:pPr>
          </w:p>
        </w:tc>
        <w:tc>
          <w:tcPr>
            <w:tcW w:w="710" w:type="pct"/>
            <w:vMerge w:val="continue"/>
            <w:tcBorders>
              <w:tl2br w:val="nil"/>
              <w:tr2bl w:val="nil"/>
            </w:tcBorders>
            <w:vAlign w:val="center"/>
          </w:tcPr>
          <w:p>
            <w:pPr>
              <w:pStyle w:val="142"/>
              <w:rPr>
                <w:rFonts w:ascii="Times New Roman" w:hAnsi="Times New Roman" w:cs="Times New Roman"/>
                <w:sz w:val="21"/>
              </w:rPr>
            </w:pPr>
          </w:p>
        </w:tc>
        <w:tc>
          <w:tcPr>
            <w:tcW w:w="539" w:type="pct"/>
            <w:vMerge w:val="continue"/>
            <w:tcBorders>
              <w:tl2br w:val="nil"/>
              <w:tr2bl w:val="nil"/>
            </w:tcBorders>
            <w:vAlign w:val="center"/>
          </w:tcPr>
          <w:p>
            <w:pPr>
              <w:pStyle w:val="142"/>
              <w:rPr>
                <w:rFonts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834" w:type="pct"/>
            <w:gridSpan w:val="2"/>
            <w:vMerge w:val="restar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喷胶废气</w:t>
            </w:r>
          </w:p>
        </w:tc>
        <w:tc>
          <w:tcPr>
            <w:tcW w:w="590"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1.25</w:t>
            </w:r>
          </w:p>
        </w:tc>
        <w:tc>
          <w:tcPr>
            <w:tcW w:w="572"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0.031</w:t>
            </w:r>
          </w:p>
        </w:tc>
        <w:tc>
          <w:tcPr>
            <w:tcW w:w="684"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0.0094</w:t>
            </w:r>
          </w:p>
        </w:tc>
        <w:tc>
          <w:tcPr>
            <w:tcW w:w="496" w:type="pct"/>
            <w:vMerge w:val="restar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25000</w:t>
            </w:r>
          </w:p>
        </w:tc>
        <w:tc>
          <w:tcPr>
            <w:tcW w:w="710" w:type="pct"/>
            <w:vMerge w:val="restar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水帘柜</w:t>
            </w:r>
            <w:r>
              <w:rPr>
                <w:rFonts w:hint="default" w:ascii="Times New Roman" w:hAnsi="Times New Roman" w:cs="Times New Roman"/>
                <w:sz w:val="21"/>
                <w:lang w:val="en-US" w:eastAsia="zh-CN"/>
              </w:rPr>
              <w:t>+</w:t>
            </w:r>
            <w:r>
              <w:rPr>
                <w:rFonts w:hint="eastAsia" w:ascii="Times New Roman" w:hAnsi="Times New Roman" w:cs="Times New Roman"/>
                <w:sz w:val="21"/>
                <w:lang w:val="en-US" w:eastAsia="zh-CN"/>
              </w:rPr>
              <w:t>水喷淋塔</w:t>
            </w:r>
            <w:r>
              <w:rPr>
                <w:rFonts w:hint="default" w:ascii="Times New Roman" w:hAnsi="Times New Roman" w:cs="Times New Roman"/>
                <w:sz w:val="21"/>
                <w:lang w:val="en-US" w:eastAsia="zh-CN"/>
              </w:rPr>
              <w:t>+</w:t>
            </w:r>
            <w:r>
              <w:rPr>
                <w:rFonts w:hint="eastAsia" w:ascii="Times New Roman" w:hAnsi="Times New Roman" w:cs="Times New Roman"/>
                <w:sz w:val="21"/>
                <w:lang w:val="en-US" w:eastAsia="zh-CN"/>
              </w:rPr>
              <w:t>二级活性炭吸附</w:t>
            </w:r>
          </w:p>
        </w:tc>
        <w:tc>
          <w:tcPr>
            <w:tcW w:w="539" w:type="pct"/>
            <w:vMerge w:val="restar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11</w:t>
            </w:r>
            <w:r>
              <w:rPr>
                <w:rFonts w:hint="eastAsia" w:ascii="Times New Roman" w:hAnsi="Times New Roman" w:cs="Times New Roman"/>
                <w:sz w:val="21"/>
              </w:rPr>
              <w:t>#15m排气筒排放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834" w:type="pct"/>
            <w:gridSpan w:val="2"/>
            <w:vMerge w:val="continue"/>
            <w:tcBorders>
              <w:tl2br w:val="nil"/>
              <w:tr2bl w:val="nil"/>
            </w:tcBorders>
            <w:vAlign w:val="center"/>
          </w:tcPr>
          <w:p>
            <w:pPr>
              <w:pStyle w:val="142"/>
              <w:rPr>
                <w:rFonts w:hint="eastAsia" w:ascii="Times New Roman" w:hAnsi="Times New Roman" w:cs="Times New Roman"/>
                <w:sz w:val="21"/>
                <w:lang w:val="en-US" w:eastAsia="zh-CN"/>
              </w:rPr>
            </w:pPr>
          </w:p>
        </w:tc>
        <w:tc>
          <w:tcPr>
            <w:tcW w:w="590" w:type="pct"/>
            <w:tcBorders>
              <w:tl2br w:val="nil"/>
              <w:tr2bl w:val="nil"/>
            </w:tcBorders>
            <w:vAlign w:val="center"/>
          </w:tcPr>
          <w:p>
            <w:pPr>
              <w:pStyle w:val="142"/>
              <w:rPr>
                <w:rFonts w:hint="eastAsia" w:ascii="Times New Roman" w:hAnsi="Times New Roman" w:cs="Times New Roman"/>
                <w:sz w:val="21"/>
              </w:rPr>
            </w:pPr>
            <w:r>
              <w:rPr>
                <w:rFonts w:hint="eastAsia" w:ascii="Times New Roman" w:hAnsi="Times New Roman" w:cs="Times New Roman"/>
                <w:sz w:val="21"/>
                <w:lang w:val="en-US" w:eastAsia="zh-CN"/>
              </w:rPr>
              <w:t>TVOC</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2.35</w:t>
            </w:r>
          </w:p>
        </w:tc>
        <w:tc>
          <w:tcPr>
            <w:tcW w:w="572"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0.059</w:t>
            </w:r>
          </w:p>
        </w:tc>
        <w:tc>
          <w:tcPr>
            <w:tcW w:w="684"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0.0176</w:t>
            </w:r>
          </w:p>
        </w:tc>
        <w:tc>
          <w:tcPr>
            <w:tcW w:w="496" w:type="pct"/>
            <w:vMerge w:val="continue"/>
            <w:tcBorders>
              <w:tl2br w:val="nil"/>
              <w:tr2bl w:val="nil"/>
            </w:tcBorders>
            <w:vAlign w:val="center"/>
          </w:tcPr>
          <w:p>
            <w:pPr>
              <w:pStyle w:val="142"/>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pPr>
              <w:pStyle w:val="142"/>
              <w:rPr>
                <w:rFonts w:hint="eastAsia" w:ascii="Times New Roman" w:hAnsi="Times New Roman" w:cs="Times New Roman"/>
                <w:sz w:val="21"/>
                <w:lang w:val="en-US" w:eastAsia="zh-CN"/>
              </w:rPr>
            </w:pPr>
          </w:p>
        </w:tc>
        <w:tc>
          <w:tcPr>
            <w:tcW w:w="539" w:type="pct"/>
            <w:vMerge w:val="continue"/>
            <w:tcBorders>
              <w:tl2br w:val="nil"/>
              <w:tr2bl w:val="nil"/>
            </w:tcBorders>
            <w:vAlign w:val="center"/>
          </w:tcPr>
          <w:p>
            <w:pPr>
              <w:pStyle w:val="142"/>
              <w:rPr>
                <w:rFonts w:hint="eastAsia" w:ascii="Times New Roman" w:hAnsi="Times New Roman" w:cs="Times New Roman"/>
                <w:sz w:val="21"/>
                <w:lang w:val="en-US" w:eastAsia="zh-CN"/>
              </w:rPr>
            </w:pPr>
          </w:p>
        </w:tc>
      </w:tr>
    </w:tbl>
    <w:p>
      <w:pPr>
        <w:adjustRightInd w:val="0"/>
        <w:snapToGrid w:val="0"/>
        <w:spacing w:line="500" w:lineRule="exact"/>
        <w:ind w:firstLine="480" w:firstLineChars="200"/>
        <w:rPr>
          <w:rFonts w:hint="default" w:eastAsia="宋体"/>
          <w:color w:val="000000" w:themeColor="text1"/>
          <w:lang w:val="en-US" w:eastAsia="zh-CN"/>
          <w14:textFill>
            <w14:solidFill>
              <w14:schemeClr w14:val="tx1"/>
            </w14:solidFill>
          </w14:textFill>
        </w:rPr>
      </w:pPr>
      <w:r>
        <w:rPr>
          <w:rFonts w:eastAsia="宋体"/>
          <w:color w:val="000000" w:themeColor="text1"/>
          <w14:textFill>
            <w14:solidFill>
              <w14:schemeClr w14:val="tx1"/>
            </w14:solidFill>
          </w14:textFill>
        </w:rPr>
        <w:t>（2）水污染物排放情况</w:t>
      </w:r>
    </w:p>
    <w:p>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w:t>
      </w:r>
      <w:r>
        <w:rPr>
          <w:rFonts w:hint="eastAsia" w:eastAsia="宋体"/>
          <w:color w:val="000000" w:themeColor="text1"/>
          <w14:textFill>
            <w14:solidFill>
              <w14:schemeClr w14:val="tx1"/>
            </w14:solidFill>
          </w14:textFill>
        </w:rPr>
        <w:t>产生的废水主要为</w:t>
      </w:r>
      <w:r>
        <w:rPr>
          <w:rFonts w:hint="eastAsia" w:eastAsia="宋体"/>
          <w:color w:val="000000" w:themeColor="text1"/>
          <w:lang w:val="en-US" w:eastAsia="zh-CN"/>
          <w14:textFill>
            <w14:solidFill>
              <w14:schemeClr w14:val="tx1"/>
            </w14:solidFill>
          </w14:textFill>
        </w:rPr>
        <w:t>清洗废水、水旋柜废水、水式打磨柜废水、生活污水、洗浴废水和食堂废水。水式打磨柜废水经处理后循环使用，定期补充损耗；水旋柜废水经过絮凝、气浮、沉淀处理后循环使用不外排；喷枪清洗废水作为调漆用水添加到涂料中，不外排；</w:t>
      </w:r>
      <w:r>
        <w:rPr>
          <w:rFonts w:hint="eastAsia" w:eastAsia="宋体"/>
          <w:color w:val="000000" w:themeColor="text1"/>
          <w:lang w:val="zh-CN" w:eastAsia="zh-CN"/>
          <w14:textFill>
            <w14:solidFill>
              <w14:schemeClr w14:val="tx1"/>
            </w14:solidFill>
          </w14:textFill>
        </w:rPr>
        <w:t>本项目生活污水和洗浴废水经化粪池处理、食堂废水经隔油池处理</w:t>
      </w:r>
      <w:r>
        <w:rPr>
          <w:rFonts w:hint="eastAsia" w:eastAsia="宋体"/>
          <w:color w:val="000000" w:themeColor="text1"/>
          <w:lang w:val="en-US" w:eastAsia="zh-CN"/>
          <w14:textFill>
            <w14:solidFill>
              <w14:schemeClr w14:val="tx1"/>
            </w14:solidFill>
          </w14:textFill>
        </w:rPr>
        <w:t>一并接管至</w:t>
      </w:r>
      <w:r>
        <w:rPr>
          <w:rFonts w:hint="eastAsia" w:eastAsia="宋体"/>
          <w:color w:val="000000" w:themeColor="text1"/>
          <w:lang w:val="zh-CN" w:eastAsia="zh-CN"/>
          <w14:textFill>
            <w14:solidFill>
              <w14:schemeClr w14:val="tx1"/>
            </w14:solidFill>
          </w14:textFill>
        </w:rPr>
        <w:t>海安市</w:t>
      </w:r>
      <w:r>
        <w:rPr>
          <w:rFonts w:hint="eastAsia" w:eastAsia="宋体"/>
          <w:color w:val="000000" w:themeColor="text1"/>
          <w:lang w:val="en-US" w:eastAsia="zh-CN"/>
          <w14:textFill>
            <w14:solidFill>
              <w14:schemeClr w14:val="tx1"/>
            </w14:solidFill>
          </w14:textFill>
        </w:rPr>
        <w:t>惠泽净水</w:t>
      </w:r>
      <w:r>
        <w:rPr>
          <w:rFonts w:hint="eastAsia" w:eastAsia="宋体"/>
          <w:color w:val="000000" w:themeColor="text1"/>
          <w:lang w:val="zh-CN" w:eastAsia="zh-CN"/>
          <w14:textFill>
            <w14:solidFill>
              <w14:schemeClr w14:val="tx1"/>
            </w14:solidFill>
          </w14:textFill>
        </w:rPr>
        <w:t>有限公司</w:t>
      </w:r>
      <w:r>
        <w:rPr>
          <w:rFonts w:hint="eastAsia" w:eastAsia="宋体"/>
          <w:bCs/>
          <w:color w:val="000000" w:themeColor="text1"/>
          <w14:textFill>
            <w14:solidFill>
              <w14:schemeClr w14:val="tx1"/>
            </w14:solidFill>
          </w14:textFill>
        </w:rPr>
        <w:t>。</w:t>
      </w:r>
    </w:p>
    <w:p>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废水产生</w:t>
      </w:r>
      <w:r>
        <w:rPr>
          <w:rFonts w:eastAsia="宋体"/>
          <w:color w:val="000000" w:themeColor="text1"/>
          <w14:textFill>
            <w14:solidFill>
              <w14:schemeClr w14:val="tx1"/>
            </w14:solidFill>
          </w14:textFill>
        </w:rPr>
        <w:t>及排放的情况见表3-14。</w:t>
      </w:r>
    </w:p>
    <w:p>
      <w:pPr>
        <w:snapToGrid w:val="0"/>
        <w:spacing w:line="500" w:lineRule="exact"/>
        <w:jc w:val="center"/>
        <w:rPr>
          <w:rFonts w:eastAsia="宋体"/>
          <w:b/>
          <w:bCs/>
        </w:rPr>
      </w:pPr>
      <w:r>
        <w:rPr>
          <w:rFonts w:eastAsia="宋体"/>
          <w:b/>
          <w:bCs/>
        </w:rPr>
        <w:t xml:space="preserve">表3-14 </w:t>
      </w:r>
      <w:r>
        <w:rPr>
          <w:rFonts w:hint="eastAsia" w:eastAsia="宋体"/>
          <w:b/>
          <w:bCs/>
        </w:rPr>
        <w:t>废水产生及</w:t>
      </w:r>
      <w:r>
        <w:rPr>
          <w:rFonts w:eastAsia="宋体"/>
          <w:b/>
          <w:bCs/>
        </w:rPr>
        <w:t>排放一览表</w:t>
      </w:r>
    </w:p>
    <w:tbl>
      <w:tblPr>
        <w:tblStyle w:val="38"/>
        <w:tblW w:w="529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978"/>
        <w:gridCol w:w="1017"/>
        <w:gridCol w:w="855"/>
        <w:gridCol w:w="1313"/>
        <w:gridCol w:w="990"/>
        <w:gridCol w:w="859"/>
        <w:gridCol w:w="1294"/>
        <w:gridCol w:w="181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7" w:type="pct"/>
            <w:vMerge w:val="restart"/>
            <w:tcBorders>
              <w:tl2br w:val="nil"/>
              <w:tr2bl w:val="nil"/>
            </w:tcBorders>
            <w:vAlign w:val="center"/>
          </w:tcPr>
          <w:p>
            <w:pPr>
              <w:pStyle w:val="142"/>
              <w:rPr>
                <w:b/>
                <w:sz w:val="21"/>
                <w:szCs w:val="21"/>
              </w:rPr>
            </w:pPr>
            <w:r>
              <w:rPr>
                <w:b/>
                <w:sz w:val="21"/>
                <w:szCs w:val="21"/>
              </w:rPr>
              <w:t>类别</w:t>
            </w:r>
          </w:p>
        </w:tc>
        <w:tc>
          <w:tcPr>
            <w:tcW w:w="502" w:type="pct"/>
            <w:vMerge w:val="restart"/>
            <w:tcBorders>
              <w:tl2br w:val="nil"/>
              <w:tr2bl w:val="nil"/>
            </w:tcBorders>
            <w:vAlign w:val="center"/>
          </w:tcPr>
          <w:p>
            <w:pPr>
              <w:pStyle w:val="142"/>
              <w:rPr>
                <w:rFonts w:ascii="Times New Roman" w:eastAsia="Times New Roman"/>
                <w:b/>
                <w:sz w:val="21"/>
                <w:szCs w:val="21"/>
              </w:rPr>
            </w:pPr>
            <w:r>
              <w:rPr>
                <w:b/>
                <w:sz w:val="21"/>
                <w:szCs w:val="21"/>
              </w:rPr>
              <w:t>废水量</w:t>
            </w:r>
            <w:r>
              <w:rPr>
                <w:rFonts w:ascii="Times New Roman" w:eastAsia="Times New Roman"/>
                <w:b/>
                <w:sz w:val="21"/>
                <w:szCs w:val="21"/>
              </w:rPr>
              <w:t>t/a</w:t>
            </w:r>
          </w:p>
        </w:tc>
        <w:tc>
          <w:tcPr>
            <w:tcW w:w="522" w:type="pct"/>
            <w:vMerge w:val="restart"/>
            <w:tcBorders>
              <w:tl2br w:val="nil"/>
              <w:tr2bl w:val="nil"/>
            </w:tcBorders>
            <w:vAlign w:val="center"/>
          </w:tcPr>
          <w:p>
            <w:pPr>
              <w:pStyle w:val="142"/>
              <w:rPr>
                <w:b/>
                <w:sz w:val="21"/>
                <w:szCs w:val="21"/>
              </w:rPr>
            </w:pPr>
            <w:r>
              <w:rPr>
                <w:b/>
                <w:sz w:val="21"/>
                <w:szCs w:val="21"/>
              </w:rPr>
              <w:t>污染物名称</w:t>
            </w:r>
          </w:p>
        </w:tc>
        <w:tc>
          <w:tcPr>
            <w:tcW w:w="1113" w:type="pct"/>
            <w:gridSpan w:val="2"/>
            <w:tcBorders>
              <w:tl2br w:val="nil"/>
              <w:tr2bl w:val="nil"/>
            </w:tcBorders>
            <w:vAlign w:val="center"/>
          </w:tcPr>
          <w:p>
            <w:pPr>
              <w:pStyle w:val="142"/>
              <w:rPr>
                <w:b/>
                <w:sz w:val="21"/>
                <w:szCs w:val="21"/>
              </w:rPr>
            </w:pPr>
            <w:r>
              <w:rPr>
                <w:b/>
                <w:sz w:val="21"/>
                <w:szCs w:val="21"/>
              </w:rPr>
              <w:t>产生情况</w:t>
            </w:r>
          </w:p>
        </w:tc>
        <w:tc>
          <w:tcPr>
            <w:tcW w:w="508" w:type="pct"/>
            <w:tcBorders>
              <w:tl2br w:val="nil"/>
              <w:tr2bl w:val="nil"/>
            </w:tcBorders>
            <w:vAlign w:val="center"/>
          </w:tcPr>
          <w:p>
            <w:pPr>
              <w:pStyle w:val="142"/>
              <w:rPr>
                <w:b/>
                <w:sz w:val="21"/>
                <w:szCs w:val="21"/>
              </w:rPr>
            </w:pPr>
            <w:r>
              <w:rPr>
                <w:b/>
                <w:sz w:val="21"/>
                <w:szCs w:val="21"/>
              </w:rPr>
              <w:t>治理</w:t>
            </w:r>
          </w:p>
        </w:tc>
        <w:tc>
          <w:tcPr>
            <w:tcW w:w="1105" w:type="pct"/>
            <w:gridSpan w:val="2"/>
            <w:tcBorders>
              <w:tl2br w:val="nil"/>
              <w:tr2bl w:val="nil"/>
            </w:tcBorders>
            <w:vAlign w:val="center"/>
          </w:tcPr>
          <w:p>
            <w:pPr>
              <w:pStyle w:val="142"/>
              <w:rPr>
                <w:b/>
                <w:sz w:val="21"/>
                <w:szCs w:val="21"/>
              </w:rPr>
            </w:pPr>
            <w:r>
              <w:rPr>
                <w:b/>
                <w:sz w:val="21"/>
                <w:szCs w:val="21"/>
              </w:rPr>
              <w:t>污染物接管量</w:t>
            </w:r>
          </w:p>
        </w:tc>
        <w:tc>
          <w:tcPr>
            <w:tcW w:w="929" w:type="pct"/>
            <w:vMerge w:val="restart"/>
            <w:tcBorders>
              <w:tl2br w:val="nil"/>
              <w:tr2bl w:val="nil"/>
            </w:tcBorders>
            <w:vAlign w:val="center"/>
          </w:tcPr>
          <w:p>
            <w:pPr>
              <w:pStyle w:val="142"/>
              <w:rPr>
                <w:b/>
                <w:sz w:val="21"/>
                <w:szCs w:val="21"/>
              </w:rPr>
            </w:pPr>
            <w:r>
              <w:rPr>
                <w:b/>
                <w:sz w:val="21"/>
                <w:szCs w:val="21"/>
              </w:rPr>
              <w:t>排放方式与去向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pStyle w:val="142"/>
              <w:rPr>
                <w:rFonts w:ascii="Times New Roman" w:eastAsia="Times New Roman"/>
                <w:b/>
                <w:sz w:val="21"/>
                <w:szCs w:val="21"/>
              </w:rPr>
            </w:pPr>
          </w:p>
        </w:tc>
        <w:tc>
          <w:tcPr>
            <w:tcW w:w="522" w:type="pct"/>
            <w:vMerge w:val="continue"/>
            <w:tcBorders>
              <w:tl2br w:val="nil"/>
              <w:tr2bl w:val="nil"/>
            </w:tcBorders>
            <w:vAlign w:val="center"/>
          </w:tcPr>
          <w:p>
            <w:pPr>
              <w:pStyle w:val="142"/>
              <w:rPr>
                <w:b/>
                <w:sz w:val="21"/>
                <w:szCs w:val="21"/>
              </w:rPr>
            </w:pPr>
          </w:p>
        </w:tc>
        <w:tc>
          <w:tcPr>
            <w:tcW w:w="439" w:type="pct"/>
            <w:tcBorders>
              <w:tl2br w:val="nil"/>
              <w:tr2bl w:val="nil"/>
            </w:tcBorders>
            <w:vAlign w:val="center"/>
          </w:tcPr>
          <w:p>
            <w:pPr>
              <w:pStyle w:val="142"/>
              <w:rPr>
                <w:rFonts w:ascii="Times New Roman"/>
                <w:b/>
                <w:sz w:val="21"/>
                <w:szCs w:val="21"/>
              </w:rPr>
            </w:pPr>
            <w:r>
              <w:rPr>
                <w:b/>
                <w:sz w:val="21"/>
                <w:szCs w:val="21"/>
              </w:rPr>
              <w:t>产生浓度</w:t>
            </w:r>
            <w:r>
              <w:rPr>
                <w:rFonts w:ascii="Times New Roman" w:eastAsia="Times New Roman"/>
                <w:b/>
                <w:sz w:val="21"/>
                <w:szCs w:val="21"/>
              </w:rPr>
              <w:t>mg/</w:t>
            </w:r>
            <w:r>
              <w:rPr>
                <w:rFonts w:ascii="Times New Roman"/>
                <w:b/>
                <w:sz w:val="21"/>
                <w:szCs w:val="21"/>
              </w:rPr>
              <w:t>L</w:t>
            </w:r>
          </w:p>
        </w:tc>
        <w:tc>
          <w:tcPr>
            <w:tcW w:w="674" w:type="pct"/>
            <w:tcBorders>
              <w:tl2br w:val="nil"/>
              <w:tr2bl w:val="nil"/>
            </w:tcBorders>
            <w:vAlign w:val="center"/>
          </w:tcPr>
          <w:p>
            <w:pPr>
              <w:pStyle w:val="142"/>
              <w:rPr>
                <w:rFonts w:ascii="Times New Roman"/>
                <w:b/>
                <w:sz w:val="21"/>
                <w:szCs w:val="21"/>
              </w:rPr>
            </w:pPr>
            <w:r>
              <w:rPr>
                <w:b/>
                <w:sz w:val="21"/>
                <w:szCs w:val="21"/>
              </w:rPr>
              <w:t>产生量</w:t>
            </w:r>
            <w:r>
              <w:rPr>
                <w:rFonts w:ascii="Times New Roman"/>
                <w:b/>
                <w:sz w:val="21"/>
                <w:szCs w:val="21"/>
              </w:rPr>
              <w:t>t/a</w:t>
            </w:r>
          </w:p>
        </w:tc>
        <w:tc>
          <w:tcPr>
            <w:tcW w:w="508" w:type="pct"/>
            <w:tcBorders>
              <w:tl2br w:val="nil"/>
              <w:tr2bl w:val="nil"/>
            </w:tcBorders>
            <w:vAlign w:val="center"/>
          </w:tcPr>
          <w:p>
            <w:pPr>
              <w:pStyle w:val="142"/>
              <w:rPr>
                <w:b/>
                <w:sz w:val="21"/>
                <w:szCs w:val="21"/>
              </w:rPr>
            </w:pPr>
            <w:r>
              <w:rPr>
                <w:b/>
                <w:sz w:val="21"/>
                <w:szCs w:val="21"/>
              </w:rPr>
              <w:t>措施</w:t>
            </w:r>
          </w:p>
        </w:tc>
        <w:tc>
          <w:tcPr>
            <w:tcW w:w="441" w:type="pct"/>
            <w:tcBorders>
              <w:tl2br w:val="nil"/>
              <w:tr2bl w:val="nil"/>
            </w:tcBorders>
            <w:vAlign w:val="center"/>
          </w:tcPr>
          <w:p>
            <w:pPr>
              <w:pStyle w:val="142"/>
              <w:rPr>
                <w:rFonts w:ascii="Times New Roman"/>
                <w:b/>
                <w:sz w:val="21"/>
                <w:szCs w:val="21"/>
              </w:rPr>
            </w:pPr>
            <w:r>
              <w:rPr>
                <w:b/>
                <w:sz w:val="21"/>
                <w:szCs w:val="21"/>
              </w:rPr>
              <w:t>接管浓度</w:t>
            </w:r>
            <w:r>
              <w:rPr>
                <w:rFonts w:ascii="Times New Roman" w:eastAsia="Times New Roman"/>
                <w:b/>
                <w:sz w:val="21"/>
                <w:szCs w:val="21"/>
              </w:rPr>
              <w:t>mg/</w:t>
            </w:r>
            <w:r>
              <w:rPr>
                <w:rFonts w:ascii="Times New Roman"/>
                <w:b/>
                <w:sz w:val="21"/>
                <w:szCs w:val="21"/>
              </w:rPr>
              <w:t>L</w:t>
            </w:r>
          </w:p>
        </w:tc>
        <w:tc>
          <w:tcPr>
            <w:tcW w:w="664" w:type="pct"/>
            <w:tcBorders>
              <w:tl2br w:val="nil"/>
              <w:tr2bl w:val="nil"/>
            </w:tcBorders>
            <w:vAlign w:val="center"/>
          </w:tcPr>
          <w:p>
            <w:pPr>
              <w:pStyle w:val="142"/>
              <w:rPr>
                <w:rFonts w:ascii="Times New Roman"/>
                <w:b/>
                <w:sz w:val="21"/>
                <w:szCs w:val="21"/>
              </w:rPr>
            </w:pPr>
            <w:r>
              <w:rPr>
                <w:b/>
                <w:sz w:val="21"/>
                <w:szCs w:val="21"/>
              </w:rPr>
              <w:t>排放量</w:t>
            </w:r>
            <w:r>
              <w:rPr>
                <w:rFonts w:ascii="Times New Roman"/>
                <w:b/>
                <w:sz w:val="21"/>
                <w:szCs w:val="21"/>
              </w:rPr>
              <w:t>t/a</w:t>
            </w:r>
          </w:p>
        </w:tc>
        <w:tc>
          <w:tcPr>
            <w:tcW w:w="929" w:type="pct"/>
            <w:vMerge w:val="continue"/>
            <w:tcBorders>
              <w:tl2br w:val="nil"/>
              <w:tr2bl w:val="nil"/>
            </w:tcBorders>
            <w:vAlign w:val="center"/>
          </w:tcPr>
          <w:p>
            <w:pPr>
              <w:pStyle w:val="142"/>
              <w:rPr>
                <w:b/>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7" w:type="pct"/>
            <w:vMerge w:val="restart"/>
            <w:tcBorders>
              <w:tl2br w:val="nil"/>
              <w:tr2bl w:val="nil"/>
            </w:tcBorders>
            <w:vAlign w:val="center"/>
          </w:tcPr>
          <w:p>
            <w:pPr>
              <w:pStyle w:val="142"/>
              <w:rPr>
                <w:sz w:val="21"/>
                <w:szCs w:val="21"/>
              </w:rPr>
            </w:pPr>
            <w:r>
              <w:rPr>
                <w:sz w:val="21"/>
                <w:szCs w:val="21"/>
              </w:rPr>
              <w:t>生活污水</w:t>
            </w:r>
          </w:p>
        </w:tc>
        <w:tc>
          <w:tcPr>
            <w:tcW w:w="502" w:type="pct"/>
            <w:vMerge w:val="restart"/>
            <w:tcBorders>
              <w:tl2br w:val="nil"/>
              <w:tr2bl w:val="nil"/>
            </w:tcBorders>
            <w:vAlign w:val="center"/>
          </w:tcPr>
          <w:p>
            <w:pPr>
              <w:pStyle w:val="142"/>
              <w:rPr>
                <w:rFonts w:hint="default" w:ascii="Times New Roman" w:eastAsia="宋体"/>
                <w:sz w:val="21"/>
                <w:szCs w:val="21"/>
                <w:lang w:val="en-US" w:eastAsia="zh-CN"/>
              </w:rPr>
            </w:pPr>
            <w:r>
              <w:rPr>
                <w:rFonts w:hint="eastAsia" w:ascii="Times New Roman"/>
                <w:sz w:val="21"/>
                <w:szCs w:val="21"/>
                <w:lang w:val="en-US" w:eastAsia="zh-CN"/>
              </w:rPr>
              <w:t>600</w:t>
            </w:r>
          </w:p>
        </w:tc>
        <w:tc>
          <w:tcPr>
            <w:tcW w:w="522" w:type="pct"/>
            <w:tcBorders>
              <w:tl2br w:val="nil"/>
              <w:tr2bl w:val="nil"/>
            </w:tcBorders>
            <w:vAlign w:val="center"/>
          </w:tcPr>
          <w:p>
            <w:pPr>
              <w:pStyle w:val="142"/>
              <w:rPr>
                <w:rFonts w:ascii="Times New Roman"/>
                <w:sz w:val="21"/>
                <w:szCs w:val="21"/>
              </w:rPr>
            </w:pPr>
            <w:r>
              <w:rPr>
                <w:rFonts w:ascii="Times New Roman"/>
                <w:sz w:val="21"/>
                <w:szCs w:val="21"/>
              </w:rPr>
              <w:t>pH</w:t>
            </w:r>
          </w:p>
        </w:tc>
        <w:tc>
          <w:tcPr>
            <w:tcW w:w="439"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6-9</w:t>
            </w:r>
          </w:p>
        </w:tc>
        <w:tc>
          <w:tcPr>
            <w:tcW w:w="674"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w:t>
            </w:r>
          </w:p>
        </w:tc>
        <w:tc>
          <w:tcPr>
            <w:tcW w:w="508" w:type="pct"/>
            <w:vMerge w:val="restart"/>
            <w:tcBorders>
              <w:tl2br w:val="nil"/>
              <w:tr2bl w:val="nil"/>
            </w:tcBorders>
            <w:vAlign w:val="center"/>
          </w:tcPr>
          <w:p>
            <w:pPr>
              <w:pStyle w:val="142"/>
              <w:rPr>
                <w:sz w:val="21"/>
                <w:szCs w:val="21"/>
              </w:rPr>
            </w:pPr>
            <w:r>
              <w:rPr>
                <w:sz w:val="21"/>
                <w:szCs w:val="21"/>
              </w:rPr>
              <w:t>化粪池</w:t>
            </w:r>
          </w:p>
        </w:tc>
        <w:tc>
          <w:tcPr>
            <w:tcW w:w="441"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6-9</w:t>
            </w:r>
          </w:p>
        </w:tc>
        <w:tc>
          <w:tcPr>
            <w:tcW w:w="664" w:type="pct"/>
            <w:tcBorders>
              <w:tl2br w:val="nil"/>
              <w:tr2bl w:val="nil"/>
            </w:tcBorders>
            <w:vAlign w:val="center"/>
          </w:tcPr>
          <w:p>
            <w:pPr>
              <w:pStyle w:val="142"/>
              <w:rPr>
                <w:rFonts w:ascii="Times New Roman" w:hAnsi="宋体" w:eastAsia="宋体" w:cs="宋体"/>
                <w:kern w:val="2"/>
                <w:sz w:val="21"/>
                <w:szCs w:val="21"/>
                <w:lang w:val="en-US" w:eastAsia="zh-CN" w:bidi="ar-SA"/>
              </w:rPr>
            </w:pPr>
            <w:r>
              <w:rPr>
                <w:rFonts w:hint="eastAsia" w:ascii="Times New Roman"/>
                <w:sz w:val="21"/>
                <w:szCs w:val="21"/>
                <w:lang w:val="en-US" w:eastAsia="zh-CN"/>
              </w:rPr>
              <w:t>/</w:t>
            </w:r>
          </w:p>
        </w:tc>
        <w:tc>
          <w:tcPr>
            <w:tcW w:w="929" w:type="pct"/>
            <w:vMerge w:val="restart"/>
            <w:tcBorders>
              <w:tl2br w:val="nil"/>
              <w:tr2bl w:val="nil"/>
            </w:tcBorders>
            <w:vAlign w:val="center"/>
          </w:tcPr>
          <w:p>
            <w:pPr>
              <w:jc w:val="center"/>
              <w:rPr>
                <w:rFonts w:eastAsia="宋体"/>
                <w:sz w:val="21"/>
                <w:szCs w:val="21"/>
              </w:rPr>
            </w:pPr>
            <w:r>
              <w:rPr>
                <w:rFonts w:hint="eastAsia" w:ascii="宋体" w:hAnsi="宋体" w:eastAsia="宋体" w:cs="宋体"/>
                <w:sz w:val="21"/>
                <w:szCs w:val="21"/>
              </w:rPr>
              <w:t>接管至海安</w:t>
            </w:r>
            <w:r>
              <w:rPr>
                <w:rFonts w:hint="eastAsia" w:ascii="宋体" w:hAnsi="宋体" w:eastAsia="宋体" w:cs="宋体"/>
                <w:sz w:val="21"/>
                <w:szCs w:val="21"/>
                <w:lang w:val="en-US" w:eastAsia="zh-CN"/>
              </w:rPr>
              <w:t>市</w:t>
            </w:r>
            <w:r>
              <w:rPr>
                <w:rFonts w:hint="eastAsia" w:ascii="宋体" w:hAnsi="宋体" w:eastAsia="宋体" w:cs="宋体"/>
                <w:sz w:val="21"/>
                <w:szCs w:val="21"/>
              </w:rPr>
              <w:t>惠泽净水有限公司处理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rFonts w:ascii="Times New Roman"/>
                <w:sz w:val="21"/>
                <w:szCs w:val="21"/>
              </w:rPr>
            </w:pPr>
            <w:r>
              <w:rPr>
                <w:rFonts w:ascii="Times New Roman"/>
                <w:sz w:val="21"/>
                <w:szCs w:val="21"/>
              </w:rPr>
              <w:t>COD</w:t>
            </w:r>
          </w:p>
        </w:tc>
        <w:tc>
          <w:tcPr>
            <w:tcW w:w="439"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400</w:t>
            </w:r>
          </w:p>
        </w:tc>
        <w:tc>
          <w:tcPr>
            <w:tcW w:w="674"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0.2400</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400</w:t>
            </w:r>
          </w:p>
        </w:tc>
        <w:tc>
          <w:tcPr>
            <w:tcW w:w="664" w:type="pct"/>
            <w:tcBorders>
              <w:tl2br w:val="nil"/>
              <w:tr2bl w:val="nil"/>
            </w:tcBorders>
            <w:vAlign w:val="center"/>
          </w:tcPr>
          <w:p>
            <w:pPr>
              <w:pStyle w:val="142"/>
              <w:rPr>
                <w:rFonts w:ascii="Times New Roman" w:hAnsi="宋体" w:eastAsia="宋体" w:cs="宋体"/>
                <w:kern w:val="2"/>
                <w:sz w:val="21"/>
                <w:szCs w:val="21"/>
                <w:lang w:val="en-US" w:eastAsia="zh-CN" w:bidi="ar-SA"/>
              </w:rPr>
            </w:pPr>
            <w:r>
              <w:rPr>
                <w:rFonts w:hint="eastAsia" w:ascii="Times New Roman"/>
                <w:sz w:val="21"/>
                <w:szCs w:val="21"/>
                <w:lang w:val="en-US" w:eastAsia="zh-CN"/>
              </w:rPr>
              <w:t>0.2400</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rFonts w:ascii="Times New Roman"/>
                <w:sz w:val="21"/>
                <w:szCs w:val="21"/>
              </w:rPr>
              <w:t>SS</w:t>
            </w:r>
          </w:p>
        </w:tc>
        <w:tc>
          <w:tcPr>
            <w:tcW w:w="439"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200</w:t>
            </w:r>
          </w:p>
        </w:tc>
        <w:tc>
          <w:tcPr>
            <w:tcW w:w="674"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0.1200</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200</w:t>
            </w:r>
          </w:p>
        </w:tc>
        <w:tc>
          <w:tcPr>
            <w:tcW w:w="664" w:type="pct"/>
            <w:tcBorders>
              <w:tl2br w:val="nil"/>
              <w:tr2bl w:val="nil"/>
            </w:tcBorders>
            <w:vAlign w:val="center"/>
          </w:tcPr>
          <w:p>
            <w:pPr>
              <w:pStyle w:val="142"/>
              <w:rPr>
                <w:rFonts w:ascii="Times New Roman" w:hAnsi="宋体" w:eastAsia="宋体" w:cs="宋体"/>
                <w:kern w:val="2"/>
                <w:sz w:val="21"/>
                <w:szCs w:val="21"/>
                <w:lang w:val="en-US" w:eastAsia="zh-CN" w:bidi="ar-SA"/>
              </w:rPr>
            </w:pPr>
            <w:r>
              <w:rPr>
                <w:rFonts w:hint="eastAsia" w:ascii="Times New Roman"/>
                <w:sz w:val="21"/>
                <w:szCs w:val="21"/>
                <w:lang w:val="en-US" w:eastAsia="zh-CN"/>
              </w:rPr>
              <w:t>0.1200</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sz w:val="21"/>
                <w:szCs w:val="21"/>
              </w:rPr>
              <w:t>氨氮</w:t>
            </w:r>
          </w:p>
        </w:tc>
        <w:tc>
          <w:tcPr>
            <w:tcW w:w="439"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25</w:t>
            </w:r>
          </w:p>
        </w:tc>
        <w:tc>
          <w:tcPr>
            <w:tcW w:w="674"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0.0150</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ascii="Times New Roman"/>
                <w:sz w:val="21"/>
                <w:szCs w:val="21"/>
              </w:rPr>
            </w:pPr>
            <w:r>
              <w:rPr>
                <w:rFonts w:hint="eastAsia" w:ascii="Times New Roman"/>
                <w:sz w:val="21"/>
                <w:szCs w:val="21"/>
                <w:lang w:val="en-US" w:eastAsia="zh-CN"/>
              </w:rPr>
              <w:t>25</w:t>
            </w:r>
          </w:p>
        </w:tc>
        <w:tc>
          <w:tcPr>
            <w:tcW w:w="664" w:type="pct"/>
            <w:tcBorders>
              <w:tl2br w:val="nil"/>
              <w:tr2bl w:val="nil"/>
            </w:tcBorders>
            <w:vAlign w:val="center"/>
          </w:tcPr>
          <w:p>
            <w:pPr>
              <w:pStyle w:val="142"/>
              <w:rPr>
                <w:rFonts w:ascii="Times New Roman" w:hAnsi="宋体" w:eastAsia="宋体" w:cs="宋体"/>
                <w:kern w:val="2"/>
                <w:sz w:val="21"/>
                <w:szCs w:val="21"/>
                <w:lang w:val="en-US" w:eastAsia="zh-CN" w:bidi="ar-SA"/>
              </w:rPr>
            </w:pPr>
            <w:r>
              <w:rPr>
                <w:rFonts w:hint="eastAsia" w:ascii="Times New Roman"/>
                <w:sz w:val="21"/>
                <w:szCs w:val="21"/>
                <w:lang w:val="en-US" w:eastAsia="zh-CN"/>
              </w:rPr>
              <w:t>0.0150</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rFonts w:hint="eastAsia"/>
                <w:sz w:val="21"/>
                <w:szCs w:val="21"/>
              </w:rPr>
              <w:t>总氮</w:t>
            </w:r>
          </w:p>
        </w:tc>
        <w:tc>
          <w:tcPr>
            <w:tcW w:w="439" w:type="pct"/>
            <w:tcBorders>
              <w:tl2br w:val="nil"/>
              <w:tr2bl w:val="nil"/>
            </w:tcBorders>
            <w:vAlign w:val="center"/>
          </w:tcPr>
          <w:p>
            <w:pPr>
              <w:pStyle w:val="142"/>
              <w:rPr>
                <w:rFonts w:hint="eastAsia" w:ascii="Times New Roman"/>
                <w:sz w:val="21"/>
                <w:szCs w:val="21"/>
              </w:rPr>
            </w:pPr>
            <w:r>
              <w:rPr>
                <w:rFonts w:hint="eastAsia" w:ascii="Times New Roman"/>
                <w:sz w:val="21"/>
                <w:szCs w:val="21"/>
                <w:lang w:val="en-US" w:eastAsia="zh-CN"/>
              </w:rPr>
              <w:t>35</w:t>
            </w:r>
          </w:p>
        </w:tc>
        <w:tc>
          <w:tcPr>
            <w:tcW w:w="674" w:type="pct"/>
            <w:tcBorders>
              <w:tl2br w:val="nil"/>
              <w:tr2bl w:val="nil"/>
            </w:tcBorders>
            <w:vAlign w:val="center"/>
          </w:tcPr>
          <w:p>
            <w:pPr>
              <w:pStyle w:val="142"/>
              <w:rPr>
                <w:rFonts w:hint="eastAsia" w:ascii="Times New Roman"/>
                <w:sz w:val="21"/>
                <w:szCs w:val="21"/>
              </w:rPr>
            </w:pPr>
            <w:r>
              <w:rPr>
                <w:rFonts w:hint="eastAsia" w:ascii="Times New Roman"/>
                <w:sz w:val="21"/>
                <w:szCs w:val="21"/>
                <w:lang w:val="en-US" w:eastAsia="zh-CN"/>
              </w:rPr>
              <w:t>0.0210</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eastAsia" w:ascii="Times New Roman"/>
                <w:sz w:val="21"/>
                <w:szCs w:val="21"/>
              </w:rPr>
            </w:pPr>
            <w:r>
              <w:rPr>
                <w:rFonts w:hint="eastAsia" w:ascii="Times New Roman"/>
                <w:sz w:val="21"/>
                <w:szCs w:val="21"/>
                <w:lang w:val="en-US" w:eastAsia="zh-CN"/>
              </w:rPr>
              <w:t>35</w:t>
            </w:r>
          </w:p>
        </w:tc>
        <w:tc>
          <w:tcPr>
            <w:tcW w:w="664" w:type="pct"/>
            <w:tcBorders>
              <w:tl2br w:val="nil"/>
              <w:tr2bl w:val="nil"/>
            </w:tcBorders>
            <w:vAlign w:val="center"/>
          </w:tcPr>
          <w:p>
            <w:pPr>
              <w:pStyle w:val="142"/>
              <w:rPr>
                <w:rFonts w:hint="eastAsia" w:ascii="Times New Roman" w:hAnsi="宋体" w:eastAsia="宋体" w:cs="宋体"/>
                <w:kern w:val="2"/>
                <w:sz w:val="21"/>
                <w:szCs w:val="21"/>
                <w:lang w:val="en-US" w:eastAsia="zh-CN" w:bidi="ar-SA"/>
              </w:rPr>
            </w:pPr>
            <w:r>
              <w:rPr>
                <w:rFonts w:hint="eastAsia" w:ascii="Times New Roman"/>
                <w:sz w:val="21"/>
                <w:szCs w:val="21"/>
                <w:lang w:val="en-US" w:eastAsia="zh-CN"/>
              </w:rPr>
              <w:t>0.0210</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rFonts w:hint="eastAsia"/>
                <w:sz w:val="21"/>
                <w:szCs w:val="21"/>
              </w:rPr>
              <w:t>总磷</w:t>
            </w:r>
          </w:p>
        </w:tc>
        <w:tc>
          <w:tcPr>
            <w:tcW w:w="439" w:type="pct"/>
            <w:tcBorders>
              <w:tl2br w:val="nil"/>
              <w:tr2bl w:val="nil"/>
            </w:tcBorders>
            <w:vAlign w:val="center"/>
          </w:tcPr>
          <w:p>
            <w:pPr>
              <w:pStyle w:val="142"/>
              <w:rPr>
                <w:rFonts w:hint="eastAsia" w:ascii="Times New Roman"/>
                <w:sz w:val="21"/>
                <w:szCs w:val="21"/>
              </w:rPr>
            </w:pPr>
            <w:r>
              <w:rPr>
                <w:rFonts w:hint="eastAsia" w:ascii="Times New Roman"/>
                <w:sz w:val="21"/>
                <w:szCs w:val="21"/>
                <w:lang w:val="en-US" w:eastAsia="zh-CN"/>
              </w:rPr>
              <w:t>4</w:t>
            </w:r>
          </w:p>
        </w:tc>
        <w:tc>
          <w:tcPr>
            <w:tcW w:w="674"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0.0024</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eastAsia" w:ascii="Times New Roman"/>
                <w:sz w:val="21"/>
                <w:szCs w:val="21"/>
              </w:rPr>
            </w:pPr>
            <w:r>
              <w:rPr>
                <w:rFonts w:hint="eastAsia" w:ascii="Times New Roman"/>
                <w:sz w:val="21"/>
                <w:szCs w:val="21"/>
                <w:lang w:val="en-US" w:eastAsia="zh-CN"/>
              </w:rPr>
              <w:t>4</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0.0024</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restart"/>
            <w:tcBorders>
              <w:tl2br w:val="nil"/>
              <w:tr2bl w:val="nil"/>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洗浴废水</w:t>
            </w:r>
          </w:p>
        </w:tc>
        <w:tc>
          <w:tcPr>
            <w:tcW w:w="502" w:type="pct"/>
            <w:vMerge w:val="restart"/>
            <w:tcBorders>
              <w:tl2br w:val="nil"/>
              <w:tr2bl w:val="nil"/>
            </w:tcBorders>
            <w:vAlign w:val="center"/>
          </w:tcPr>
          <w:p>
            <w:pPr>
              <w:jc w:val="center"/>
              <w:rPr>
                <w:rFonts w:hint="default"/>
                <w:sz w:val="21"/>
                <w:szCs w:val="21"/>
                <w:lang w:val="en-US"/>
              </w:rPr>
            </w:pPr>
            <w:r>
              <w:rPr>
                <w:rFonts w:hint="eastAsia"/>
                <w:sz w:val="21"/>
                <w:szCs w:val="21"/>
                <w:lang w:val="en-US" w:eastAsia="zh-CN"/>
              </w:rPr>
              <w:t>600</w:t>
            </w:r>
          </w:p>
        </w:tc>
        <w:tc>
          <w:tcPr>
            <w:tcW w:w="522" w:type="pct"/>
            <w:tcBorders>
              <w:tl2br w:val="nil"/>
              <w:tr2bl w:val="nil"/>
            </w:tcBorders>
            <w:vAlign w:val="center"/>
          </w:tcPr>
          <w:p>
            <w:pPr>
              <w:pStyle w:val="142"/>
              <w:rPr>
                <w:sz w:val="21"/>
                <w:szCs w:val="21"/>
              </w:rPr>
            </w:pPr>
            <w:r>
              <w:rPr>
                <w:rFonts w:ascii="Times New Roman"/>
                <w:sz w:val="21"/>
                <w:szCs w:val="21"/>
              </w:rPr>
              <w:t>pH</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6-9</w:t>
            </w:r>
          </w:p>
        </w:tc>
        <w:tc>
          <w:tcPr>
            <w:tcW w:w="674" w:type="pct"/>
            <w:tcBorders>
              <w:tl2br w:val="nil"/>
              <w:tr2bl w:val="nil"/>
            </w:tcBorders>
            <w:vAlign w:val="center"/>
          </w:tcPr>
          <w:p>
            <w:pPr>
              <w:pStyle w:val="142"/>
              <w:rPr>
                <w:rFonts w:hint="eastAsia" w:ascii="Times New Roman"/>
                <w:sz w:val="21"/>
                <w:szCs w:val="21"/>
              </w:rPr>
            </w:pPr>
            <w:r>
              <w:rPr>
                <w:rFonts w:hint="eastAsia" w:ascii="Times New Roman"/>
                <w:sz w:val="21"/>
                <w:szCs w:val="21"/>
                <w:lang w:val="en-US" w:eastAsia="zh-CN"/>
              </w:rPr>
              <w:t>/</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6-9</w:t>
            </w:r>
          </w:p>
        </w:tc>
        <w:tc>
          <w:tcPr>
            <w:tcW w:w="664" w:type="pct"/>
            <w:tcBorders>
              <w:tl2br w:val="nil"/>
              <w:tr2bl w:val="nil"/>
            </w:tcBorders>
            <w:vAlign w:val="center"/>
          </w:tcPr>
          <w:p>
            <w:pPr>
              <w:pStyle w:val="142"/>
              <w:rPr>
                <w:rFonts w:hint="eastAsia" w:ascii="Times New Roman" w:hAnsi="宋体" w:eastAsia="宋体" w:cs="宋体"/>
                <w:kern w:val="2"/>
                <w:sz w:val="21"/>
                <w:szCs w:val="21"/>
                <w:lang w:val="en-US" w:eastAsia="zh-CN" w:bidi="ar-SA"/>
              </w:rPr>
            </w:pPr>
            <w:r>
              <w:rPr>
                <w:rFonts w:hint="eastAsia" w:ascii="Times New Roman"/>
                <w:sz w:val="21"/>
                <w:szCs w:val="21"/>
                <w:lang w:val="en-US" w:eastAsia="zh-CN"/>
              </w:rPr>
              <w:t>/</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rFonts w:hint="eastAsia" w:ascii="宋体" w:hAnsi="宋体" w:eastAsia="宋体" w:cs="宋体"/>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rFonts w:ascii="Times New Roman"/>
                <w:sz w:val="21"/>
                <w:szCs w:val="21"/>
              </w:rPr>
              <w:t>COD</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400</w:t>
            </w:r>
          </w:p>
        </w:tc>
        <w:tc>
          <w:tcPr>
            <w:tcW w:w="674"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0.2400</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400</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0.2400</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rFonts w:hint="eastAsia" w:ascii="宋体" w:hAnsi="宋体" w:eastAsia="宋体" w:cs="宋体"/>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rFonts w:ascii="Times New Roman"/>
                <w:sz w:val="21"/>
                <w:szCs w:val="21"/>
              </w:rPr>
              <w:t>SS</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200</w:t>
            </w:r>
          </w:p>
        </w:tc>
        <w:tc>
          <w:tcPr>
            <w:tcW w:w="674"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0.1200</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200</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0.1200</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rFonts w:hint="eastAsia" w:ascii="宋体" w:hAnsi="宋体" w:eastAsia="宋体" w:cs="宋体"/>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sz w:val="21"/>
                <w:szCs w:val="21"/>
              </w:rPr>
              <w:t>氨氮</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25</w:t>
            </w:r>
          </w:p>
        </w:tc>
        <w:tc>
          <w:tcPr>
            <w:tcW w:w="674"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0.0150</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25</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0.0150</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rFonts w:hint="eastAsia" w:ascii="宋体" w:hAnsi="宋体" w:eastAsia="宋体" w:cs="宋体"/>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rFonts w:hint="eastAsia"/>
                <w:sz w:val="21"/>
                <w:szCs w:val="21"/>
              </w:rPr>
              <w:t>总氮</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35</w:t>
            </w:r>
          </w:p>
        </w:tc>
        <w:tc>
          <w:tcPr>
            <w:tcW w:w="67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0.0210</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35</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0.0210</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rFonts w:hint="eastAsia" w:ascii="宋体" w:hAnsi="宋体" w:eastAsia="宋体" w:cs="宋体"/>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rFonts w:hint="eastAsia"/>
                <w:sz w:val="21"/>
                <w:szCs w:val="21"/>
              </w:rPr>
              <w:t>总磷</w:t>
            </w:r>
          </w:p>
        </w:tc>
        <w:tc>
          <w:tcPr>
            <w:tcW w:w="439" w:type="pct"/>
            <w:tcBorders>
              <w:tl2br w:val="nil"/>
              <w:tr2bl w:val="nil"/>
            </w:tcBorders>
            <w:vAlign w:val="center"/>
          </w:tcPr>
          <w:p>
            <w:pPr>
              <w:pStyle w:val="142"/>
              <w:rPr>
                <w:rFonts w:hint="eastAsia" w:ascii="Times New Roman"/>
                <w:sz w:val="21"/>
                <w:szCs w:val="21"/>
              </w:rPr>
            </w:pPr>
            <w:r>
              <w:rPr>
                <w:rFonts w:hint="eastAsia" w:ascii="Times New Roman"/>
                <w:sz w:val="21"/>
                <w:szCs w:val="21"/>
                <w:lang w:val="en-US" w:eastAsia="zh-CN"/>
              </w:rPr>
              <w:t>4</w:t>
            </w:r>
          </w:p>
        </w:tc>
        <w:tc>
          <w:tcPr>
            <w:tcW w:w="67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0.0024</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eastAsia" w:ascii="Times New Roman"/>
                <w:sz w:val="21"/>
                <w:szCs w:val="21"/>
              </w:rPr>
            </w:pPr>
            <w:r>
              <w:rPr>
                <w:rFonts w:hint="eastAsia" w:ascii="Times New Roman"/>
                <w:sz w:val="21"/>
                <w:szCs w:val="21"/>
                <w:lang w:val="en-US" w:eastAsia="zh-CN"/>
              </w:rPr>
              <w:t>4</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0.0024</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rFonts w:hint="eastAsia" w:ascii="宋体" w:hAnsi="宋体" w:eastAsia="宋体" w:cs="宋体"/>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rFonts w:hint="eastAsia"/>
                <w:sz w:val="21"/>
                <w:szCs w:val="21"/>
              </w:rPr>
              <w:t>L</w:t>
            </w:r>
            <w:r>
              <w:rPr>
                <w:sz w:val="21"/>
                <w:szCs w:val="21"/>
              </w:rPr>
              <w:t>AS</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15</w:t>
            </w:r>
          </w:p>
        </w:tc>
        <w:tc>
          <w:tcPr>
            <w:tcW w:w="67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0.009</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15</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0.009</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restart"/>
            <w:tcBorders>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食堂废水</w:t>
            </w:r>
          </w:p>
        </w:tc>
        <w:tc>
          <w:tcPr>
            <w:tcW w:w="502" w:type="pct"/>
            <w:vMerge w:val="restart"/>
            <w:tcBorders>
              <w:tl2br w:val="nil"/>
              <w:tr2bl w:val="nil"/>
            </w:tcBorders>
            <w:vAlign w:val="center"/>
          </w:tcPr>
          <w:p>
            <w:pPr>
              <w:jc w:val="center"/>
              <w:rPr>
                <w:rFonts w:hint="default"/>
                <w:sz w:val="21"/>
                <w:szCs w:val="21"/>
                <w:lang w:val="en-US"/>
              </w:rPr>
            </w:pPr>
            <w:r>
              <w:rPr>
                <w:rFonts w:hint="eastAsia"/>
                <w:sz w:val="21"/>
                <w:szCs w:val="21"/>
                <w:lang w:val="en-US" w:eastAsia="zh-CN"/>
              </w:rPr>
              <w:t>180</w:t>
            </w:r>
          </w:p>
        </w:tc>
        <w:tc>
          <w:tcPr>
            <w:tcW w:w="522" w:type="pct"/>
            <w:tcBorders>
              <w:tl2br w:val="nil"/>
              <w:tr2bl w:val="nil"/>
            </w:tcBorders>
            <w:vAlign w:val="center"/>
          </w:tcPr>
          <w:p>
            <w:pPr>
              <w:pStyle w:val="142"/>
              <w:rPr>
                <w:sz w:val="21"/>
                <w:szCs w:val="21"/>
              </w:rPr>
            </w:pPr>
            <w:r>
              <w:rPr>
                <w:rFonts w:ascii="Times New Roman"/>
                <w:sz w:val="21"/>
                <w:szCs w:val="21"/>
              </w:rPr>
              <w:t>pH</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6-9</w:t>
            </w:r>
          </w:p>
        </w:tc>
        <w:tc>
          <w:tcPr>
            <w:tcW w:w="674" w:type="pct"/>
            <w:tcBorders>
              <w:tl2br w:val="nil"/>
              <w:tr2bl w:val="nil"/>
            </w:tcBorders>
            <w:vAlign w:val="center"/>
          </w:tcPr>
          <w:p>
            <w:pPr>
              <w:pStyle w:val="142"/>
              <w:rPr>
                <w:rFonts w:hint="eastAsia" w:ascii="Times New Roman"/>
                <w:sz w:val="21"/>
                <w:szCs w:val="21"/>
              </w:rPr>
            </w:pPr>
            <w:r>
              <w:rPr>
                <w:rFonts w:hint="eastAsia" w:ascii="Times New Roman"/>
                <w:sz w:val="21"/>
                <w:szCs w:val="21"/>
                <w:lang w:val="en-US" w:eastAsia="zh-CN"/>
              </w:rPr>
              <w:t>/</w:t>
            </w:r>
          </w:p>
        </w:tc>
        <w:tc>
          <w:tcPr>
            <w:tcW w:w="508" w:type="pct"/>
            <w:vMerge w:val="restart"/>
            <w:tcBorders>
              <w:tl2br w:val="nil"/>
              <w:tr2bl w:val="nil"/>
            </w:tcBorders>
            <w:vAlign w:val="center"/>
          </w:tcPr>
          <w:p>
            <w:pPr>
              <w:jc w:val="center"/>
              <w:rPr>
                <w:rFonts w:hint="eastAsia"/>
                <w:sz w:val="21"/>
                <w:szCs w:val="21"/>
              </w:rPr>
            </w:pPr>
            <w:r>
              <w:rPr>
                <w:rFonts w:hint="eastAsia" w:ascii="宋体" w:hAnsi="宋体" w:eastAsia="宋体" w:cs="宋体"/>
                <w:sz w:val="21"/>
                <w:szCs w:val="21"/>
                <w:lang w:val="en-US" w:eastAsia="zh-CN"/>
              </w:rPr>
              <w:t>隔油池</w:t>
            </w: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6-9</w:t>
            </w:r>
          </w:p>
        </w:tc>
        <w:tc>
          <w:tcPr>
            <w:tcW w:w="664" w:type="pct"/>
            <w:tcBorders>
              <w:tl2br w:val="nil"/>
              <w:tr2bl w:val="nil"/>
            </w:tcBorders>
            <w:vAlign w:val="center"/>
          </w:tcPr>
          <w:p>
            <w:pPr>
              <w:pStyle w:val="142"/>
              <w:rPr>
                <w:rFonts w:hint="eastAsia" w:ascii="Times New Roman" w:hAnsi="宋体" w:eastAsia="宋体" w:cs="宋体"/>
                <w:kern w:val="2"/>
                <w:sz w:val="21"/>
                <w:szCs w:val="21"/>
                <w:lang w:val="en-US" w:eastAsia="zh-CN" w:bidi="ar-SA"/>
              </w:rPr>
            </w:pPr>
            <w:r>
              <w:rPr>
                <w:rFonts w:hint="eastAsia" w:ascii="Times New Roman"/>
                <w:sz w:val="21"/>
                <w:szCs w:val="21"/>
                <w:lang w:val="en-US" w:eastAsia="zh-CN"/>
              </w:rPr>
              <w:t>/</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rFonts w:ascii="Times New Roman"/>
                <w:sz w:val="21"/>
                <w:szCs w:val="21"/>
              </w:rPr>
              <w:t>COD</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400</w:t>
            </w:r>
          </w:p>
        </w:tc>
        <w:tc>
          <w:tcPr>
            <w:tcW w:w="674"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0.0720</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400</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0.0720</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rFonts w:ascii="Times New Roman"/>
                <w:sz w:val="21"/>
                <w:szCs w:val="21"/>
              </w:rPr>
              <w:t>SS</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200</w:t>
            </w:r>
          </w:p>
        </w:tc>
        <w:tc>
          <w:tcPr>
            <w:tcW w:w="674"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0.0360</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200</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0.0360</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sz w:val="21"/>
                <w:szCs w:val="21"/>
              </w:rPr>
              <w:t>氨氮</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25</w:t>
            </w:r>
          </w:p>
        </w:tc>
        <w:tc>
          <w:tcPr>
            <w:tcW w:w="674"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0.0045</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25</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0.0045</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sz w:val="21"/>
                <w:szCs w:val="21"/>
              </w:rPr>
            </w:pPr>
            <w:r>
              <w:rPr>
                <w:rFonts w:hint="eastAsia"/>
                <w:sz w:val="21"/>
                <w:szCs w:val="21"/>
              </w:rPr>
              <w:t>总氮</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35</w:t>
            </w:r>
          </w:p>
        </w:tc>
        <w:tc>
          <w:tcPr>
            <w:tcW w:w="674"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0.0063</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35</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0.0063</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rFonts w:hint="eastAsia"/>
                <w:sz w:val="21"/>
                <w:szCs w:val="21"/>
              </w:rPr>
            </w:pPr>
            <w:r>
              <w:rPr>
                <w:rFonts w:hint="eastAsia"/>
                <w:sz w:val="21"/>
                <w:szCs w:val="21"/>
              </w:rPr>
              <w:t>总磷</w:t>
            </w:r>
          </w:p>
        </w:tc>
        <w:tc>
          <w:tcPr>
            <w:tcW w:w="439" w:type="pct"/>
            <w:tcBorders>
              <w:tl2br w:val="nil"/>
              <w:tr2bl w:val="nil"/>
            </w:tcBorders>
            <w:vAlign w:val="center"/>
          </w:tcPr>
          <w:p>
            <w:pPr>
              <w:pStyle w:val="142"/>
              <w:rPr>
                <w:rFonts w:hint="eastAsia" w:ascii="Times New Roman"/>
                <w:sz w:val="21"/>
                <w:szCs w:val="21"/>
              </w:rPr>
            </w:pPr>
            <w:r>
              <w:rPr>
                <w:rFonts w:hint="eastAsia" w:ascii="Times New Roman"/>
                <w:sz w:val="21"/>
                <w:szCs w:val="21"/>
                <w:lang w:val="en-US" w:eastAsia="zh-CN"/>
              </w:rPr>
              <w:t>4</w:t>
            </w:r>
          </w:p>
        </w:tc>
        <w:tc>
          <w:tcPr>
            <w:tcW w:w="674"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0.0007</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eastAsia" w:ascii="Times New Roman"/>
                <w:sz w:val="21"/>
                <w:szCs w:val="21"/>
              </w:rPr>
            </w:pPr>
            <w:r>
              <w:rPr>
                <w:rFonts w:hint="eastAsia" w:ascii="Times New Roman"/>
                <w:sz w:val="21"/>
                <w:szCs w:val="21"/>
                <w:lang w:val="en-US" w:eastAsia="zh-CN"/>
              </w:rPr>
              <w:t>4</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0.0007</w:t>
            </w:r>
          </w:p>
        </w:tc>
        <w:tc>
          <w:tcPr>
            <w:tcW w:w="929" w:type="pct"/>
            <w:vMerge w:val="continue"/>
            <w:tcBorders>
              <w:tl2br w:val="nil"/>
              <w:tr2bl w:val="nil"/>
            </w:tcBorders>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17" w:type="pct"/>
            <w:vMerge w:val="continue"/>
            <w:tcBorders>
              <w:tl2br w:val="nil"/>
              <w:tr2bl w:val="nil"/>
            </w:tcBorders>
            <w:vAlign w:val="center"/>
          </w:tcPr>
          <w:p>
            <w:pPr>
              <w:jc w:val="center"/>
              <w:rPr>
                <w:sz w:val="21"/>
                <w:szCs w:val="21"/>
              </w:rPr>
            </w:pPr>
          </w:p>
        </w:tc>
        <w:tc>
          <w:tcPr>
            <w:tcW w:w="502" w:type="pct"/>
            <w:vMerge w:val="continue"/>
            <w:tcBorders>
              <w:tl2br w:val="nil"/>
              <w:tr2bl w:val="nil"/>
            </w:tcBorders>
            <w:vAlign w:val="center"/>
          </w:tcPr>
          <w:p>
            <w:pPr>
              <w:jc w:val="center"/>
              <w:rPr>
                <w:sz w:val="21"/>
                <w:szCs w:val="21"/>
              </w:rPr>
            </w:pPr>
          </w:p>
        </w:tc>
        <w:tc>
          <w:tcPr>
            <w:tcW w:w="522" w:type="pct"/>
            <w:tcBorders>
              <w:tl2br w:val="nil"/>
              <w:tr2bl w:val="nil"/>
            </w:tcBorders>
            <w:vAlign w:val="center"/>
          </w:tcPr>
          <w:p>
            <w:pPr>
              <w:pStyle w:val="142"/>
              <w:rPr>
                <w:rFonts w:hint="eastAsia"/>
                <w:sz w:val="21"/>
                <w:szCs w:val="21"/>
              </w:rPr>
            </w:pPr>
            <w:r>
              <w:rPr>
                <w:rFonts w:hint="eastAsia"/>
                <w:sz w:val="21"/>
                <w:szCs w:val="21"/>
              </w:rPr>
              <w:t>动植物油</w:t>
            </w:r>
          </w:p>
        </w:tc>
        <w:tc>
          <w:tcPr>
            <w:tcW w:w="439"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120</w:t>
            </w:r>
          </w:p>
        </w:tc>
        <w:tc>
          <w:tcPr>
            <w:tcW w:w="674"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0.0216</w:t>
            </w:r>
          </w:p>
        </w:tc>
        <w:tc>
          <w:tcPr>
            <w:tcW w:w="508" w:type="pct"/>
            <w:vMerge w:val="continue"/>
            <w:tcBorders>
              <w:tl2br w:val="nil"/>
              <w:tr2bl w:val="nil"/>
            </w:tcBorders>
            <w:vAlign w:val="center"/>
          </w:tcPr>
          <w:p>
            <w:pPr>
              <w:jc w:val="center"/>
              <w:rPr>
                <w:sz w:val="21"/>
                <w:szCs w:val="21"/>
              </w:rPr>
            </w:pPr>
          </w:p>
        </w:tc>
        <w:tc>
          <w:tcPr>
            <w:tcW w:w="441" w:type="pct"/>
            <w:tcBorders>
              <w:tl2br w:val="nil"/>
              <w:tr2bl w:val="nil"/>
            </w:tcBorders>
            <w:vAlign w:val="center"/>
          </w:tcPr>
          <w:p>
            <w:pPr>
              <w:pStyle w:val="142"/>
              <w:rPr>
                <w:rFonts w:hint="default" w:ascii="Times New Roman"/>
                <w:sz w:val="21"/>
                <w:szCs w:val="21"/>
              </w:rPr>
            </w:pPr>
            <w:r>
              <w:rPr>
                <w:rFonts w:hint="eastAsia" w:ascii="Times New Roman"/>
                <w:sz w:val="21"/>
                <w:szCs w:val="21"/>
                <w:lang w:val="en-US" w:eastAsia="zh-CN"/>
              </w:rPr>
              <w:t>120</w:t>
            </w:r>
          </w:p>
        </w:tc>
        <w:tc>
          <w:tcPr>
            <w:tcW w:w="664" w:type="pct"/>
            <w:tcBorders>
              <w:tl2br w:val="nil"/>
              <w:tr2bl w:val="nil"/>
            </w:tcBorders>
            <w:vAlign w:val="center"/>
          </w:tcPr>
          <w:p>
            <w:pPr>
              <w:pStyle w:val="142"/>
              <w:rPr>
                <w:rFonts w:hint="default" w:ascii="Times New Roman" w:hAnsi="宋体" w:eastAsia="宋体" w:cs="宋体"/>
                <w:kern w:val="2"/>
                <w:sz w:val="21"/>
                <w:szCs w:val="21"/>
                <w:lang w:val="en-US" w:eastAsia="zh-CN" w:bidi="ar-SA"/>
              </w:rPr>
            </w:pPr>
            <w:r>
              <w:rPr>
                <w:rFonts w:hint="eastAsia" w:ascii="Times New Roman"/>
                <w:sz w:val="21"/>
                <w:szCs w:val="21"/>
                <w:lang w:val="en-US" w:eastAsia="zh-CN"/>
              </w:rPr>
              <w:t>0.0216</w:t>
            </w:r>
          </w:p>
        </w:tc>
        <w:tc>
          <w:tcPr>
            <w:tcW w:w="929" w:type="pct"/>
            <w:vMerge w:val="continue"/>
            <w:tcBorders>
              <w:tl2br w:val="nil"/>
              <w:tr2bl w:val="nil"/>
            </w:tcBorders>
            <w:vAlign w:val="center"/>
          </w:tcPr>
          <w:p>
            <w:pPr>
              <w:jc w:val="center"/>
              <w:rPr>
                <w:sz w:val="21"/>
                <w:szCs w:val="21"/>
              </w:rPr>
            </w:pPr>
          </w:p>
        </w:tc>
      </w:tr>
    </w:tbl>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（3）固废排放情况</w:t>
      </w:r>
    </w:p>
    <w:p>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建设项目产生的固废主要为</w:t>
      </w:r>
      <w:r>
        <w:rPr>
          <w:rFonts w:hint="eastAsia" w:eastAsia="宋体"/>
          <w:color w:val="000000" w:themeColor="text1"/>
          <w:lang w:val="en-US" w:eastAsia="zh-CN"/>
          <w14:textFill>
            <w14:solidFill>
              <w14:schemeClr w14:val="tx1"/>
            </w14:solidFill>
          </w14:textFill>
        </w:rPr>
        <w:t>木材边角料、废零件、除尘器收尘、废包装材料、废材料、漆渣、废刷子、废包装桶、废抹布手套、空压机含油废液、废过滤棉、废活性炭、生活垃圾、餐厨垃圾、废油脂等。生活垃圾、餐厨垃圾、废油脂委托环卫清运,目前由海安县洋蛮河存平保洁有限公司清运；木材边角料、废零件、除尘器收尘、废包装材料、废材料外售处理；漆渣、废刷子、废包装桶、废抹布手套、空压机含油废液、废过滤棉、废活性炭委托相关有资质单位处理,目前委托海安蔚蓝环保服务有限公司处理。</w:t>
      </w:r>
      <w:r>
        <w:rPr>
          <w:rFonts w:hint="eastAsia" w:eastAsia="宋体"/>
          <w:color w:val="000000" w:themeColor="text1"/>
          <w14:textFill>
            <w14:solidFill>
              <w14:schemeClr w14:val="tx1"/>
            </w14:solidFill>
          </w14:textFill>
        </w:rPr>
        <w:t xml:space="preserve"> </w:t>
      </w:r>
    </w:p>
    <w:p>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危险固（液）体废物和一般固体废物产生</w:t>
      </w:r>
      <w:r>
        <w:rPr>
          <w:rFonts w:eastAsia="宋体"/>
          <w:color w:val="000000" w:themeColor="text1"/>
          <w14:textFill>
            <w14:solidFill>
              <w14:schemeClr w14:val="tx1"/>
            </w14:solidFill>
          </w14:textFill>
        </w:rPr>
        <w:t>情况见表3-1</w:t>
      </w:r>
      <w:r>
        <w:rPr>
          <w:rFonts w:hint="eastAsia" w:eastAsia="宋体"/>
          <w:color w:val="000000" w:themeColor="text1"/>
          <w:lang w:val="en-US" w:eastAsia="zh-CN"/>
          <w14:textFill>
            <w14:solidFill>
              <w14:schemeClr w14:val="tx1"/>
            </w14:solidFill>
          </w14:textFill>
        </w:rPr>
        <w:t>5</w:t>
      </w:r>
      <w:r>
        <w:rPr>
          <w:rFonts w:hint="eastAsia" w:eastAsia="宋体"/>
          <w:color w:val="000000" w:themeColor="text1"/>
          <w14:textFill>
            <w14:solidFill>
              <w14:schemeClr w14:val="tx1"/>
            </w14:solidFill>
          </w14:textFill>
        </w:rPr>
        <w:t>、3-1</w:t>
      </w:r>
      <w:r>
        <w:rPr>
          <w:rFonts w:hint="eastAsia" w:eastAsia="宋体"/>
          <w:color w:val="000000" w:themeColor="text1"/>
          <w:lang w:val="en-US" w:eastAsia="zh-CN"/>
          <w14:textFill>
            <w14:solidFill>
              <w14:schemeClr w14:val="tx1"/>
            </w14:solidFill>
          </w14:textFill>
        </w:rPr>
        <w:t>6</w:t>
      </w:r>
      <w:r>
        <w:rPr>
          <w:rFonts w:eastAsia="宋体"/>
          <w:color w:val="000000" w:themeColor="text1"/>
          <w14:textFill>
            <w14:solidFill>
              <w14:schemeClr w14:val="tx1"/>
            </w14:solidFill>
          </w14:textFill>
        </w:rPr>
        <w:t>。</w:t>
      </w:r>
    </w:p>
    <w:p>
      <w:pPr>
        <w:snapToGrid w:val="0"/>
        <w:spacing w:line="500" w:lineRule="exact"/>
        <w:jc w:val="center"/>
        <w:rPr>
          <w:rFonts w:eastAsia="宋体"/>
          <w:b/>
          <w:bCs/>
        </w:rPr>
      </w:pPr>
      <w:r>
        <w:rPr>
          <w:rFonts w:eastAsia="宋体"/>
          <w:b/>
          <w:bCs/>
        </w:rPr>
        <w:t>表3-1</w:t>
      </w:r>
      <w:r>
        <w:rPr>
          <w:rFonts w:hint="eastAsia" w:eastAsia="宋体"/>
          <w:b/>
          <w:bCs/>
          <w:lang w:val="en-US" w:eastAsia="zh-CN"/>
        </w:rPr>
        <w:t>5</w:t>
      </w:r>
      <w:r>
        <w:rPr>
          <w:rFonts w:eastAsia="宋体"/>
          <w:b/>
          <w:bCs/>
        </w:rPr>
        <w:t xml:space="preserve"> 危险固（液）体</w:t>
      </w:r>
      <w:r>
        <w:rPr>
          <w:rFonts w:hint="eastAsia" w:eastAsia="宋体"/>
          <w:b/>
          <w:bCs/>
        </w:rPr>
        <w:t>废物产生</w:t>
      </w:r>
      <w:r>
        <w:rPr>
          <w:rFonts w:eastAsia="宋体"/>
          <w:b/>
          <w:bCs/>
        </w:rPr>
        <w:t>情况一览表</w:t>
      </w:r>
    </w:p>
    <w:tbl>
      <w:tblPr>
        <w:tblStyle w:val="38"/>
        <w:tblW w:w="525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43"/>
        <w:gridCol w:w="1201"/>
        <w:gridCol w:w="995"/>
        <w:gridCol w:w="897"/>
        <w:gridCol w:w="937"/>
        <w:gridCol w:w="1061"/>
        <w:gridCol w:w="1375"/>
        <w:gridCol w:w="1168"/>
        <w:gridCol w:w="12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84"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序号</w:t>
            </w:r>
          </w:p>
        </w:tc>
        <w:tc>
          <w:tcPr>
            <w:tcW w:w="620"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固废名称</w:t>
            </w:r>
          </w:p>
        </w:tc>
        <w:tc>
          <w:tcPr>
            <w:tcW w:w="514"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产生工序</w:t>
            </w:r>
          </w:p>
        </w:tc>
        <w:tc>
          <w:tcPr>
            <w:tcW w:w="463"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形态</w:t>
            </w:r>
          </w:p>
        </w:tc>
        <w:tc>
          <w:tcPr>
            <w:tcW w:w="484"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属性</w:t>
            </w:r>
          </w:p>
        </w:tc>
        <w:tc>
          <w:tcPr>
            <w:tcW w:w="548"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废物类别</w:t>
            </w:r>
          </w:p>
        </w:tc>
        <w:tc>
          <w:tcPr>
            <w:tcW w:w="710"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废物代码</w:t>
            </w:r>
          </w:p>
        </w:tc>
        <w:tc>
          <w:tcPr>
            <w:tcW w:w="603"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产生量（t/a）</w:t>
            </w:r>
          </w:p>
        </w:tc>
        <w:tc>
          <w:tcPr>
            <w:tcW w:w="668"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处置方式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4"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w w:val="99"/>
                <w:sz w:val="21"/>
                <w:szCs w:val="21"/>
              </w:rPr>
              <w:t>1</w:t>
            </w:r>
          </w:p>
        </w:tc>
        <w:tc>
          <w:tcPr>
            <w:tcW w:w="620" w:type="pct"/>
            <w:tcBorders>
              <w:tl2br w:val="nil"/>
              <w:tr2bl w:val="nil"/>
            </w:tcBorders>
            <w:vAlign w:val="center"/>
          </w:tcPr>
          <w:p>
            <w:pPr>
              <w:jc w:val="center"/>
              <w:rPr>
                <w:rFonts w:eastAsia="宋体"/>
                <w:sz w:val="21"/>
                <w:szCs w:val="21"/>
              </w:rPr>
            </w:pPr>
            <w:r>
              <w:rPr>
                <w:rFonts w:hint="eastAsia" w:eastAsia="宋体"/>
                <w:sz w:val="21"/>
                <w:szCs w:val="21"/>
                <w:lang w:val="en-US" w:eastAsia="zh-CN"/>
              </w:rPr>
              <w:t>漆渣</w:t>
            </w:r>
          </w:p>
        </w:tc>
        <w:tc>
          <w:tcPr>
            <w:tcW w:w="514" w:type="pct"/>
            <w:tcBorders>
              <w:tl2br w:val="nil"/>
              <w:tr2bl w:val="nil"/>
            </w:tcBorders>
            <w:vAlign w:val="center"/>
          </w:tcPr>
          <w:p>
            <w:pPr>
              <w:widowControl/>
              <w:jc w:val="center"/>
              <w:rPr>
                <w:rFonts w:eastAsia="宋体"/>
                <w:kern w:val="0"/>
                <w:sz w:val="21"/>
                <w:szCs w:val="21"/>
              </w:rPr>
            </w:pPr>
            <w:r>
              <w:rPr>
                <w:rFonts w:hint="eastAsia" w:eastAsia="宋体"/>
                <w:kern w:val="0"/>
                <w:sz w:val="21"/>
                <w:szCs w:val="21"/>
                <w:lang w:val="en-US" w:eastAsia="zh-CN"/>
              </w:rPr>
              <w:t>喷漆、废气处理</w:t>
            </w:r>
          </w:p>
        </w:tc>
        <w:tc>
          <w:tcPr>
            <w:tcW w:w="463" w:type="pct"/>
            <w:tcBorders>
              <w:tl2br w:val="nil"/>
              <w:tr2bl w:val="nil"/>
            </w:tcBorders>
            <w:vAlign w:val="center"/>
          </w:tcPr>
          <w:p>
            <w:pPr>
              <w:widowControl/>
              <w:jc w:val="center"/>
              <w:rPr>
                <w:rFonts w:eastAsia="宋体"/>
                <w:kern w:val="0"/>
                <w:sz w:val="21"/>
                <w:szCs w:val="21"/>
              </w:rPr>
            </w:pPr>
            <w:r>
              <w:rPr>
                <w:rFonts w:eastAsia="宋体"/>
                <w:kern w:val="0"/>
                <w:sz w:val="21"/>
                <w:szCs w:val="21"/>
              </w:rPr>
              <w:t>固体</w:t>
            </w:r>
          </w:p>
        </w:tc>
        <w:tc>
          <w:tcPr>
            <w:tcW w:w="484" w:type="pct"/>
            <w:vMerge w:val="restar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危险固废</w:t>
            </w:r>
          </w:p>
        </w:tc>
        <w:tc>
          <w:tcPr>
            <w:tcW w:w="548" w:type="pct"/>
            <w:tcBorders>
              <w:tl2br w:val="nil"/>
              <w:tr2bl w:val="nil"/>
            </w:tcBorders>
            <w:vAlign w:val="center"/>
          </w:tcPr>
          <w:p>
            <w:pPr>
              <w:widowControl/>
              <w:jc w:val="center"/>
              <w:rPr>
                <w:rFonts w:eastAsia="宋体"/>
                <w:kern w:val="0"/>
                <w:sz w:val="21"/>
                <w:szCs w:val="21"/>
              </w:rPr>
            </w:pPr>
            <w:r>
              <w:rPr>
                <w:rFonts w:eastAsia="宋体"/>
                <w:kern w:val="0"/>
                <w:sz w:val="21"/>
                <w:szCs w:val="21"/>
              </w:rPr>
              <w:t>HW12</w:t>
            </w:r>
          </w:p>
        </w:tc>
        <w:tc>
          <w:tcPr>
            <w:tcW w:w="710" w:type="pct"/>
            <w:tcBorders>
              <w:tl2br w:val="nil"/>
              <w:tr2bl w:val="nil"/>
            </w:tcBorders>
            <w:vAlign w:val="center"/>
          </w:tcPr>
          <w:p>
            <w:pPr>
              <w:widowControl/>
              <w:jc w:val="center"/>
              <w:rPr>
                <w:rFonts w:eastAsia="宋体"/>
                <w:kern w:val="0"/>
                <w:sz w:val="21"/>
                <w:szCs w:val="21"/>
              </w:rPr>
            </w:pPr>
            <w:r>
              <w:rPr>
                <w:rFonts w:eastAsia="宋体"/>
                <w:kern w:val="0"/>
                <w:sz w:val="21"/>
                <w:szCs w:val="21"/>
              </w:rPr>
              <w:t>900-2</w:t>
            </w:r>
            <w:r>
              <w:rPr>
                <w:rFonts w:hint="eastAsia" w:eastAsia="宋体"/>
                <w:kern w:val="0"/>
                <w:sz w:val="21"/>
                <w:szCs w:val="21"/>
                <w:lang w:val="en-US" w:eastAsia="zh-CN"/>
              </w:rPr>
              <w:t>52</w:t>
            </w:r>
            <w:r>
              <w:rPr>
                <w:rFonts w:eastAsia="宋体"/>
                <w:kern w:val="0"/>
                <w:sz w:val="21"/>
                <w:szCs w:val="21"/>
              </w:rPr>
              <w:t>-12</w:t>
            </w:r>
          </w:p>
        </w:tc>
        <w:tc>
          <w:tcPr>
            <w:tcW w:w="603"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8.1665</w:t>
            </w:r>
          </w:p>
        </w:tc>
        <w:tc>
          <w:tcPr>
            <w:tcW w:w="668" w:type="pct"/>
            <w:vMerge w:val="restar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收集后由海安蔚蓝环保服务有限公司进行处置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4"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w w:val="99"/>
                <w:sz w:val="21"/>
                <w:szCs w:val="21"/>
              </w:rPr>
              <w:t>2</w:t>
            </w:r>
          </w:p>
        </w:tc>
        <w:tc>
          <w:tcPr>
            <w:tcW w:w="620" w:type="pct"/>
            <w:tcBorders>
              <w:tl2br w:val="nil"/>
              <w:tr2bl w:val="nil"/>
            </w:tcBorders>
            <w:vAlign w:val="center"/>
          </w:tcPr>
          <w:p>
            <w:pPr>
              <w:jc w:val="center"/>
              <w:rPr>
                <w:rFonts w:eastAsia="宋体"/>
                <w:sz w:val="21"/>
                <w:szCs w:val="21"/>
              </w:rPr>
            </w:pPr>
            <w:r>
              <w:rPr>
                <w:rFonts w:hint="eastAsia" w:eastAsia="宋体"/>
                <w:sz w:val="21"/>
                <w:szCs w:val="21"/>
                <w:lang w:val="en-US" w:eastAsia="zh-CN"/>
              </w:rPr>
              <w:t>废刷子</w:t>
            </w:r>
          </w:p>
        </w:tc>
        <w:tc>
          <w:tcPr>
            <w:tcW w:w="514" w:type="pct"/>
            <w:tcBorders>
              <w:tl2br w:val="nil"/>
              <w:tr2bl w:val="nil"/>
            </w:tcBorders>
            <w:vAlign w:val="center"/>
          </w:tcPr>
          <w:p>
            <w:pPr>
              <w:widowControl/>
              <w:jc w:val="center"/>
              <w:rPr>
                <w:rFonts w:eastAsia="宋体"/>
                <w:kern w:val="0"/>
                <w:sz w:val="21"/>
                <w:szCs w:val="21"/>
              </w:rPr>
            </w:pPr>
            <w:r>
              <w:rPr>
                <w:rFonts w:hint="eastAsia" w:eastAsia="宋体"/>
                <w:kern w:val="0"/>
                <w:sz w:val="21"/>
                <w:szCs w:val="21"/>
                <w:lang w:val="en-US" w:eastAsia="zh-CN"/>
              </w:rPr>
              <w:t>擦色</w:t>
            </w:r>
          </w:p>
        </w:tc>
        <w:tc>
          <w:tcPr>
            <w:tcW w:w="463" w:type="pct"/>
            <w:tcBorders>
              <w:tl2br w:val="nil"/>
              <w:tr2bl w:val="nil"/>
            </w:tcBorders>
            <w:vAlign w:val="center"/>
          </w:tcPr>
          <w:p>
            <w:pPr>
              <w:widowControl/>
              <w:jc w:val="center"/>
              <w:rPr>
                <w:rFonts w:hint="eastAsia" w:eastAsia="宋体"/>
                <w:kern w:val="0"/>
                <w:sz w:val="21"/>
                <w:szCs w:val="21"/>
                <w:lang w:eastAsia="zh-CN"/>
              </w:rPr>
            </w:pPr>
            <w:r>
              <w:rPr>
                <w:rFonts w:hint="eastAsia" w:eastAsia="宋体"/>
                <w:kern w:val="0"/>
                <w:sz w:val="21"/>
                <w:szCs w:val="21"/>
                <w:lang w:val="en-US" w:eastAsia="zh-CN"/>
              </w:rPr>
              <w:t>固体</w:t>
            </w:r>
          </w:p>
        </w:tc>
        <w:tc>
          <w:tcPr>
            <w:tcW w:w="484" w:type="pct"/>
            <w:vMerge w:val="continue"/>
            <w:tcBorders>
              <w:tl2br w:val="nil"/>
              <w:tr2bl w:val="nil"/>
            </w:tcBorders>
            <w:vAlign w:val="center"/>
          </w:tcPr>
          <w:p>
            <w:pPr>
              <w:pStyle w:val="142"/>
              <w:rPr>
                <w:rFonts w:ascii="Times New Roman" w:hAnsi="Times New Roman" w:cs="Times New Roman"/>
                <w:sz w:val="21"/>
                <w:szCs w:val="21"/>
              </w:rPr>
            </w:pPr>
          </w:p>
        </w:tc>
        <w:tc>
          <w:tcPr>
            <w:tcW w:w="548" w:type="pct"/>
            <w:tcBorders>
              <w:tl2br w:val="nil"/>
              <w:tr2bl w:val="nil"/>
            </w:tcBorders>
            <w:vAlign w:val="center"/>
          </w:tcPr>
          <w:p>
            <w:pPr>
              <w:widowControl/>
              <w:jc w:val="center"/>
              <w:rPr>
                <w:rFonts w:eastAsia="宋体"/>
                <w:kern w:val="0"/>
                <w:sz w:val="21"/>
                <w:szCs w:val="21"/>
              </w:rPr>
            </w:pPr>
            <w:r>
              <w:rPr>
                <w:rFonts w:eastAsia="宋体"/>
                <w:kern w:val="0"/>
                <w:sz w:val="21"/>
                <w:szCs w:val="21"/>
              </w:rPr>
              <w:t>HW49</w:t>
            </w:r>
          </w:p>
        </w:tc>
        <w:tc>
          <w:tcPr>
            <w:tcW w:w="710" w:type="pct"/>
            <w:tcBorders>
              <w:tl2br w:val="nil"/>
              <w:tr2bl w:val="nil"/>
            </w:tcBorders>
            <w:vAlign w:val="center"/>
          </w:tcPr>
          <w:p>
            <w:pPr>
              <w:widowControl/>
              <w:jc w:val="center"/>
              <w:rPr>
                <w:rFonts w:eastAsia="宋体"/>
                <w:kern w:val="0"/>
                <w:sz w:val="21"/>
                <w:szCs w:val="21"/>
              </w:rPr>
            </w:pPr>
            <w:r>
              <w:rPr>
                <w:rFonts w:eastAsia="宋体"/>
                <w:kern w:val="0"/>
                <w:sz w:val="21"/>
                <w:szCs w:val="21"/>
              </w:rPr>
              <w:t>900-041-49</w:t>
            </w:r>
          </w:p>
        </w:tc>
        <w:tc>
          <w:tcPr>
            <w:tcW w:w="603"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0.02</w:t>
            </w:r>
          </w:p>
        </w:tc>
        <w:tc>
          <w:tcPr>
            <w:tcW w:w="668" w:type="pct"/>
            <w:vMerge w:val="continue"/>
            <w:tcBorders>
              <w:tl2br w:val="nil"/>
              <w:tr2bl w:val="nil"/>
            </w:tcBorders>
            <w:vAlign w:val="center"/>
          </w:tcPr>
          <w:p>
            <w:pPr>
              <w:pStyle w:val="142"/>
              <w:rPr>
                <w:rFonts w:ascii="Times New Roman" w:hAnsi="Times New Roman"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4"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w w:val="99"/>
                <w:sz w:val="21"/>
                <w:szCs w:val="21"/>
              </w:rPr>
              <w:t>3</w:t>
            </w:r>
          </w:p>
        </w:tc>
        <w:tc>
          <w:tcPr>
            <w:tcW w:w="620" w:type="pct"/>
            <w:tcBorders>
              <w:tl2br w:val="nil"/>
              <w:tr2bl w:val="nil"/>
            </w:tcBorders>
            <w:vAlign w:val="center"/>
          </w:tcPr>
          <w:p>
            <w:pPr>
              <w:jc w:val="center"/>
              <w:rPr>
                <w:rFonts w:eastAsia="宋体"/>
                <w:sz w:val="21"/>
                <w:szCs w:val="21"/>
              </w:rPr>
            </w:pPr>
            <w:r>
              <w:rPr>
                <w:rFonts w:hint="eastAsia" w:eastAsia="宋体"/>
                <w:sz w:val="21"/>
                <w:szCs w:val="21"/>
                <w:lang w:val="en-US" w:eastAsia="zh-CN"/>
              </w:rPr>
              <w:t>废包装桶</w:t>
            </w:r>
          </w:p>
        </w:tc>
        <w:tc>
          <w:tcPr>
            <w:tcW w:w="514" w:type="pct"/>
            <w:tcBorders>
              <w:tl2br w:val="nil"/>
              <w:tr2bl w:val="nil"/>
            </w:tcBorders>
            <w:vAlign w:val="center"/>
          </w:tcPr>
          <w:p>
            <w:pPr>
              <w:widowControl/>
              <w:jc w:val="center"/>
              <w:rPr>
                <w:rFonts w:eastAsia="宋体"/>
                <w:kern w:val="0"/>
                <w:sz w:val="21"/>
                <w:szCs w:val="21"/>
              </w:rPr>
            </w:pPr>
            <w:r>
              <w:rPr>
                <w:rFonts w:hint="eastAsia" w:eastAsia="宋体"/>
                <w:kern w:val="0"/>
                <w:sz w:val="21"/>
                <w:szCs w:val="21"/>
                <w:lang w:val="en-US" w:eastAsia="zh-CN"/>
              </w:rPr>
              <w:t>原料包装</w:t>
            </w:r>
          </w:p>
        </w:tc>
        <w:tc>
          <w:tcPr>
            <w:tcW w:w="463" w:type="pct"/>
            <w:tcBorders>
              <w:tl2br w:val="nil"/>
              <w:tr2bl w:val="nil"/>
            </w:tcBorders>
            <w:vAlign w:val="center"/>
          </w:tcPr>
          <w:p>
            <w:pPr>
              <w:widowControl/>
              <w:jc w:val="center"/>
              <w:rPr>
                <w:rFonts w:eastAsia="宋体"/>
                <w:kern w:val="0"/>
                <w:sz w:val="21"/>
                <w:szCs w:val="21"/>
              </w:rPr>
            </w:pPr>
            <w:r>
              <w:rPr>
                <w:rFonts w:eastAsia="宋体"/>
                <w:kern w:val="0"/>
                <w:sz w:val="21"/>
                <w:szCs w:val="21"/>
              </w:rPr>
              <w:t>固体</w:t>
            </w:r>
          </w:p>
        </w:tc>
        <w:tc>
          <w:tcPr>
            <w:tcW w:w="484" w:type="pct"/>
            <w:vMerge w:val="continue"/>
            <w:tcBorders>
              <w:tl2br w:val="nil"/>
              <w:tr2bl w:val="nil"/>
            </w:tcBorders>
            <w:vAlign w:val="center"/>
          </w:tcPr>
          <w:p>
            <w:pPr>
              <w:jc w:val="center"/>
              <w:rPr>
                <w:rFonts w:eastAsia="宋体"/>
                <w:sz w:val="21"/>
                <w:szCs w:val="21"/>
              </w:rPr>
            </w:pPr>
          </w:p>
        </w:tc>
        <w:tc>
          <w:tcPr>
            <w:tcW w:w="548" w:type="pct"/>
            <w:tcBorders>
              <w:tl2br w:val="nil"/>
              <w:tr2bl w:val="nil"/>
            </w:tcBorders>
            <w:vAlign w:val="center"/>
          </w:tcPr>
          <w:p>
            <w:pPr>
              <w:widowControl/>
              <w:jc w:val="center"/>
              <w:rPr>
                <w:rFonts w:eastAsia="宋体"/>
                <w:kern w:val="0"/>
                <w:sz w:val="21"/>
                <w:szCs w:val="21"/>
              </w:rPr>
            </w:pPr>
            <w:r>
              <w:rPr>
                <w:rFonts w:eastAsia="宋体"/>
                <w:kern w:val="0"/>
                <w:sz w:val="21"/>
                <w:szCs w:val="21"/>
              </w:rPr>
              <w:t>HW49</w:t>
            </w:r>
          </w:p>
        </w:tc>
        <w:tc>
          <w:tcPr>
            <w:tcW w:w="710" w:type="pct"/>
            <w:tcBorders>
              <w:tl2br w:val="nil"/>
              <w:tr2bl w:val="nil"/>
            </w:tcBorders>
            <w:vAlign w:val="center"/>
          </w:tcPr>
          <w:p>
            <w:pPr>
              <w:widowControl/>
              <w:jc w:val="center"/>
              <w:rPr>
                <w:rFonts w:eastAsia="宋体"/>
                <w:kern w:val="0"/>
                <w:sz w:val="21"/>
                <w:szCs w:val="21"/>
              </w:rPr>
            </w:pPr>
            <w:r>
              <w:rPr>
                <w:rFonts w:eastAsia="宋体"/>
                <w:kern w:val="0"/>
                <w:sz w:val="21"/>
                <w:szCs w:val="21"/>
              </w:rPr>
              <w:t>900-041-49</w:t>
            </w:r>
          </w:p>
        </w:tc>
        <w:tc>
          <w:tcPr>
            <w:tcW w:w="603"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0.5</w:t>
            </w:r>
          </w:p>
        </w:tc>
        <w:tc>
          <w:tcPr>
            <w:tcW w:w="668" w:type="pct"/>
            <w:vMerge w:val="continue"/>
            <w:tcBorders>
              <w:tl2br w:val="nil"/>
              <w:tr2bl w:val="nil"/>
            </w:tcBorders>
            <w:vAlign w:val="center"/>
          </w:tcPr>
          <w:p>
            <w:pPr>
              <w:jc w:val="center"/>
              <w:rPr>
                <w:rFonts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4"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w w:val="99"/>
                <w:sz w:val="21"/>
                <w:szCs w:val="21"/>
              </w:rPr>
              <w:t>4</w:t>
            </w:r>
          </w:p>
        </w:tc>
        <w:tc>
          <w:tcPr>
            <w:tcW w:w="620" w:type="pct"/>
            <w:tcBorders>
              <w:tl2br w:val="nil"/>
              <w:tr2bl w:val="nil"/>
            </w:tcBorders>
            <w:vAlign w:val="center"/>
          </w:tcPr>
          <w:p>
            <w:pPr>
              <w:widowControl/>
              <w:jc w:val="center"/>
              <w:rPr>
                <w:rFonts w:eastAsia="宋体"/>
                <w:kern w:val="0"/>
                <w:sz w:val="21"/>
                <w:szCs w:val="21"/>
              </w:rPr>
            </w:pPr>
            <w:r>
              <w:rPr>
                <w:rFonts w:hint="eastAsia" w:eastAsia="宋体"/>
                <w:sz w:val="21"/>
                <w:szCs w:val="21"/>
                <w:lang w:val="en-US" w:eastAsia="zh-CN"/>
              </w:rPr>
              <w:t>空压机含油废液</w:t>
            </w:r>
          </w:p>
        </w:tc>
        <w:tc>
          <w:tcPr>
            <w:tcW w:w="514" w:type="pct"/>
            <w:tcBorders>
              <w:tl2br w:val="nil"/>
              <w:tr2bl w:val="nil"/>
            </w:tcBorders>
            <w:vAlign w:val="center"/>
          </w:tcPr>
          <w:p>
            <w:pPr>
              <w:widowControl/>
              <w:jc w:val="center"/>
              <w:rPr>
                <w:rFonts w:eastAsia="宋体"/>
                <w:kern w:val="0"/>
                <w:sz w:val="21"/>
                <w:szCs w:val="21"/>
              </w:rPr>
            </w:pPr>
            <w:r>
              <w:rPr>
                <w:rFonts w:hint="eastAsia" w:eastAsia="宋体"/>
                <w:kern w:val="0"/>
                <w:sz w:val="21"/>
                <w:szCs w:val="21"/>
                <w:lang w:val="en-US" w:eastAsia="zh-CN"/>
              </w:rPr>
              <w:t>空压机</w:t>
            </w:r>
          </w:p>
        </w:tc>
        <w:tc>
          <w:tcPr>
            <w:tcW w:w="463" w:type="pct"/>
            <w:tcBorders>
              <w:tl2br w:val="nil"/>
              <w:tr2bl w:val="nil"/>
            </w:tcBorders>
            <w:vAlign w:val="center"/>
          </w:tcPr>
          <w:p>
            <w:pPr>
              <w:widowControl/>
              <w:jc w:val="center"/>
              <w:rPr>
                <w:rFonts w:eastAsia="宋体"/>
                <w:kern w:val="0"/>
                <w:sz w:val="21"/>
                <w:szCs w:val="21"/>
              </w:rPr>
            </w:pPr>
            <w:r>
              <w:rPr>
                <w:rFonts w:hint="eastAsia" w:eastAsia="宋体"/>
                <w:kern w:val="0"/>
                <w:sz w:val="21"/>
                <w:szCs w:val="21"/>
                <w:lang w:val="en-US" w:eastAsia="zh-CN"/>
              </w:rPr>
              <w:t>液</w:t>
            </w:r>
            <w:r>
              <w:rPr>
                <w:rFonts w:eastAsia="宋体"/>
                <w:kern w:val="0"/>
                <w:sz w:val="21"/>
                <w:szCs w:val="21"/>
              </w:rPr>
              <w:t>体</w:t>
            </w:r>
          </w:p>
        </w:tc>
        <w:tc>
          <w:tcPr>
            <w:tcW w:w="484" w:type="pct"/>
            <w:vMerge w:val="continue"/>
            <w:tcBorders>
              <w:tl2br w:val="nil"/>
              <w:tr2bl w:val="nil"/>
            </w:tcBorders>
            <w:vAlign w:val="center"/>
          </w:tcPr>
          <w:p>
            <w:pPr>
              <w:jc w:val="center"/>
              <w:rPr>
                <w:rFonts w:eastAsia="宋体"/>
                <w:sz w:val="21"/>
                <w:szCs w:val="21"/>
              </w:rPr>
            </w:pPr>
          </w:p>
        </w:tc>
        <w:tc>
          <w:tcPr>
            <w:tcW w:w="548" w:type="pct"/>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eastAsia="宋体"/>
                <w:kern w:val="0"/>
                <w:sz w:val="21"/>
                <w:szCs w:val="21"/>
              </w:rPr>
              <w:t>HW</w:t>
            </w:r>
            <w:r>
              <w:rPr>
                <w:rFonts w:hint="eastAsia" w:eastAsia="宋体"/>
                <w:kern w:val="0"/>
                <w:sz w:val="21"/>
                <w:szCs w:val="21"/>
                <w:lang w:val="en-US" w:eastAsia="zh-CN"/>
              </w:rPr>
              <w:t>09</w:t>
            </w:r>
          </w:p>
        </w:tc>
        <w:tc>
          <w:tcPr>
            <w:tcW w:w="710" w:type="pct"/>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eastAsia="宋体"/>
                <w:sz w:val="21"/>
                <w:szCs w:val="21"/>
              </w:rPr>
              <w:t>900-</w:t>
            </w:r>
            <w:r>
              <w:rPr>
                <w:rFonts w:hint="eastAsia" w:eastAsia="宋体"/>
                <w:sz w:val="21"/>
                <w:szCs w:val="21"/>
                <w:lang w:val="en-US" w:eastAsia="zh-CN"/>
              </w:rPr>
              <w:t>007</w:t>
            </w:r>
            <w:r>
              <w:rPr>
                <w:rFonts w:eastAsia="宋体"/>
                <w:sz w:val="21"/>
                <w:szCs w:val="21"/>
              </w:rPr>
              <w:t>-</w:t>
            </w:r>
            <w:r>
              <w:rPr>
                <w:rFonts w:hint="eastAsia" w:eastAsia="宋体"/>
                <w:sz w:val="21"/>
                <w:szCs w:val="21"/>
                <w:lang w:val="en-US" w:eastAsia="zh-CN"/>
              </w:rPr>
              <w:t>09</w:t>
            </w:r>
          </w:p>
        </w:tc>
        <w:tc>
          <w:tcPr>
            <w:tcW w:w="603"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0.05</w:t>
            </w:r>
          </w:p>
        </w:tc>
        <w:tc>
          <w:tcPr>
            <w:tcW w:w="668" w:type="pct"/>
            <w:vMerge w:val="continue"/>
            <w:tcBorders>
              <w:tl2br w:val="nil"/>
              <w:tr2bl w:val="nil"/>
            </w:tcBorders>
            <w:vAlign w:val="center"/>
          </w:tcPr>
          <w:p>
            <w:pPr>
              <w:jc w:val="center"/>
              <w:rPr>
                <w:rFonts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4"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w w:val="99"/>
                <w:sz w:val="21"/>
                <w:szCs w:val="21"/>
              </w:rPr>
              <w:t>5</w:t>
            </w:r>
          </w:p>
        </w:tc>
        <w:tc>
          <w:tcPr>
            <w:tcW w:w="620" w:type="pct"/>
            <w:tcBorders>
              <w:tl2br w:val="nil"/>
              <w:tr2bl w:val="nil"/>
            </w:tcBorders>
            <w:vAlign w:val="center"/>
          </w:tcPr>
          <w:p>
            <w:pPr>
              <w:jc w:val="center"/>
              <w:rPr>
                <w:rFonts w:eastAsia="宋体"/>
                <w:color w:val="000000"/>
                <w:sz w:val="21"/>
                <w:szCs w:val="21"/>
              </w:rPr>
            </w:pPr>
            <w:r>
              <w:rPr>
                <w:rFonts w:hint="eastAsia" w:eastAsia="宋体"/>
                <w:color w:val="000000"/>
                <w:sz w:val="21"/>
                <w:szCs w:val="21"/>
                <w:lang w:val="en-US" w:eastAsia="zh-CN"/>
              </w:rPr>
              <w:t>废过滤棉</w:t>
            </w:r>
          </w:p>
        </w:tc>
        <w:tc>
          <w:tcPr>
            <w:tcW w:w="514" w:type="pct"/>
            <w:tcBorders>
              <w:tl2br w:val="nil"/>
              <w:tr2bl w:val="nil"/>
            </w:tcBorders>
            <w:vAlign w:val="center"/>
          </w:tcPr>
          <w:p>
            <w:pPr>
              <w:jc w:val="center"/>
              <w:rPr>
                <w:rFonts w:eastAsia="宋体"/>
                <w:color w:val="000000"/>
                <w:sz w:val="21"/>
                <w:szCs w:val="21"/>
              </w:rPr>
            </w:pPr>
            <w:r>
              <w:rPr>
                <w:rFonts w:hint="eastAsia" w:eastAsia="宋体"/>
                <w:color w:val="000000"/>
                <w:sz w:val="21"/>
                <w:szCs w:val="21"/>
                <w:lang w:val="en-US" w:eastAsia="zh-CN"/>
              </w:rPr>
              <w:t>废气处理</w:t>
            </w:r>
          </w:p>
        </w:tc>
        <w:tc>
          <w:tcPr>
            <w:tcW w:w="463" w:type="pct"/>
            <w:tcBorders>
              <w:tl2br w:val="nil"/>
              <w:tr2bl w:val="nil"/>
            </w:tcBorders>
            <w:vAlign w:val="center"/>
          </w:tcPr>
          <w:p>
            <w:pPr>
              <w:jc w:val="center"/>
              <w:rPr>
                <w:rFonts w:eastAsia="宋体"/>
                <w:color w:val="000000"/>
                <w:sz w:val="21"/>
                <w:szCs w:val="21"/>
              </w:rPr>
            </w:pPr>
            <w:r>
              <w:rPr>
                <w:rFonts w:eastAsia="宋体"/>
                <w:color w:val="000000"/>
                <w:sz w:val="21"/>
                <w:szCs w:val="21"/>
              </w:rPr>
              <w:t>固体</w:t>
            </w:r>
          </w:p>
        </w:tc>
        <w:tc>
          <w:tcPr>
            <w:tcW w:w="484" w:type="pct"/>
            <w:vMerge w:val="continue"/>
            <w:tcBorders>
              <w:tl2br w:val="nil"/>
              <w:tr2bl w:val="nil"/>
            </w:tcBorders>
            <w:vAlign w:val="center"/>
          </w:tcPr>
          <w:p>
            <w:pPr>
              <w:jc w:val="center"/>
              <w:rPr>
                <w:rFonts w:eastAsia="宋体"/>
                <w:sz w:val="21"/>
                <w:szCs w:val="21"/>
              </w:rPr>
            </w:pPr>
          </w:p>
        </w:tc>
        <w:tc>
          <w:tcPr>
            <w:tcW w:w="548" w:type="pct"/>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eastAsia="宋体"/>
                <w:kern w:val="0"/>
                <w:sz w:val="21"/>
                <w:szCs w:val="21"/>
              </w:rPr>
              <w:t>HW49</w:t>
            </w:r>
          </w:p>
        </w:tc>
        <w:tc>
          <w:tcPr>
            <w:tcW w:w="710" w:type="pct"/>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eastAsia="宋体"/>
                <w:kern w:val="0"/>
                <w:sz w:val="21"/>
                <w:szCs w:val="21"/>
              </w:rPr>
              <w:t>900-041-49</w:t>
            </w:r>
          </w:p>
        </w:tc>
        <w:tc>
          <w:tcPr>
            <w:tcW w:w="603"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2.38</w:t>
            </w:r>
          </w:p>
        </w:tc>
        <w:tc>
          <w:tcPr>
            <w:tcW w:w="668" w:type="pct"/>
            <w:vMerge w:val="continue"/>
            <w:tcBorders>
              <w:tl2br w:val="nil"/>
              <w:tr2bl w:val="nil"/>
            </w:tcBorders>
            <w:vAlign w:val="center"/>
          </w:tcPr>
          <w:p>
            <w:pPr>
              <w:jc w:val="center"/>
              <w:rPr>
                <w:rFonts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4" w:type="pct"/>
            <w:tcBorders>
              <w:tl2br w:val="nil"/>
              <w:tr2bl w:val="nil"/>
            </w:tcBorders>
            <w:vAlign w:val="center"/>
          </w:tcPr>
          <w:p>
            <w:pPr>
              <w:pStyle w:val="142"/>
              <w:rPr>
                <w:rFonts w:hint="eastAsia" w:ascii="Times New Roman" w:hAnsi="Times New Roman" w:eastAsia="宋体" w:cs="Times New Roman"/>
                <w:w w:val="99"/>
                <w:sz w:val="21"/>
                <w:szCs w:val="21"/>
                <w:lang w:val="en-US" w:eastAsia="zh-CN"/>
              </w:rPr>
            </w:pPr>
            <w:r>
              <w:rPr>
                <w:rFonts w:hint="eastAsia" w:ascii="Times New Roman" w:hAnsi="Times New Roman" w:cs="Times New Roman"/>
                <w:w w:val="99"/>
                <w:sz w:val="21"/>
                <w:szCs w:val="21"/>
                <w:lang w:val="en-US" w:eastAsia="zh-CN"/>
              </w:rPr>
              <w:t>6</w:t>
            </w:r>
          </w:p>
        </w:tc>
        <w:tc>
          <w:tcPr>
            <w:tcW w:w="620" w:type="pct"/>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废活性炭</w:t>
            </w:r>
          </w:p>
        </w:tc>
        <w:tc>
          <w:tcPr>
            <w:tcW w:w="514" w:type="pct"/>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废气处理</w:t>
            </w:r>
          </w:p>
        </w:tc>
        <w:tc>
          <w:tcPr>
            <w:tcW w:w="463" w:type="pct"/>
            <w:tcBorders>
              <w:tl2br w:val="nil"/>
              <w:tr2bl w:val="nil"/>
            </w:tcBorders>
            <w:vAlign w:val="center"/>
          </w:tcPr>
          <w:p>
            <w:pPr>
              <w:jc w:val="center"/>
              <w:rPr>
                <w:rFonts w:hint="eastAsia" w:eastAsia="宋体"/>
                <w:color w:val="000000"/>
                <w:sz w:val="21"/>
                <w:szCs w:val="21"/>
                <w:lang w:val="en-US" w:eastAsia="zh-CN"/>
              </w:rPr>
            </w:pPr>
            <w:r>
              <w:rPr>
                <w:rFonts w:hint="eastAsia" w:eastAsia="宋体"/>
                <w:color w:val="000000"/>
                <w:sz w:val="21"/>
                <w:szCs w:val="21"/>
                <w:lang w:val="en-US" w:eastAsia="zh-CN"/>
              </w:rPr>
              <w:t>固体</w:t>
            </w:r>
          </w:p>
        </w:tc>
        <w:tc>
          <w:tcPr>
            <w:tcW w:w="484" w:type="pct"/>
            <w:vMerge w:val="continue"/>
            <w:tcBorders>
              <w:tl2br w:val="nil"/>
              <w:tr2bl w:val="nil"/>
            </w:tcBorders>
            <w:vAlign w:val="center"/>
          </w:tcPr>
          <w:p>
            <w:pPr>
              <w:jc w:val="center"/>
              <w:rPr>
                <w:rFonts w:eastAsia="宋体"/>
                <w:sz w:val="21"/>
                <w:szCs w:val="21"/>
              </w:rPr>
            </w:pPr>
          </w:p>
        </w:tc>
        <w:tc>
          <w:tcPr>
            <w:tcW w:w="548" w:type="pct"/>
            <w:tcBorders>
              <w:tl2br w:val="nil"/>
              <w:tr2bl w:val="nil"/>
            </w:tcBorders>
            <w:vAlign w:val="center"/>
          </w:tcPr>
          <w:p>
            <w:pPr>
              <w:widowControl/>
              <w:jc w:val="center"/>
              <w:rPr>
                <w:rFonts w:ascii="Times New Roman" w:hAnsi="Times New Roman" w:eastAsia="宋体" w:cs="Times New Roman"/>
                <w:kern w:val="0"/>
                <w:sz w:val="21"/>
                <w:szCs w:val="21"/>
                <w:lang w:val="en-US" w:eastAsia="zh-CN" w:bidi="ar-SA"/>
              </w:rPr>
            </w:pPr>
            <w:r>
              <w:rPr>
                <w:rFonts w:eastAsia="宋体"/>
                <w:kern w:val="0"/>
                <w:sz w:val="21"/>
                <w:szCs w:val="21"/>
              </w:rPr>
              <w:t>HW49</w:t>
            </w:r>
          </w:p>
        </w:tc>
        <w:tc>
          <w:tcPr>
            <w:tcW w:w="710" w:type="pct"/>
            <w:tcBorders>
              <w:tl2br w:val="nil"/>
              <w:tr2bl w:val="nil"/>
            </w:tcBorders>
            <w:vAlign w:val="center"/>
          </w:tcPr>
          <w:p>
            <w:pPr>
              <w:widowControl/>
              <w:jc w:val="center"/>
              <w:rPr>
                <w:rFonts w:ascii="Times New Roman" w:hAnsi="Times New Roman" w:eastAsia="宋体" w:cs="Times New Roman"/>
                <w:kern w:val="0"/>
                <w:sz w:val="21"/>
                <w:szCs w:val="21"/>
                <w:lang w:val="en-US" w:eastAsia="zh-CN" w:bidi="ar-SA"/>
              </w:rPr>
            </w:pPr>
            <w:r>
              <w:rPr>
                <w:rFonts w:eastAsia="宋体"/>
                <w:kern w:val="0"/>
                <w:sz w:val="21"/>
                <w:szCs w:val="21"/>
              </w:rPr>
              <w:t>900-0</w:t>
            </w:r>
            <w:r>
              <w:rPr>
                <w:rFonts w:hint="eastAsia" w:eastAsia="宋体"/>
                <w:kern w:val="0"/>
                <w:sz w:val="21"/>
                <w:szCs w:val="21"/>
                <w:lang w:val="en-US" w:eastAsia="zh-CN"/>
              </w:rPr>
              <w:t>39</w:t>
            </w:r>
            <w:r>
              <w:rPr>
                <w:rFonts w:eastAsia="宋体"/>
                <w:kern w:val="0"/>
                <w:sz w:val="21"/>
                <w:szCs w:val="21"/>
              </w:rPr>
              <w:t>-49</w:t>
            </w:r>
          </w:p>
        </w:tc>
        <w:tc>
          <w:tcPr>
            <w:tcW w:w="603"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46.1711</w:t>
            </w:r>
          </w:p>
        </w:tc>
        <w:tc>
          <w:tcPr>
            <w:tcW w:w="668" w:type="pct"/>
            <w:vMerge w:val="continue"/>
            <w:tcBorders>
              <w:tl2br w:val="nil"/>
              <w:tr2bl w:val="nil"/>
            </w:tcBorders>
            <w:vAlign w:val="center"/>
          </w:tcPr>
          <w:p>
            <w:pPr>
              <w:jc w:val="center"/>
              <w:rPr>
                <w:rFonts w:eastAsia="宋体"/>
                <w:sz w:val="21"/>
                <w:szCs w:val="21"/>
              </w:rPr>
            </w:pPr>
          </w:p>
        </w:tc>
      </w:tr>
    </w:tbl>
    <w:p>
      <w:pPr>
        <w:snapToGrid w:val="0"/>
        <w:spacing w:line="500" w:lineRule="exact"/>
        <w:jc w:val="center"/>
        <w:rPr>
          <w:rFonts w:eastAsia="宋体"/>
          <w:b/>
          <w:bCs/>
        </w:rPr>
      </w:pPr>
      <w:r>
        <w:rPr>
          <w:rFonts w:eastAsia="宋体"/>
          <w:b/>
          <w:bCs/>
        </w:rPr>
        <w:t>表3-1</w:t>
      </w:r>
      <w:r>
        <w:rPr>
          <w:rFonts w:hint="eastAsia" w:eastAsia="宋体"/>
          <w:b/>
          <w:bCs/>
          <w:lang w:val="en-US" w:eastAsia="zh-CN"/>
        </w:rPr>
        <w:t>6</w:t>
      </w:r>
      <w:r>
        <w:rPr>
          <w:rFonts w:eastAsia="宋体"/>
          <w:b/>
          <w:bCs/>
        </w:rPr>
        <w:t xml:space="preserve"> </w:t>
      </w:r>
      <w:r>
        <w:rPr>
          <w:rFonts w:hint="eastAsia" w:eastAsia="宋体"/>
          <w:b/>
          <w:bCs/>
        </w:rPr>
        <w:t>一般</w:t>
      </w:r>
      <w:r>
        <w:rPr>
          <w:rFonts w:eastAsia="宋体"/>
          <w:b/>
          <w:bCs/>
        </w:rPr>
        <w:t>固（液）体</w:t>
      </w:r>
      <w:r>
        <w:rPr>
          <w:rFonts w:hint="eastAsia" w:eastAsia="宋体"/>
          <w:b/>
          <w:bCs/>
        </w:rPr>
        <w:t>废物产生</w:t>
      </w:r>
      <w:r>
        <w:rPr>
          <w:rFonts w:eastAsia="宋体"/>
          <w:b/>
          <w:bCs/>
        </w:rPr>
        <w:t>情况一览表</w:t>
      </w:r>
    </w:p>
    <w:tbl>
      <w:tblPr>
        <w:tblStyle w:val="38"/>
        <w:tblW w:w="511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51"/>
        <w:gridCol w:w="1483"/>
        <w:gridCol w:w="1067"/>
        <w:gridCol w:w="1067"/>
        <w:gridCol w:w="1543"/>
        <w:gridCol w:w="1566"/>
        <w:gridCol w:w="18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452"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序号</w:t>
            </w:r>
          </w:p>
        </w:tc>
        <w:tc>
          <w:tcPr>
            <w:tcW w:w="788"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固废名称</w:t>
            </w:r>
          </w:p>
        </w:tc>
        <w:tc>
          <w:tcPr>
            <w:tcW w:w="567"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产生工序</w:t>
            </w:r>
          </w:p>
        </w:tc>
        <w:tc>
          <w:tcPr>
            <w:tcW w:w="567"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形态</w:t>
            </w:r>
          </w:p>
        </w:tc>
        <w:tc>
          <w:tcPr>
            <w:tcW w:w="820"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属性</w:t>
            </w:r>
          </w:p>
        </w:tc>
        <w:tc>
          <w:tcPr>
            <w:tcW w:w="832"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产生量（t/a）</w:t>
            </w:r>
          </w:p>
        </w:tc>
        <w:tc>
          <w:tcPr>
            <w:tcW w:w="969"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处置方式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452"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w w:val="99"/>
                <w:sz w:val="21"/>
                <w:szCs w:val="21"/>
              </w:rPr>
              <w:t>1</w:t>
            </w:r>
          </w:p>
        </w:tc>
        <w:tc>
          <w:tcPr>
            <w:tcW w:w="788" w:type="pct"/>
            <w:tcBorders>
              <w:tl2br w:val="nil"/>
              <w:tr2bl w:val="nil"/>
            </w:tcBorders>
            <w:vAlign w:val="center"/>
          </w:tcPr>
          <w:p>
            <w:pPr>
              <w:jc w:val="center"/>
              <w:rPr>
                <w:rFonts w:eastAsia="宋体"/>
                <w:sz w:val="21"/>
                <w:szCs w:val="21"/>
              </w:rPr>
            </w:pPr>
            <w:r>
              <w:rPr>
                <w:rFonts w:hint="eastAsia" w:eastAsia="宋体"/>
                <w:sz w:val="21"/>
                <w:szCs w:val="21"/>
                <w:lang w:val="en-US" w:eastAsia="zh-CN"/>
              </w:rPr>
              <w:t>木材边角料</w:t>
            </w:r>
          </w:p>
        </w:tc>
        <w:tc>
          <w:tcPr>
            <w:tcW w:w="567" w:type="pct"/>
            <w:tcBorders>
              <w:tl2br w:val="nil"/>
              <w:tr2bl w:val="nil"/>
            </w:tcBorders>
            <w:vAlign w:val="center"/>
          </w:tcPr>
          <w:p>
            <w:pPr>
              <w:jc w:val="center"/>
              <w:rPr>
                <w:rFonts w:eastAsia="宋体"/>
                <w:sz w:val="21"/>
                <w:szCs w:val="21"/>
              </w:rPr>
            </w:pPr>
            <w:r>
              <w:rPr>
                <w:rFonts w:hint="eastAsia" w:eastAsia="宋体"/>
                <w:sz w:val="21"/>
                <w:szCs w:val="21"/>
                <w:lang w:val="en-US" w:eastAsia="zh-CN"/>
              </w:rPr>
              <w:t>下料、精加工</w:t>
            </w:r>
          </w:p>
        </w:tc>
        <w:tc>
          <w:tcPr>
            <w:tcW w:w="567" w:type="pct"/>
            <w:tcBorders>
              <w:tl2br w:val="nil"/>
              <w:tr2bl w:val="nil"/>
            </w:tcBorders>
            <w:vAlign w:val="center"/>
          </w:tcPr>
          <w:p>
            <w:pPr>
              <w:jc w:val="center"/>
              <w:rPr>
                <w:rFonts w:eastAsia="宋体"/>
                <w:sz w:val="21"/>
                <w:szCs w:val="21"/>
              </w:rPr>
            </w:pPr>
            <w:r>
              <w:rPr>
                <w:rFonts w:eastAsia="宋体"/>
                <w:sz w:val="21"/>
                <w:szCs w:val="21"/>
              </w:rPr>
              <w:t>固体</w:t>
            </w:r>
          </w:p>
        </w:tc>
        <w:tc>
          <w:tcPr>
            <w:tcW w:w="820" w:type="pct"/>
            <w:vMerge w:val="restar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一般固废</w:t>
            </w:r>
          </w:p>
        </w:tc>
        <w:tc>
          <w:tcPr>
            <w:tcW w:w="832"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zh-CN" w:eastAsia="zh-CN"/>
              </w:rPr>
              <w:t>141</w:t>
            </w:r>
          </w:p>
        </w:tc>
        <w:tc>
          <w:tcPr>
            <w:tcW w:w="969" w:type="pct"/>
            <w:vMerge w:val="restar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外售综合利用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452"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w w:val="99"/>
                <w:sz w:val="21"/>
                <w:szCs w:val="21"/>
              </w:rPr>
              <w:t>2</w:t>
            </w:r>
          </w:p>
        </w:tc>
        <w:tc>
          <w:tcPr>
            <w:tcW w:w="788" w:type="pct"/>
            <w:tcBorders>
              <w:tl2br w:val="nil"/>
              <w:tr2bl w:val="nil"/>
            </w:tcBorders>
            <w:vAlign w:val="center"/>
          </w:tcPr>
          <w:p>
            <w:pPr>
              <w:jc w:val="center"/>
              <w:rPr>
                <w:rFonts w:eastAsia="宋体"/>
                <w:sz w:val="21"/>
                <w:szCs w:val="21"/>
              </w:rPr>
            </w:pPr>
            <w:r>
              <w:rPr>
                <w:rFonts w:hint="eastAsia" w:eastAsia="宋体"/>
                <w:sz w:val="21"/>
                <w:szCs w:val="21"/>
                <w:lang w:val="en-US" w:eastAsia="zh-CN"/>
              </w:rPr>
              <w:t>废零件</w:t>
            </w:r>
          </w:p>
        </w:tc>
        <w:tc>
          <w:tcPr>
            <w:tcW w:w="567" w:type="pct"/>
            <w:tcBorders>
              <w:tl2br w:val="nil"/>
              <w:tr2bl w:val="nil"/>
            </w:tcBorders>
            <w:vAlign w:val="center"/>
          </w:tcPr>
          <w:p>
            <w:pPr>
              <w:jc w:val="center"/>
              <w:rPr>
                <w:rFonts w:eastAsia="宋体"/>
                <w:sz w:val="21"/>
                <w:szCs w:val="21"/>
              </w:rPr>
            </w:pPr>
            <w:r>
              <w:rPr>
                <w:rFonts w:hint="eastAsia" w:eastAsia="宋体"/>
                <w:sz w:val="21"/>
                <w:szCs w:val="21"/>
                <w:lang w:val="en-US" w:eastAsia="zh-CN"/>
              </w:rPr>
              <w:t>试装</w:t>
            </w:r>
          </w:p>
        </w:tc>
        <w:tc>
          <w:tcPr>
            <w:tcW w:w="567" w:type="pct"/>
            <w:tcBorders>
              <w:tl2br w:val="nil"/>
              <w:tr2bl w:val="nil"/>
            </w:tcBorders>
            <w:vAlign w:val="center"/>
          </w:tcPr>
          <w:p>
            <w:pPr>
              <w:jc w:val="center"/>
              <w:rPr>
                <w:rFonts w:eastAsia="宋体"/>
                <w:sz w:val="21"/>
                <w:szCs w:val="21"/>
              </w:rPr>
            </w:pPr>
            <w:r>
              <w:rPr>
                <w:rFonts w:eastAsia="宋体"/>
                <w:sz w:val="21"/>
                <w:szCs w:val="21"/>
              </w:rPr>
              <w:t>固体</w:t>
            </w:r>
          </w:p>
        </w:tc>
        <w:tc>
          <w:tcPr>
            <w:tcW w:w="820" w:type="pct"/>
            <w:vMerge w:val="continue"/>
            <w:tcBorders>
              <w:tl2br w:val="nil"/>
              <w:tr2bl w:val="nil"/>
            </w:tcBorders>
            <w:vAlign w:val="center"/>
          </w:tcPr>
          <w:p>
            <w:pPr>
              <w:pStyle w:val="142"/>
              <w:rPr>
                <w:rFonts w:ascii="Times New Roman" w:hAnsi="Times New Roman" w:cs="Times New Roman"/>
                <w:sz w:val="21"/>
                <w:szCs w:val="21"/>
              </w:rPr>
            </w:pPr>
          </w:p>
        </w:tc>
        <w:tc>
          <w:tcPr>
            <w:tcW w:w="832"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zh-CN" w:eastAsia="zh-CN"/>
              </w:rPr>
              <w:t>0.02</w:t>
            </w:r>
          </w:p>
        </w:tc>
        <w:tc>
          <w:tcPr>
            <w:tcW w:w="969" w:type="pct"/>
            <w:vMerge w:val="continue"/>
            <w:tcBorders>
              <w:tl2br w:val="nil"/>
              <w:tr2bl w:val="nil"/>
            </w:tcBorders>
            <w:vAlign w:val="center"/>
          </w:tcPr>
          <w:p>
            <w:pPr>
              <w:pStyle w:val="142"/>
              <w:rPr>
                <w:rFonts w:ascii="Times New Roman" w:hAnsi="Times New Roman"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452" w:type="pc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w w:val="99"/>
                <w:sz w:val="21"/>
                <w:szCs w:val="21"/>
              </w:rPr>
              <w:t>3</w:t>
            </w:r>
          </w:p>
        </w:tc>
        <w:tc>
          <w:tcPr>
            <w:tcW w:w="788" w:type="pct"/>
            <w:tcBorders>
              <w:tl2br w:val="nil"/>
              <w:tr2bl w:val="nil"/>
            </w:tcBorders>
            <w:vAlign w:val="center"/>
          </w:tcPr>
          <w:p>
            <w:pPr>
              <w:jc w:val="center"/>
              <w:rPr>
                <w:rFonts w:eastAsia="宋体"/>
                <w:sz w:val="21"/>
                <w:szCs w:val="21"/>
              </w:rPr>
            </w:pPr>
            <w:r>
              <w:rPr>
                <w:rFonts w:hint="eastAsia" w:eastAsia="宋体"/>
                <w:sz w:val="21"/>
                <w:szCs w:val="21"/>
                <w:lang w:val="en-US" w:eastAsia="zh-CN"/>
              </w:rPr>
              <w:t>除尘器收尘</w:t>
            </w:r>
          </w:p>
        </w:tc>
        <w:tc>
          <w:tcPr>
            <w:tcW w:w="567" w:type="pct"/>
            <w:tcBorders>
              <w:tl2br w:val="nil"/>
              <w:tr2bl w:val="nil"/>
            </w:tcBorders>
            <w:vAlign w:val="center"/>
          </w:tcPr>
          <w:p>
            <w:pPr>
              <w:jc w:val="center"/>
              <w:rPr>
                <w:rFonts w:eastAsia="宋体"/>
                <w:sz w:val="21"/>
                <w:szCs w:val="21"/>
              </w:rPr>
            </w:pPr>
            <w:r>
              <w:rPr>
                <w:rFonts w:hint="eastAsia" w:eastAsia="宋体"/>
                <w:sz w:val="21"/>
                <w:szCs w:val="21"/>
                <w:lang w:val="en-US" w:eastAsia="zh-CN"/>
              </w:rPr>
              <w:t>废气处理</w:t>
            </w:r>
          </w:p>
        </w:tc>
        <w:tc>
          <w:tcPr>
            <w:tcW w:w="567" w:type="pct"/>
            <w:tcBorders>
              <w:tl2br w:val="nil"/>
              <w:tr2bl w:val="nil"/>
            </w:tcBorders>
            <w:vAlign w:val="center"/>
          </w:tcPr>
          <w:p>
            <w:pPr>
              <w:jc w:val="center"/>
              <w:rPr>
                <w:rFonts w:eastAsia="宋体"/>
                <w:sz w:val="21"/>
                <w:szCs w:val="21"/>
              </w:rPr>
            </w:pPr>
            <w:r>
              <w:rPr>
                <w:rFonts w:eastAsia="宋体"/>
                <w:sz w:val="21"/>
                <w:szCs w:val="21"/>
              </w:rPr>
              <w:t>固体</w:t>
            </w:r>
          </w:p>
        </w:tc>
        <w:tc>
          <w:tcPr>
            <w:tcW w:w="820" w:type="pct"/>
            <w:vMerge w:val="continue"/>
            <w:tcBorders>
              <w:tl2br w:val="nil"/>
              <w:tr2bl w:val="nil"/>
            </w:tcBorders>
            <w:vAlign w:val="center"/>
          </w:tcPr>
          <w:p>
            <w:pPr>
              <w:pStyle w:val="142"/>
              <w:rPr>
                <w:rFonts w:ascii="Times New Roman" w:hAnsi="Times New Roman" w:cs="Times New Roman"/>
                <w:sz w:val="21"/>
                <w:szCs w:val="21"/>
              </w:rPr>
            </w:pPr>
          </w:p>
        </w:tc>
        <w:tc>
          <w:tcPr>
            <w:tcW w:w="832"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zh-CN" w:eastAsia="zh-CN"/>
              </w:rPr>
              <w:t>2.2464</w:t>
            </w:r>
          </w:p>
        </w:tc>
        <w:tc>
          <w:tcPr>
            <w:tcW w:w="969" w:type="pct"/>
            <w:vMerge w:val="continue"/>
            <w:tcBorders>
              <w:tl2br w:val="nil"/>
              <w:tr2bl w:val="nil"/>
            </w:tcBorders>
            <w:vAlign w:val="center"/>
          </w:tcPr>
          <w:p>
            <w:pPr>
              <w:pStyle w:val="142"/>
              <w:rPr>
                <w:rFonts w:ascii="Times New Roman" w:hAnsi="Times New Roman"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452" w:type="pct"/>
            <w:tcBorders>
              <w:tl2br w:val="nil"/>
              <w:tr2bl w:val="nil"/>
            </w:tcBorders>
            <w:vAlign w:val="center"/>
          </w:tcPr>
          <w:p>
            <w:pPr>
              <w:pStyle w:val="142"/>
              <w:rPr>
                <w:rFonts w:ascii="Times New Roman" w:hAnsi="Times New Roman" w:cs="Times New Roman"/>
                <w:w w:val="99"/>
                <w:sz w:val="21"/>
                <w:szCs w:val="21"/>
              </w:rPr>
            </w:pPr>
            <w:r>
              <w:rPr>
                <w:rFonts w:ascii="Times New Roman" w:hAnsi="Times New Roman" w:cs="Times New Roman"/>
                <w:w w:val="99"/>
                <w:sz w:val="21"/>
                <w:szCs w:val="21"/>
              </w:rPr>
              <w:t>4</w:t>
            </w:r>
          </w:p>
        </w:tc>
        <w:tc>
          <w:tcPr>
            <w:tcW w:w="788" w:type="pct"/>
            <w:tcBorders>
              <w:tl2br w:val="nil"/>
              <w:tr2bl w:val="nil"/>
            </w:tcBorders>
            <w:vAlign w:val="center"/>
          </w:tcPr>
          <w:p>
            <w:pPr>
              <w:jc w:val="center"/>
              <w:rPr>
                <w:rFonts w:eastAsia="宋体"/>
                <w:sz w:val="21"/>
                <w:szCs w:val="21"/>
              </w:rPr>
            </w:pPr>
            <w:r>
              <w:rPr>
                <w:rFonts w:hint="eastAsia" w:eastAsia="宋体"/>
                <w:sz w:val="21"/>
                <w:szCs w:val="21"/>
                <w:lang w:val="en-US" w:eastAsia="zh-CN"/>
              </w:rPr>
              <w:t>废包装材料</w:t>
            </w:r>
          </w:p>
        </w:tc>
        <w:tc>
          <w:tcPr>
            <w:tcW w:w="567" w:type="pct"/>
            <w:tcBorders>
              <w:tl2br w:val="nil"/>
              <w:tr2bl w:val="nil"/>
            </w:tcBorders>
            <w:vAlign w:val="center"/>
          </w:tcPr>
          <w:p>
            <w:pPr>
              <w:jc w:val="center"/>
              <w:rPr>
                <w:rFonts w:eastAsia="宋体"/>
                <w:sz w:val="21"/>
                <w:szCs w:val="21"/>
              </w:rPr>
            </w:pPr>
            <w:r>
              <w:rPr>
                <w:rFonts w:hint="eastAsia" w:eastAsia="宋体"/>
                <w:sz w:val="21"/>
                <w:szCs w:val="21"/>
                <w:lang w:val="en-US" w:eastAsia="zh-CN"/>
              </w:rPr>
              <w:t>包装</w:t>
            </w:r>
          </w:p>
        </w:tc>
        <w:tc>
          <w:tcPr>
            <w:tcW w:w="567" w:type="pct"/>
            <w:tcBorders>
              <w:tl2br w:val="nil"/>
              <w:tr2bl w:val="nil"/>
            </w:tcBorders>
            <w:vAlign w:val="center"/>
          </w:tcPr>
          <w:p>
            <w:pPr>
              <w:jc w:val="center"/>
              <w:rPr>
                <w:rFonts w:eastAsia="宋体"/>
                <w:sz w:val="21"/>
                <w:szCs w:val="21"/>
              </w:rPr>
            </w:pPr>
            <w:r>
              <w:rPr>
                <w:rFonts w:eastAsia="宋体"/>
                <w:sz w:val="21"/>
                <w:szCs w:val="21"/>
              </w:rPr>
              <w:t>固体</w:t>
            </w:r>
          </w:p>
        </w:tc>
        <w:tc>
          <w:tcPr>
            <w:tcW w:w="820" w:type="pct"/>
            <w:vMerge w:val="continue"/>
            <w:tcBorders>
              <w:tl2br w:val="nil"/>
              <w:tr2bl w:val="nil"/>
            </w:tcBorders>
            <w:vAlign w:val="center"/>
          </w:tcPr>
          <w:p>
            <w:pPr>
              <w:pStyle w:val="142"/>
              <w:rPr>
                <w:rFonts w:ascii="Times New Roman" w:hAnsi="Times New Roman" w:cs="Times New Roman"/>
                <w:sz w:val="21"/>
                <w:szCs w:val="21"/>
              </w:rPr>
            </w:pPr>
          </w:p>
        </w:tc>
        <w:tc>
          <w:tcPr>
            <w:tcW w:w="832"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zh-CN" w:eastAsia="zh-CN"/>
              </w:rPr>
              <w:t>0.5</w:t>
            </w:r>
          </w:p>
        </w:tc>
        <w:tc>
          <w:tcPr>
            <w:tcW w:w="969" w:type="pct"/>
            <w:vMerge w:val="continue"/>
            <w:tcBorders>
              <w:tl2br w:val="nil"/>
              <w:tr2bl w:val="nil"/>
            </w:tcBorders>
            <w:vAlign w:val="center"/>
          </w:tcPr>
          <w:p>
            <w:pPr>
              <w:pStyle w:val="142"/>
              <w:rPr>
                <w:rFonts w:ascii="Times New Roman" w:hAnsi="Times New Roman"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452" w:type="pct"/>
            <w:tcBorders>
              <w:tl2br w:val="nil"/>
              <w:tr2bl w:val="nil"/>
            </w:tcBorders>
            <w:vAlign w:val="center"/>
          </w:tcPr>
          <w:p>
            <w:pPr>
              <w:pStyle w:val="142"/>
              <w:rPr>
                <w:rFonts w:ascii="Times New Roman" w:hAnsi="Times New Roman" w:eastAsia="宋体" w:cs="Times New Roman"/>
                <w:w w:val="99"/>
                <w:kern w:val="2"/>
                <w:sz w:val="21"/>
                <w:szCs w:val="21"/>
                <w:lang w:val="en-US" w:eastAsia="zh-CN" w:bidi="ar-SA"/>
              </w:rPr>
            </w:pPr>
            <w:bookmarkStart w:id="133" w:name="_Toc20765"/>
            <w:bookmarkStart w:id="134" w:name="_Toc6390"/>
            <w:bookmarkStart w:id="135" w:name="_Toc8506"/>
            <w:r>
              <w:rPr>
                <w:rFonts w:ascii="Times New Roman" w:hAnsi="Times New Roman" w:cs="Times New Roman"/>
                <w:w w:val="99"/>
                <w:sz w:val="21"/>
                <w:szCs w:val="21"/>
              </w:rPr>
              <w:t>5</w:t>
            </w:r>
          </w:p>
        </w:tc>
        <w:tc>
          <w:tcPr>
            <w:tcW w:w="788" w:type="pct"/>
            <w:tcBorders>
              <w:tl2br w:val="nil"/>
              <w:tr2bl w:val="nil"/>
            </w:tcBorders>
            <w:vAlign w:val="center"/>
          </w:tcPr>
          <w:p>
            <w:pPr>
              <w:jc w:val="center"/>
              <w:rPr>
                <w:rFonts w:hint="eastAsia" w:eastAsia="宋体"/>
                <w:sz w:val="21"/>
                <w:szCs w:val="21"/>
                <w:lang w:val="en-US" w:eastAsia="zh-CN"/>
              </w:rPr>
            </w:pPr>
            <w:r>
              <w:rPr>
                <w:rFonts w:hint="eastAsia" w:eastAsia="宋体"/>
                <w:sz w:val="21"/>
                <w:szCs w:val="21"/>
                <w:lang w:val="en-US" w:eastAsia="zh-CN"/>
              </w:rPr>
              <w:t>废材料</w:t>
            </w:r>
          </w:p>
        </w:tc>
        <w:tc>
          <w:tcPr>
            <w:tcW w:w="567" w:type="pct"/>
            <w:tcBorders>
              <w:tl2br w:val="nil"/>
              <w:tr2bl w:val="nil"/>
            </w:tcBorders>
            <w:vAlign w:val="center"/>
          </w:tcPr>
          <w:p>
            <w:pPr>
              <w:jc w:val="center"/>
              <w:rPr>
                <w:rFonts w:hint="eastAsia" w:eastAsia="宋体"/>
                <w:sz w:val="21"/>
                <w:szCs w:val="21"/>
                <w:lang w:val="en-US" w:eastAsia="zh-CN"/>
              </w:rPr>
            </w:pPr>
            <w:r>
              <w:rPr>
                <w:rFonts w:hint="eastAsia" w:eastAsia="宋体"/>
                <w:sz w:val="21"/>
                <w:szCs w:val="21"/>
                <w:lang w:val="en-US" w:eastAsia="zh-CN"/>
              </w:rPr>
              <w:t>裁剪</w:t>
            </w:r>
          </w:p>
        </w:tc>
        <w:tc>
          <w:tcPr>
            <w:tcW w:w="567" w:type="pct"/>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固体</w:t>
            </w:r>
          </w:p>
        </w:tc>
        <w:tc>
          <w:tcPr>
            <w:tcW w:w="820" w:type="pct"/>
            <w:vMerge w:val="continue"/>
            <w:tcBorders>
              <w:tl2br w:val="nil"/>
              <w:tr2bl w:val="nil"/>
            </w:tcBorders>
            <w:vAlign w:val="center"/>
          </w:tcPr>
          <w:p>
            <w:pPr>
              <w:pStyle w:val="142"/>
              <w:rPr>
                <w:rFonts w:ascii="Times New Roman" w:hAnsi="Times New Roman" w:cs="Times New Roman"/>
                <w:sz w:val="21"/>
                <w:szCs w:val="21"/>
              </w:rPr>
            </w:pPr>
          </w:p>
        </w:tc>
        <w:tc>
          <w:tcPr>
            <w:tcW w:w="832"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zh-CN" w:eastAsia="zh-CN"/>
              </w:rPr>
              <w:t>0.1</w:t>
            </w:r>
          </w:p>
        </w:tc>
        <w:tc>
          <w:tcPr>
            <w:tcW w:w="969" w:type="pct"/>
            <w:vMerge w:val="continue"/>
            <w:tcBorders>
              <w:tl2br w:val="nil"/>
              <w:tr2bl w:val="nil"/>
            </w:tcBorders>
            <w:vAlign w:val="center"/>
          </w:tcPr>
          <w:p>
            <w:pPr>
              <w:pStyle w:val="142"/>
              <w:rPr>
                <w:rFonts w:ascii="Times New Roman" w:hAnsi="Times New Roman"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452" w:type="pct"/>
            <w:tcBorders>
              <w:tl2br w:val="nil"/>
              <w:tr2bl w:val="nil"/>
            </w:tcBorders>
            <w:vAlign w:val="center"/>
          </w:tcPr>
          <w:p>
            <w:pPr>
              <w:pStyle w:val="142"/>
              <w:rPr>
                <w:rFonts w:hint="eastAsia" w:ascii="Times New Roman" w:hAnsi="Times New Roman" w:eastAsia="宋体" w:cs="Times New Roman"/>
                <w:w w:val="99"/>
                <w:kern w:val="2"/>
                <w:sz w:val="21"/>
                <w:szCs w:val="21"/>
                <w:lang w:val="en-US" w:eastAsia="zh-CN" w:bidi="ar-SA"/>
              </w:rPr>
            </w:pPr>
            <w:r>
              <w:rPr>
                <w:rFonts w:hint="eastAsia" w:ascii="Times New Roman" w:hAnsi="Times New Roman" w:cs="Times New Roman"/>
                <w:w w:val="99"/>
                <w:sz w:val="21"/>
                <w:szCs w:val="21"/>
                <w:lang w:val="en-US" w:eastAsia="zh-CN"/>
              </w:rPr>
              <w:t>6</w:t>
            </w:r>
          </w:p>
        </w:tc>
        <w:tc>
          <w:tcPr>
            <w:tcW w:w="788" w:type="pct"/>
            <w:tcBorders>
              <w:tl2br w:val="nil"/>
              <w:tr2bl w:val="nil"/>
            </w:tcBorders>
            <w:vAlign w:val="center"/>
          </w:tcPr>
          <w:p>
            <w:pPr>
              <w:jc w:val="center"/>
              <w:rPr>
                <w:rFonts w:eastAsia="宋体"/>
                <w:sz w:val="21"/>
                <w:szCs w:val="21"/>
              </w:rPr>
            </w:pPr>
            <w:r>
              <w:rPr>
                <w:rFonts w:hint="eastAsia" w:eastAsia="宋体"/>
                <w:sz w:val="21"/>
                <w:szCs w:val="21"/>
                <w:lang w:val="en-US" w:eastAsia="zh-CN"/>
              </w:rPr>
              <w:t>生活垃圾</w:t>
            </w:r>
          </w:p>
        </w:tc>
        <w:tc>
          <w:tcPr>
            <w:tcW w:w="567" w:type="pct"/>
            <w:tcBorders>
              <w:tl2br w:val="nil"/>
              <w:tr2bl w:val="nil"/>
            </w:tcBorders>
            <w:vAlign w:val="center"/>
          </w:tcPr>
          <w:p>
            <w:pPr>
              <w:jc w:val="center"/>
              <w:rPr>
                <w:rFonts w:eastAsia="宋体"/>
                <w:sz w:val="21"/>
                <w:szCs w:val="21"/>
              </w:rPr>
            </w:pPr>
            <w:r>
              <w:rPr>
                <w:rFonts w:hint="eastAsia" w:eastAsia="宋体"/>
                <w:sz w:val="21"/>
                <w:szCs w:val="21"/>
                <w:lang w:val="en-US" w:eastAsia="zh-CN"/>
              </w:rPr>
              <w:t>办公生活</w:t>
            </w:r>
          </w:p>
        </w:tc>
        <w:tc>
          <w:tcPr>
            <w:tcW w:w="567" w:type="pct"/>
            <w:tcBorders>
              <w:tl2br w:val="nil"/>
              <w:tr2bl w:val="nil"/>
            </w:tcBorders>
            <w:vAlign w:val="center"/>
          </w:tcPr>
          <w:p>
            <w:pPr>
              <w:jc w:val="center"/>
              <w:rPr>
                <w:rFonts w:eastAsia="宋体"/>
                <w:sz w:val="21"/>
                <w:szCs w:val="21"/>
              </w:rPr>
            </w:pPr>
            <w:r>
              <w:rPr>
                <w:rFonts w:eastAsia="宋体"/>
                <w:sz w:val="21"/>
                <w:szCs w:val="21"/>
              </w:rPr>
              <w:t>固体</w:t>
            </w:r>
          </w:p>
        </w:tc>
        <w:tc>
          <w:tcPr>
            <w:tcW w:w="820" w:type="pct"/>
            <w:vMerge w:val="continue"/>
            <w:tcBorders>
              <w:tl2br w:val="nil"/>
              <w:tr2bl w:val="nil"/>
            </w:tcBorders>
            <w:vAlign w:val="center"/>
          </w:tcPr>
          <w:p>
            <w:pPr>
              <w:pStyle w:val="142"/>
              <w:rPr>
                <w:rFonts w:ascii="Times New Roman" w:hAnsi="Times New Roman" w:cs="Times New Roman"/>
                <w:sz w:val="21"/>
                <w:szCs w:val="21"/>
              </w:rPr>
            </w:pPr>
          </w:p>
        </w:tc>
        <w:tc>
          <w:tcPr>
            <w:tcW w:w="832" w:type="pct"/>
            <w:tcBorders>
              <w:tl2br w:val="nil"/>
              <w:tr2bl w:val="nil"/>
            </w:tcBorders>
            <w:vAlign w:val="center"/>
          </w:tcPr>
          <w:p>
            <w:pPr>
              <w:spacing w:line="240" w:lineRule="atLeast"/>
              <w:jc w:val="center"/>
              <w:rPr>
                <w:rFonts w:hint="default" w:ascii="Times New Roman" w:hAnsi="Times New Roman" w:eastAsia="仿宋" w:cs="Times New Roman"/>
                <w:color w:val="auto"/>
                <w:kern w:val="2"/>
                <w:sz w:val="21"/>
                <w:szCs w:val="21"/>
                <w:lang w:val="en-US" w:eastAsia="zh-CN" w:bidi="ar-SA"/>
              </w:rPr>
            </w:pPr>
            <w:r>
              <w:rPr>
                <w:rFonts w:hint="default"/>
                <w:bCs/>
                <w:sz w:val="18"/>
                <w:szCs w:val="18"/>
              </w:rPr>
              <w:t>7.5</w:t>
            </w:r>
          </w:p>
        </w:tc>
        <w:tc>
          <w:tcPr>
            <w:tcW w:w="969" w:type="pct"/>
            <w:vMerge w:val="restart"/>
            <w:tcBorders>
              <w:tl2br w:val="nil"/>
              <w:tr2bl w:val="nil"/>
            </w:tcBorders>
            <w:vAlign w:val="center"/>
          </w:tcPr>
          <w:p>
            <w:pPr>
              <w:pStyle w:val="142"/>
              <w:rPr>
                <w:rFonts w:ascii="Times New Roman" w:hAnsi="Times New Roman" w:cs="Times New Roman"/>
                <w:sz w:val="21"/>
                <w:szCs w:val="21"/>
              </w:rPr>
            </w:pPr>
            <w:r>
              <w:rPr>
                <w:rFonts w:ascii="Times New Roman" w:hAnsi="Times New Roman" w:cs="Times New Roman"/>
                <w:sz w:val="21"/>
                <w:szCs w:val="21"/>
              </w:rPr>
              <w:t>环卫清运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452" w:type="pct"/>
            <w:tcBorders>
              <w:tl2br w:val="nil"/>
              <w:tr2bl w:val="nil"/>
            </w:tcBorders>
            <w:vAlign w:val="center"/>
          </w:tcPr>
          <w:p>
            <w:pPr>
              <w:pStyle w:val="142"/>
              <w:rPr>
                <w:rFonts w:hint="eastAsia" w:ascii="Times New Roman" w:hAnsi="Times New Roman" w:eastAsia="宋体" w:cs="Times New Roman"/>
                <w:w w:val="99"/>
                <w:kern w:val="2"/>
                <w:sz w:val="21"/>
                <w:szCs w:val="21"/>
                <w:lang w:val="en-US" w:eastAsia="zh-CN" w:bidi="ar-SA"/>
              </w:rPr>
            </w:pPr>
            <w:bookmarkStart w:id="136" w:name="_Toc398"/>
            <w:r>
              <w:rPr>
                <w:rFonts w:hint="eastAsia" w:ascii="Times New Roman" w:hAnsi="Times New Roman" w:cs="Times New Roman"/>
                <w:w w:val="99"/>
                <w:sz w:val="21"/>
                <w:szCs w:val="21"/>
                <w:lang w:val="en-US" w:eastAsia="zh-CN"/>
              </w:rPr>
              <w:t>7</w:t>
            </w:r>
          </w:p>
        </w:tc>
        <w:tc>
          <w:tcPr>
            <w:tcW w:w="788" w:type="pct"/>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餐厨垃圾</w:t>
            </w:r>
          </w:p>
        </w:tc>
        <w:tc>
          <w:tcPr>
            <w:tcW w:w="567" w:type="pct"/>
            <w:tcBorders>
              <w:tl2br w:val="nil"/>
              <w:tr2bl w:val="nil"/>
            </w:tcBorders>
            <w:vAlign w:val="center"/>
          </w:tcPr>
          <w:p>
            <w:pPr>
              <w:jc w:val="center"/>
              <w:rPr>
                <w:rFonts w:hint="eastAsia" w:eastAsia="宋体"/>
                <w:sz w:val="21"/>
                <w:szCs w:val="21"/>
                <w:lang w:val="en-US" w:eastAsia="zh-CN"/>
              </w:rPr>
            </w:pPr>
            <w:r>
              <w:rPr>
                <w:rFonts w:hint="eastAsia" w:eastAsia="宋体"/>
                <w:sz w:val="21"/>
                <w:szCs w:val="21"/>
                <w:lang w:val="en-US" w:eastAsia="zh-CN"/>
              </w:rPr>
              <w:t>食堂</w:t>
            </w:r>
          </w:p>
        </w:tc>
        <w:tc>
          <w:tcPr>
            <w:tcW w:w="567" w:type="pct"/>
            <w:tcBorders>
              <w:tl2br w:val="nil"/>
              <w:tr2bl w:val="nil"/>
            </w:tcBorders>
            <w:vAlign w:val="center"/>
          </w:tcPr>
          <w:p>
            <w:pPr>
              <w:jc w:val="center"/>
              <w:rPr>
                <w:rFonts w:eastAsia="宋体"/>
                <w:sz w:val="21"/>
                <w:szCs w:val="21"/>
              </w:rPr>
            </w:pPr>
            <w:r>
              <w:rPr>
                <w:rFonts w:eastAsia="宋体"/>
                <w:sz w:val="21"/>
                <w:szCs w:val="21"/>
              </w:rPr>
              <w:t>固体</w:t>
            </w:r>
          </w:p>
        </w:tc>
        <w:tc>
          <w:tcPr>
            <w:tcW w:w="820" w:type="pct"/>
            <w:vMerge w:val="continue"/>
            <w:tcBorders>
              <w:tl2br w:val="nil"/>
              <w:tr2bl w:val="nil"/>
            </w:tcBorders>
            <w:vAlign w:val="center"/>
          </w:tcPr>
          <w:p>
            <w:pPr>
              <w:pStyle w:val="142"/>
              <w:rPr>
                <w:rFonts w:ascii="Times New Roman" w:hAnsi="Times New Roman" w:cs="Times New Roman"/>
                <w:sz w:val="21"/>
                <w:szCs w:val="21"/>
              </w:rPr>
            </w:pPr>
          </w:p>
        </w:tc>
        <w:tc>
          <w:tcPr>
            <w:tcW w:w="832"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zh-CN" w:eastAsia="zh-CN"/>
              </w:rPr>
              <w:t>4.5</w:t>
            </w:r>
          </w:p>
        </w:tc>
        <w:tc>
          <w:tcPr>
            <w:tcW w:w="969" w:type="pct"/>
            <w:vMerge w:val="continue"/>
            <w:tcBorders>
              <w:tl2br w:val="nil"/>
              <w:tr2bl w:val="nil"/>
            </w:tcBorders>
            <w:vAlign w:val="center"/>
          </w:tcPr>
          <w:p>
            <w:pPr>
              <w:pStyle w:val="142"/>
              <w:rPr>
                <w:rFonts w:ascii="Times New Roman" w:hAnsi="Times New Roman"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452" w:type="pct"/>
            <w:tcBorders>
              <w:tl2br w:val="nil"/>
              <w:tr2bl w:val="nil"/>
            </w:tcBorders>
            <w:vAlign w:val="center"/>
          </w:tcPr>
          <w:p>
            <w:pPr>
              <w:pStyle w:val="142"/>
              <w:rPr>
                <w:rFonts w:hint="eastAsia" w:ascii="Times New Roman" w:hAnsi="Times New Roman" w:eastAsia="宋体" w:cs="Times New Roman"/>
                <w:w w:val="99"/>
                <w:sz w:val="21"/>
                <w:szCs w:val="21"/>
                <w:lang w:val="en-US" w:eastAsia="zh-CN"/>
              </w:rPr>
            </w:pPr>
            <w:r>
              <w:rPr>
                <w:rFonts w:hint="eastAsia" w:ascii="Times New Roman" w:hAnsi="Times New Roman" w:cs="Times New Roman"/>
                <w:w w:val="99"/>
                <w:sz w:val="21"/>
                <w:szCs w:val="21"/>
                <w:lang w:val="en-US" w:eastAsia="zh-CN"/>
              </w:rPr>
              <w:t>8</w:t>
            </w:r>
          </w:p>
        </w:tc>
        <w:tc>
          <w:tcPr>
            <w:tcW w:w="788" w:type="pct"/>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废油脂</w:t>
            </w:r>
          </w:p>
        </w:tc>
        <w:tc>
          <w:tcPr>
            <w:tcW w:w="567" w:type="pct"/>
            <w:tcBorders>
              <w:tl2br w:val="nil"/>
              <w:tr2bl w:val="nil"/>
            </w:tcBorders>
            <w:vAlign w:val="center"/>
          </w:tcPr>
          <w:p>
            <w:pPr>
              <w:jc w:val="center"/>
              <w:rPr>
                <w:rFonts w:hint="eastAsia" w:eastAsia="宋体"/>
                <w:sz w:val="21"/>
                <w:szCs w:val="21"/>
                <w:lang w:val="en-US" w:eastAsia="zh-CN"/>
              </w:rPr>
            </w:pPr>
            <w:r>
              <w:rPr>
                <w:rFonts w:hint="eastAsia" w:eastAsia="宋体"/>
                <w:sz w:val="21"/>
                <w:szCs w:val="21"/>
                <w:lang w:val="en-US" w:eastAsia="zh-CN"/>
              </w:rPr>
              <w:t>食堂</w:t>
            </w:r>
          </w:p>
        </w:tc>
        <w:tc>
          <w:tcPr>
            <w:tcW w:w="567" w:type="pct"/>
            <w:tcBorders>
              <w:tl2br w:val="nil"/>
              <w:tr2bl w:val="nil"/>
            </w:tcBorders>
            <w:vAlign w:val="center"/>
          </w:tcPr>
          <w:p>
            <w:pPr>
              <w:jc w:val="center"/>
              <w:rPr>
                <w:rFonts w:eastAsia="宋体"/>
                <w:sz w:val="21"/>
                <w:szCs w:val="21"/>
              </w:rPr>
            </w:pPr>
            <w:r>
              <w:rPr>
                <w:rFonts w:eastAsia="宋体"/>
                <w:sz w:val="21"/>
                <w:szCs w:val="21"/>
              </w:rPr>
              <w:t>固体</w:t>
            </w:r>
          </w:p>
        </w:tc>
        <w:tc>
          <w:tcPr>
            <w:tcW w:w="820" w:type="pct"/>
            <w:vMerge w:val="continue"/>
            <w:tcBorders>
              <w:tl2br w:val="nil"/>
              <w:tr2bl w:val="nil"/>
            </w:tcBorders>
            <w:vAlign w:val="center"/>
          </w:tcPr>
          <w:p>
            <w:pPr>
              <w:pStyle w:val="142"/>
              <w:rPr>
                <w:rFonts w:ascii="Times New Roman" w:hAnsi="Times New Roman" w:cs="Times New Roman"/>
                <w:sz w:val="21"/>
                <w:szCs w:val="21"/>
              </w:rPr>
            </w:pPr>
          </w:p>
        </w:tc>
        <w:tc>
          <w:tcPr>
            <w:tcW w:w="832" w:type="pct"/>
            <w:tcBorders>
              <w:tl2br w:val="nil"/>
              <w:tr2bl w:val="nil"/>
            </w:tcBorders>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zh-CN" w:eastAsia="zh-CN"/>
              </w:rPr>
              <w:t>0.0108</w:t>
            </w:r>
          </w:p>
        </w:tc>
        <w:tc>
          <w:tcPr>
            <w:tcW w:w="969" w:type="pct"/>
            <w:vMerge w:val="continue"/>
            <w:tcBorders>
              <w:tl2br w:val="nil"/>
              <w:tr2bl w:val="nil"/>
            </w:tcBorders>
            <w:vAlign w:val="center"/>
          </w:tcPr>
          <w:p>
            <w:pPr>
              <w:pStyle w:val="142"/>
              <w:rPr>
                <w:rFonts w:ascii="Times New Roman" w:hAnsi="Times New Roman" w:cs="Times New Roman"/>
                <w:sz w:val="21"/>
                <w:szCs w:val="21"/>
              </w:rPr>
            </w:pPr>
          </w:p>
        </w:tc>
      </w:tr>
    </w:tbl>
    <w:p>
      <w:pPr>
        <w:pStyle w:val="4"/>
        <w:snapToGrid w:val="0"/>
        <w:spacing w:line="500" w:lineRule="exact"/>
        <w:rPr>
          <w:rFonts w:eastAsiaTheme="minorEastAsia"/>
          <w:color w:val="000000" w:themeColor="text1"/>
          <w:sz w:val="24"/>
          <w:szCs w:val="24"/>
          <w14:textFill>
            <w14:solidFill>
              <w14:schemeClr w14:val="tx1"/>
            </w14:solidFill>
          </w14:textFill>
        </w:rPr>
      </w:pPr>
      <w:bookmarkStart w:id="137" w:name="_Toc16315"/>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33"/>
      <w:bookmarkEnd w:id="134"/>
      <w:bookmarkEnd w:id="135"/>
      <w:bookmarkEnd w:id="136"/>
      <w:bookmarkEnd w:id="137"/>
    </w:p>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公司成立至今未发生过</w:t>
      </w:r>
      <w:r>
        <w:rPr>
          <w:rFonts w:eastAsiaTheme="minorEastAsia"/>
          <w:color w:val="000000" w:themeColor="text1"/>
          <w14:textFill>
            <w14:solidFill>
              <w14:schemeClr w14:val="tx1"/>
            </w14:solidFill>
          </w14:textFill>
        </w:rPr>
        <w:t>重大环境风险事故。</w:t>
      </w:r>
    </w:p>
    <w:p>
      <w:pPr>
        <w:pStyle w:val="4"/>
        <w:snapToGrid w:val="0"/>
        <w:spacing w:line="500" w:lineRule="exact"/>
        <w:rPr>
          <w:rFonts w:eastAsiaTheme="minorEastAsia"/>
          <w:color w:val="000000" w:themeColor="text1"/>
          <w:sz w:val="24"/>
          <w:szCs w:val="24"/>
          <w14:textFill>
            <w14:solidFill>
              <w14:schemeClr w14:val="tx1"/>
            </w14:solidFill>
          </w14:textFill>
        </w:rPr>
      </w:pPr>
      <w:bookmarkStart w:id="138" w:name="_Toc22281"/>
      <w:bookmarkStart w:id="139" w:name="_Toc456642258"/>
      <w:bookmarkStart w:id="140" w:name="_Toc31165"/>
      <w:bookmarkStart w:id="141" w:name="_Toc19769"/>
      <w:bookmarkStart w:id="142" w:name="_Toc25591"/>
      <w:bookmarkStart w:id="143" w:name="_Toc10457"/>
      <w:bookmarkStart w:id="144" w:name="_Toc17748"/>
      <w:r>
        <w:rPr>
          <w:rFonts w:hint="eastAsia" w:eastAsiaTheme="minorEastAsia"/>
          <w:color w:val="000000" w:themeColor="text1"/>
          <w:sz w:val="24"/>
          <w:szCs w:val="24"/>
          <w14:textFill>
            <w14:solidFill>
              <w14:schemeClr w14:val="tx1"/>
            </w14:solidFill>
          </w14:textFill>
        </w:rPr>
        <w:t>3.7安全生产管理</w:t>
      </w:r>
      <w:bookmarkEnd w:id="138"/>
      <w:bookmarkEnd w:id="139"/>
      <w:bookmarkEnd w:id="140"/>
      <w:bookmarkEnd w:id="141"/>
      <w:bookmarkEnd w:id="142"/>
      <w:bookmarkEnd w:id="143"/>
      <w:bookmarkEnd w:id="144"/>
    </w:p>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pPr>
        <w:snapToGrid w:val="0"/>
        <w:spacing w:line="500" w:lineRule="exact"/>
        <w:jc w:val="center"/>
        <w:rPr>
          <w:rFonts w:ascii="宋体" w:hAnsi="宋体" w:eastAsia="宋体" w:cs="宋体"/>
          <w:b/>
          <w:bCs/>
        </w:rPr>
      </w:pPr>
      <w:r>
        <w:rPr>
          <w:rFonts w:eastAsia="宋体"/>
          <w:b/>
          <w:bCs/>
        </w:rPr>
        <w:t>表3-1</w:t>
      </w:r>
      <w:r>
        <w:rPr>
          <w:rFonts w:hint="eastAsia" w:eastAsia="宋体"/>
          <w:b/>
          <w:bCs/>
          <w:lang w:val="en-US" w:eastAsia="zh-CN"/>
        </w:rPr>
        <w:t>7</w:t>
      </w:r>
      <w:r>
        <w:rPr>
          <w:rFonts w:eastAsia="宋体"/>
          <w:b/>
          <w:bCs/>
        </w:rPr>
        <w:t xml:space="preserve"> 企业安全生产管理</w:t>
      </w:r>
    </w:p>
    <w:tbl>
      <w:tblPr>
        <w:tblStyle w:val="3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pPr>
              <w:jc w:val="center"/>
              <w:rPr>
                <w:rFonts w:ascii="宋体" w:hAnsi="宋体" w:eastAsia="宋体" w:cs="宋体"/>
                <w:sz w:val="21"/>
                <w:szCs w:val="21"/>
              </w:rPr>
            </w:pPr>
          </w:p>
        </w:tc>
      </w:tr>
    </w:tbl>
    <w:p>
      <w:pPr>
        <w:pStyle w:val="4"/>
        <w:snapToGrid w:val="0"/>
        <w:spacing w:line="500" w:lineRule="exact"/>
        <w:rPr>
          <w:rFonts w:eastAsiaTheme="minorEastAsia"/>
          <w:color w:val="000000" w:themeColor="text1"/>
          <w:sz w:val="24"/>
          <w:szCs w:val="24"/>
          <w14:textFill>
            <w14:solidFill>
              <w14:schemeClr w14:val="tx1"/>
            </w14:solidFill>
          </w14:textFill>
        </w:rPr>
      </w:pPr>
      <w:bookmarkStart w:id="145" w:name="_Toc22123"/>
      <w:bookmarkStart w:id="146" w:name="_Toc32103"/>
      <w:bookmarkStart w:id="147" w:name="_Toc21635"/>
      <w:bookmarkStart w:id="148" w:name="_Toc31931"/>
      <w:bookmarkStart w:id="149" w:name="_Toc23508"/>
      <w:r>
        <w:rPr>
          <w:rFonts w:hint="eastAsia" w:eastAsiaTheme="minorEastAsia"/>
          <w:color w:val="000000" w:themeColor="text1"/>
          <w:sz w:val="24"/>
          <w:szCs w:val="24"/>
          <w14:textFill>
            <w14:solidFill>
              <w14:schemeClr w14:val="tx1"/>
            </w14:solidFill>
          </w14:textFill>
        </w:rPr>
        <w:t>3.8 现有环境风险防控与应急措施情况</w:t>
      </w:r>
      <w:bookmarkEnd w:id="145"/>
      <w:bookmarkEnd w:id="146"/>
      <w:bookmarkEnd w:id="147"/>
      <w:bookmarkEnd w:id="148"/>
      <w:bookmarkEnd w:id="149"/>
    </w:p>
    <w:p>
      <w:pPr>
        <w:pStyle w:val="2"/>
        <w:adjustRightInd w:val="0"/>
        <w:snapToGrid w:val="0"/>
        <w:spacing w:line="500" w:lineRule="exact"/>
        <w:rPr>
          <w:rFonts w:eastAsia="宋体"/>
          <w:szCs w:val="24"/>
        </w:rPr>
      </w:pPr>
      <w:bookmarkStart w:id="150" w:name="_Toc13776"/>
      <w:bookmarkStart w:id="151" w:name="_Toc21216"/>
      <w:bookmarkStart w:id="152" w:name="_Toc15542"/>
      <w:r>
        <w:rPr>
          <w:rFonts w:eastAsia="宋体"/>
          <w:szCs w:val="24"/>
        </w:rPr>
        <w:t>3.</w:t>
      </w:r>
      <w:r>
        <w:rPr>
          <w:rFonts w:hint="eastAsia" w:eastAsia="宋体"/>
          <w:szCs w:val="24"/>
        </w:rPr>
        <w:t>8</w:t>
      </w:r>
      <w:r>
        <w:rPr>
          <w:rFonts w:eastAsia="宋体"/>
          <w:szCs w:val="24"/>
        </w:rPr>
        <w:t>.</w:t>
      </w:r>
      <w:r>
        <w:rPr>
          <w:rFonts w:hint="eastAsia" w:eastAsia="宋体"/>
          <w:szCs w:val="24"/>
        </w:rPr>
        <w:t>1现有环境风险防控措施情况</w:t>
      </w:r>
      <w:bookmarkEnd w:id="150"/>
      <w:bookmarkEnd w:id="151"/>
      <w:bookmarkEnd w:id="152"/>
    </w:p>
    <w:p>
      <w:pPr>
        <w:spacing w:line="500" w:lineRule="exact"/>
        <w:ind w:firstLine="480" w:firstLineChars="200"/>
        <w:rPr>
          <w:sz w:val="21"/>
        </w:rPr>
      </w:pPr>
      <w:bookmarkStart w:id="153" w:name="_Toc412725538"/>
      <w:bookmarkStart w:id="154" w:name="_Toc446074790"/>
      <w:bookmarkStart w:id="155" w:name="_Toc18304"/>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根据企业提供的资料和现场踏勘情况，并对照企业提供的其他资料，厂区涉及环境风险物质的环境风险单元及其环境风险防控措施的实施和日常管理情况见下表。</w:t>
      </w:r>
      <w:r>
        <mc:AlternateContent>
          <mc:Choice Requires="wps">
            <w:drawing>
              <wp:anchor distT="0" distB="0" distL="114300" distR="114300" simplePos="0" relativeHeight="251661312"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6.7pt;margin-top:57.5pt;height:0pt;width:714.35pt;mso-position-horizontal-relative:page;mso-position-vertical-relative:page;z-index:251661312;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E5&#10;ZcjWAAAADAEAAA8AAAAAAAAAAQAgAAAAIgAAAGRycy9kb3ducmV2LnhtbFBLAQIUABQAAAAIAIdO&#10;4kBGhaIl7AEAANgDAAAOAAAAAAAAAAEAIAAAACUBAABkcnMvZTJvRG9jLnhtbFBLBQYAAAAABgAG&#10;AFkBAACDBQAAAAA=&#10;">
                <v:fill on="f" focussize="0,0"/>
                <v:stroke weight="0.72pt" color="#000000" joinstyle="round"/>
                <v:imagedata o:title=""/>
                <o:lock v:ext="edit" aspectratio="f"/>
              </v:line>
            </w:pict>
          </mc:Fallback>
        </mc:AlternateContent>
      </w:r>
    </w:p>
    <w:p>
      <w:pPr>
        <w:snapToGrid w:val="0"/>
        <w:spacing w:line="500" w:lineRule="exact"/>
        <w:jc w:val="center"/>
        <w:rPr>
          <w:rFonts w:ascii="宋体" w:hAnsi="宋体" w:eastAsia="宋体" w:cs="宋体"/>
          <w:b/>
          <w:bCs/>
        </w:rPr>
      </w:pPr>
      <w:r>
        <w:rPr>
          <w:rFonts w:eastAsia="宋体"/>
          <w:b/>
          <w:bCs/>
        </w:rPr>
        <w:t>表3-1</w:t>
      </w:r>
      <w:r>
        <w:rPr>
          <w:rFonts w:hint="eastAsia" w:eastAsia="宋体"/>
          <w:b/>
          <w:bCs/>
          <w:lang w:val="en-US" w:eastAsia="zh-CN"/>
        </w:rPr>
        <w:t>8</w:t>
      </w:r>
      <w:r>
        <w:rPr>
          <w:rFonts w:eastAsia="宋体"/>
          <w:b/>
          <w:bCs/>
        </w:rPr>
        <w:t xml:space="preserve"> 企业现有环境风险单元及防控措施一览表</w:t>
      </w:r>
    </w:p>
    <w:tbl>
      <w:tblPr>
        <w:tblStyle w:val="38"/>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574"/>
        <w:gridCol w:w="870"/>
        <w:gridCol w:w="1533"/>
        <w:gridCol w:w="1628"/>
        <w:gridCol w:w="1724"/>
        <w:gridCol w:w="28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312" w:type="pct"/>
            <w:tcBorders>
              <w:tl2br w:val="nil"/>
              <w:tr2bl w:val="nil"/>
            </w:tcBorders>
            <w:vAlign w:val="center"/>
          </w:tcPr>
          <w:p>
            <w:pPr>
              <w:pStyle w:val="142"/>
              <w:rPr>
                <w:b/>
                <w:sz w:val="21"/>
              </w:rPr>
            </w:pPr>
            <w:r>
              <w:rPr>
                <w:b/>
                <w:sz w:val="21"/>
              </w:rPr>
              <w:t>类别</w:t>
            </w:r>
          </w:p>
        </w:tc>
        <w:tc>
          <w:tcPr>
            <w:tcW w:w="473" w:type="pct"/>
            <w:tcBorders>
              <w:tl2br w:val="nil"/>
              <w:tr2bl w:val="nil"/>
            </w:tcBorders>
            <w:vAlign w:val="center"/>
          </w:tcPr>
          <w:p>
            <w:pPr>
              <w:pStyle w:val="142"/>
              <w:rPr>
                <w:b/>
                <w:sz w:val="21"/>
              </w:rPr>
            </w:pPr>
            <w:r>
              <w:rPr>
                <w:b/>
                <w:sz w:val="21"/>
              </w:rPr>
              <w:t>位置</w:t>
            </w:r>
          </w:p>
        </w:tc>
        <w:tc>
          <w:tcPr>
            <w:tcW w:w="833" w:type="pct"/>
            <w:tcBorders>
              <w:tl2br w:val="nil"/>
              <w:tr2bl w:val="nil"/>
            </w:tcBorders>
            <w:vAlign w:val="center"/>
          </w:tcPr>
          <w:p>
            <w:pPr>
              <w:pStyle w:val="142"/>
              <w:rPr>
                <w:b/>
                <w:sz w:val="21"/>
              </w:rPr>
            </w:pPr>
            <w:r>
              <w:rPr>
                <w:b/>
                <w:sz w:val="21"/>
              </w:rPr>
              <w:t>主要危险物质</w:t>
            </w:r>
          </w:p>
        </w:tc>
        <w:tc>
          <w:tcPr>
            <w:tcW w:w="885" w:type="pct"/>
            <w:tcBorders>
              <w:tl2br w:val="nil"/>
              <w:tr2bl w:val="nil"/>
            </w:tcBorders>
            <w:vAlign w:val="center"/>
          </w:tcPr>
          <w:p>
            <w:pPr>
              <w:pStyle w:val="142"/>
              <w:rPr>
                <w:b/>
                <w:sz w:val="21"/>
              </w:rPr>
            </w:pPr>
            <w:r>
              <w:rPr>
                <w:b/>
                <w:sz w:val="21"/>
              </w:rPr>
              <w:t>主要环境风险分析</w:t>
            </w:r>
          </w:p>
        </w:tc>
        <w:tc>
          <w:tcPr>
            <w:tcW w:w="937" w:type="pct"/>
            <w:tcBorders>
              <w:tl2br w:val="nil"/>
              <w:tr2bl w:val="nil"/>
            </w:tcBorders>
            <w:vAlign w:val="center"/>
          </w:tcPr>
          <w:p>
            <w:pPr>
              <w:pStyle w:val="142"/>
              <w:rPr>
                <w:b/>
                <w:sz w:val="21"/>
              </w:rPr>
            </w:pPr>
            <w:r>
              <w:rPr>
                <w:b/>
                <w:sz w:val="21"/>
              </w:rPr>
              <w:t>风险防控</w:t>
            </w:r>
          </w:p>
        </w:tc>
        <w:tc>
          <w:tcPr>
            <w:tcW w:w="1557" w:type="pct"/>
            <w:tcBorders>
              <w:tl2br w:val="nil"/>
              <w:tr2bl w:val="nil"/>
            </w:tcBorders>
            <w:vAlign w:val="center"/>
          </w:tcPr>
          <w:p>
            <w:pPr>
              <w:pStyle w:val="142"/>
              <w:rPr>
                <w:b/>
                <w:sz w:val="21"/>
              </w:rPr>
            </w:pPr>
            <w:r>
              <w:rPr>
                <w:b/>
                <w:sz w:val="21"/>
              </w:rPr>
              <w:t>应急处置措施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312" w:type="pct"/>
            <w:tcBorders>
              <w:tl2br w:val="nil"/>
              <w:tr2bl w:val="nil"/>
            </w:tcBorders>
            <w:vAlign w:val="center"/>
          </w:tcPr>
          <w:p>
            <w:pPr>
              <w:pStyle w:val="142"/>
              <w:rPr>
                <w:sz w:val="21"/>
              </w:rPr>
            </w:pPr>
            <w:r>
              <w:rPr>
                <w:sz w:val="21"/>
              </w:rPr>
              <w:t>辅助工程</w:t>
            </w:r>
          </w:p>
        </w:tc>
        <w:tc>
          <w:tcPr>
            <w:tcW w:w="473" w:type="pct"/>
            <w:tcBorders>
              <w:tl2br w:val="nil"/>
              <w:tr2bl w:val="nil"/>
            </w:tcBorders>
            <w:vAlign w:val="center"/>
          </w:tcPr>
          <w:p>
            <w:pPr>
              <w:pStyle w:val="142"/>
              <w:rPr>
                <w:sz w:val="21"/>
              </w:rPr>
            </w:pPr>
            <w:r>
              <w:rPr>
                <w:rFonts w:hint="eastAsia"/>
                <w:sz w:val="21"/>
              </w:rPr>
              <w:t>油漆仓库</w:t>
            </w:r>
          </w:p>
        </w:tc>
        <w:tc>
          <w:tcPr>
            <w:tcW w:w="833" w:type="pct"/>
            <w:tcBorders>
              <w:tl2br w:val="nil"/>
              <w:tr2bl w:val="nil"/>
            </w:tcBorders>
            <w:vAlign w:val="center"/>
          </w:tcPr>
          <w:p>
            <w:pPr>
              <w:pStyle w:val="142"/>
              <w:rPr>
                <w:sz w:val="21"/>
              </w:rPr>
            </w:pPr>
            <w:r>
              <w:rPr>
                <w:rFonts w:hint="eastAsia"/>
                <w:sz w:val="21"/>
              </w:rPr>
              <w:t>水性漆、固化剂、</w:t>
            </w:r>
            <w:r>
              <w:rPr>
                <w:rFonts w:hint="eastAsia"/>
                <w:sz w:val="21"/>
                <w:lang w:val="en-US" w:eastAsia="zh-CN"/>
              </w:rPr>
              <w:t>白乳胶</w:t>
            </w:r>
            <w:r>
              <w:rPr>
                <w:rFonts w:hint="eastAsia"/>
                <w:sz w:val="21"/>
              </w:rPr>
              <w:t>等</w:t>
            </w:r>
          </w:p>
        </w:tc>
        <w:tc>
          <w:tcPr>
            <w:tcW w:w="885" w:type="pct"/>
            <w:tcBorders>
              <w:tl2br w:val="nil"/>
              <w:tr2bl w:val="nil"/>
            </w:tcBorders>
            <w:vAlign w:val="center"/>
          </w:tcPr>
          <w:p>
            <w:pPr>
              <w:pStyle w:val="142"/>
              <w:rPr>
                <w:sz w:val="21"/>
              </w:rPr>
            </w:pPr>
            <w:r>
              <w:rPr>
                <w:sz w:val="21"/>
              </w:rPr>
              <w:t>遇高温或明火引发火灾、爆炸事故；污染下风向大气环境；泄漏物料进入外环境，污染地表水和土壤</w:t>
            </w:r>
          </w:p>
        </w:tc>
        <w:tc>
          <w:tcPr>
            <w:tcW w:w="937" w:type="pct"/>
            <w:tcBorders>
              <w:tl2br w:val="nil"/>
              <w:tr2bl w:val="nil"/>
            </w:tcBorders>
            <w:vAlign w:val="center"/>
          </w:tcPr>
          <w:p>
            <w:pPr>
              <w:pStyle w:val="142"/>
              <w:rPr>
                <w:sz w:val="21"/>
              </w:rPr>
            </w:pPr>
            <w:r>
              <w:rPr>
                <w:sz w:val="21"/>
              </w:rPr>
              <w:t>摄像头、人工巡视点检；地面防腐防渗</w:t>
            </w:r>
          </w:p>
        </w:tc>
        <w:tc>
          <w:tcPr>
            <w:tcW w:w="1557" w:type="pct"/>
            <w:tcBorders>
              <w:tl2br w:val="nil"/>
              <w:tr2bl w:val="nil"/>
            </w:tcBorders>
            <w:vAlign w:val="center"/>
          </w:tcPr>
          <w:p>
            <w:pPr>
              <w:jc w:val="center"/>
              <w:rPr>
                <w:rFonts w:ascii="宋体" w:hAnsi="宋体" w:eastAsia="宋体" w:cs="宋体"/>
                <w:sz w:val="21"/>
                <w:szCs w:val="21"/>
              </w:rPr>
            </w:pPr>
            <w:r>
              <w:rPr>
                <w:rFonts w:hint="eastAsia" w:ascii="宋体" w:hAnsi="宋体" w:eastAsia="宋体" w:cs="宋体"/>
                <w:sz w:val="21"/>
                <w:szCs w:val="21"/>
              </w:rPr>
              <w:t>查明泄漏点，将泄漏部位与系统隔离</w:t>
            </w:r>
          </w:p>
          <w:p>
            <w:pPr>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312" w:type="pct"/>
            <w:vMerge w:val="restart"/>
            <w:tcBorders>
              <w:tl2br w:val="nil"/>
              <w:tr2bl w:val="nil"/>
            </w:tcBorders>
            <w:vAlign w:val="center"/>
          </w:tcPr>
          <w:p>
            <w:pPr>
              <w:pStyle w:val="142"/>
              <w:rPr>
                <w:sz w:val="21"/>
              </w:rPr>
            </w:pPr>
            <w:r>
              <w:rPr>
                <w:sz w:val="21"/>
              </w:rPr>
              <w:t>环保设施</w:t>
            </w:r>
          </w:p>
        </w:tc>
        <w:tc>
          <w:tcPr>
            <w:tcW w:w="473" w:type="pct"/>
            <w:tcBorders>
              <w:tl2br w:val="nil"/>
              <w:tr2bl w:val="nil"/>
            </w:tcBorders>
            <w:vAlign w:val="center"/>
          </w:tcPr>
          <w:p>
            <w:pPr>
              <w:pStyle w:val="142"/>
              <w:rPr>
                <w:sz w:val="21"/>
              </w:rPr>
            </w:pPr>
            <w:r>
              <w:rPr>
                <w:sz w:val="21"/>
              </w:rPr>
              <w:t>废气处理</w:t>
            </w:r>
            <w:r>
              <w:rPr>
                <w:rFonts w:hint="eastAsia"/>
                <w:sz w:val="21"/>
              </w:rPr>
              <w:t>设施</w:t>
            </w:r>
            <w:r>
              <w:rPr>
                <w:sz w:val="21"/>
              </w:rPr>
              <w:t>置</w:t>
            </w:r>
          </w:p>
        </w:tc>
        <w:tc>
          <w:tcPr>
            <w:tcW w:w="833" w:type="pct"/>
            <w:tcBorders>
              <w:tl2br w:val="nil"/>
              <w:tr2bl w:val="nil"/>
            </w:tcBorders>
            <w:vAlign w:val="center"/>
          </w:tcPr>
          <w:p>
            <w:pPr>
              <w:pStyle w:val="142"/>
              <w:rPr>
                <w:sz w:val="21"/>
              </w:rPr>
            </w:pPr>
            <w:r>
              <w:rPr>
                <w:sz w:val="21"/>
              </w:rPr>
              <w:t>颗粒物、</w:t>
            </w:r>
            <w:r>
              <w:rPr>
                <w:rFonts w:hint="eastAsia"/>
                <w:sz w:val="21"/>
              </w:rPr>
              <w:t>挥发性有机物</w:t>
            </w:r>
          </w:p>
        </w:tc>
        <w:tc>
          <w:tcPr>
            <w:tcW w:w="885" w:type="pct"/>
            <w:tcBorders>
              <w:tl2br w:val="nil"/>
              <w:tr2bl w:val="nil"/>
            </w:tcBorders>
            <w:vAlign w:val="center"/>
          </w:tcPr>
          <w:p>
            <w:pPr>
              <w:pStyle w:val="142"/>
              <w:rPr>
                <w:sz w:val="21"/>
              </w:rPr>
            </w:pPr>
            <w:r>
              <w:rPr>
                <w:sz w:val="21"/>
              </w:rPr>
              <w:t>处理措施故障，废气不达标排放</w:t>
            </w:r>
          </w:p>
        </w:tc>
        <w:tc>
          <w:tcPr>
            <w:tcW w:w="937" w:type="pct"/>
            <w:tcBorders>
              <w:tl2br w:val="nil"/>
              <w:tr2bl w:val="nil"/>
            </w:tcBorders>
            <w:vAlign w:val="center"/>
          </w:tcPr>
          <w:p>
            <w:pPr>
              <w:pStyle w:val="142"/>
              <w:rPr>
                <w:sz w:val="21"/>
              </w:rPr>
            </w:pPr>
            <w:r>
              <w:rPr>
                <w:sz w:val="21"/>
              </w:rPr>
              <w:t>定期委托资质单位进行监测；定期对废气处理措施进行维护等</w:t>
            </w:r>
          </w:p>
        </w:tc>
        <w:tc>
          <w:tcPr>
            <w:tcW w:w="1557" w:type="pct"/>
            <w:tcBorders>
              <w:tl2br w:val="nil"/>
              <w:tr2bl w:val="nil"/>
            </w:tcBorders>
            <w:vAlign w:val="center"/>
          </w:tcPr>
          <w:p>
            <w:pPr>
              <w:pStyle w:val="142"/>
              <w:rPr>
                <w:sz w:val="21"/>
              </w:rPr>
            </w:pPr>
            <w:r>
              <w:rPr>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312" w:type="pct"/>
            <w:vMerge w:val="continue"/>
            <w:tcBorders>
              <w:tl2br w:val="nil"/>
              <w:tr2bl w:val="nil"/>
            </w:tcBorders>
            <w:vAlign w:val="center"/>
          </w:tcPr>
          <w:p>
            <w:pPr>
              <w:jc w:val="center"/>
              <w:rPr>
                <w:sz w:val="2"/>
                <w:szCs w:val="2"/>
              </w:rPr>
            </w:pPr>
          </w:p>
        </w:tc>
        <w:tc>
          <w:tcPr>
            <w:tcW w:w="473" w:type="pct"/>
            <w:tcBorders>
              <w:tl2br w:val="nil"/>
              <w:tr2bl w:val="nil"/>
            </w:tcBorders>
            <w:vAlign w:val="center"/>
          </w:tcPr>
          <w:p>
            <w:pPr>
              <w:pStyle w:val="142"/>
              <w:rPr>
                <w:sz w:val="21"/>
              </w:rPr>
            </w:pPr>
            <w:r>
              <w:rPr>
                <w:rFonts w:hint="eastAsia"/>
                <w:sz w:val="21"/>
              </w:rPr>
              <w:t>废水处理设施</w:t>
            </w:r>
          </w:p>
        </w:tc>
        <w:tc>
          <w:tcPr>
            <w:tcW w:w="833" w:type="pct"/>
            <w:tcBorders>
              <w:tl2br w:val="nil"/>
              <w:tr2bl w:val="nil"/>
            </w:tcBorders>
            <w:vAlign w:val="center"/>
          </w:tcPr>
          <w:p>
            <w:pPr>
              <w:pStyle w:val="142"/>
              <w:rPr>
                <w:sz w:val="21"/>
              </w:rPr>
            </w:pPr>
            <w:r>
              <w:rPr>
                <w:rFonts w:ascii="Times New Roman" w:hAnsi="Times New Roman" w:cs="Times New Roman"/>
                <w:sz w:val="21"/>
              </w:rPr>
              <w:t>COD、SS、</w:t>
            </w:r>
            <w:r>
              <w:rPr>
                <w:rFonts w:hint="eastAsia"/>
                <w:sz w:val="21"/>
              </w:rPr>
              <w:t>氨氮、总氮、总磷</w:t>
            </w:r>
          </w:p>
        </w:tc>
        <w:tc>
          <w:tcPr>
            <w:tcW w:w="885" w:type="pct"/>
            <w:tcBorders>
              <w:tl2br w:val="nil"/>
              <w:tr2bl w:val="nil"/>
            </w:tcBorders>
            <w:vAlign w:val="center"/>
          </w:tcPr>
          <w:p>
            <w:pPr>
              <w:pStyle w:val="142"/>
              <w:rPr>
                <w:sz w:val="21"/>
              </w:rPr>
            </w:pPr>
            <w:r>
              <w:rPr>
                <w:sz w:val="21"/>
              </w:rPr>
              <w:t>处理措施故障，废</w:t>
            </w:r>
            <w:r>
              <w:rPr>
                <w:rFonts w:hint="eastAsia"/>
                <w:sz w:val="21"/>
              </w:rPr>
              <w:t>水</w:t>
            </w:r>
            <w:r>
              <w:rPr>
                <w:sz w:val="21"/>
              </w:rPr>
              <w:t>不达标排放</w:t>
            </w:r>
          </w:p>
        </w:tc>
        <w:tc>
          <w:tcPr>
            <w:tcW w:w="937" w:type="pct"/>
            <w:tcBorders>
              <w:tl2br w:val="nil"/>
              <w:tr2bl w:val="nil"/>
            </w:tcBorders>
            <w:vAlign w:val="center"/>
          </w:tcPr>
          <w:p>
            <w:pPr>
              <w:pStyle w:val="142"/>
              <w:rPr>
                <w:sz w:val="21"/>
              </w:rPr>
            </w:pPr>
            <w:r>
              <w:rPr>
                <w:sz w:val="21"/>
              </w:rPr>
              <w:t>定期委托资质单位进行监测；定期对废</w:t>
            </w:r>
            <w:r>
              <w:rPr>
                <w:rFonts w:hint="eastAsia"/>
                <w:sz w:val="21"/>
              </w:rPr>
              <w:t>水</w:t>
            </w:r>
            <w:r>
              <w:rPr>
                <w:sz w:val="21"/>
              </w:rPr>
              <w:t>处理措施进行维护等</w:t>
            </w:r>
          </w:p>
        </w:tc>
        <w:tc>
          <w:tcPr>
            <w:tcW w:w="1557" w:type="pct"/>
            <w:tcBorders>
              <w:tl2br w:val="nil"/>
              <w:tr2bl w:val="nil"/>
            </w:tcBorders>
            <w:vAlign w:val="center"/>
          </w:tcPr>
          <w:p>
            <w:pPr>
              <w:pStyle w:val="142"/>
              <w:rPr>
                <w:w w:val="95"/>
                <w:sz w:val="21"/>
              </w:rPr>
            </w:pPr>
            <w:r>
              <w:rPr>
                <w:sz w:val="21"/>
              </w:rPr>
              <w:t>一旦超标立即停止生产；采用便携式监测仪监测或委托资质单位进行检测，若超标严重，上报上级管理部门。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312" w:type="pct"/>
            <w:vMerge w:val="continue"/>
            <w:tcBorders>
              <w:tl2br w:val="nil"/>
              <w:tr2bl w:val="nil"/>
            </w:tcBorders>
            <w:vAlign w:val="center"/>
          </w:tcPr>
          <w:p>
            <w:pPr>
              <w:jc w:val="center"/>
              <w:rPr>
                <w:sz w:val="2"/>
                <w:szCs w:val="2"/>
              </w:rPr>
            </w:pPr>
          </w:p>
        </w:tc>
        <w:tc>
          <w:tcPr>
            <w:tcW w:w="473" w:type="pct"/>
            <w:tcBorders>
              <w:tl2br w:val="nil"/>
              <w:tr2bl w:val="nil"/>
            </w:tcBorders>
            <w:vAlign w:val="center"/>
          </w:tcPr>
          <w:p>
            <w:pPr>
              <w:pStyle w:val="142"/>
              <w:rPr>
                <w:sz w:val="21"/>
              </w:rPr>
            </w:pPr>
            <w:r>
              <w:rPr>
                <w:sz w:val="21"/>
              </w:rPr>
              <w:t>危废仓库</w:t>
            </w:r>
          </w:p>
        </w:tc>
        <w:tc>
          <w:tcPr>
            <w:tcW w:w="833" w:type="pct"/>
            <w:tcBorders>
              <w:tl2br w:val="nil"/>
              <w:tr2bl w:val="nil"/>
            </w:tcBorders>
            <w:vAlign w:val="center"/>
          </w:tcPr>
          <w:p>
            <w:pPr>
              <w:pStyle w:val="142"/>
              <w:rPr>
                <w:sz w:val="21"/>
              </w:rPr>
            </w:pPr>
            <w:r>
              <w:rPr>
                <w:rFonts w:hint="eastAsia"/>
                <w:sz w:val="21"/>
              </w:rPr>
              <w:t>废活性炭、废过滤棉、漆渣等</w:t>
            </w:r>
          </w:p>
        </w:tc>
        <w:tc>
          <w:tcPr>
            <w:tcW w:w="885" w:type="pct"/>
            <w:tcBorders>
              <w:tl2br w:val="nil"/>
              <w:tr2bl w:val="nil"/>
            </w:tcBorders>
            <w:vAlign w:val="center"/>
          </w:tcPr>
          <w:p>
            <w:pPr>
              <w:pStyle w:val="142"/>
              <w:rPr>
                <w:sz w:val="21"/>
              </w:rPr>
            </w:pPr>
            <w:r>
              <w:rPr>
                <w:sz w:val="21"/>
              </w:rPr>
              <w:t>危废进入地下</w:t>
            </w:r>
          </w:p>
        </w:tc>
        <w:tc>
          <w:tcPr>
            <w:tcW w:w="937" w:type="pct"/>
            <w:tcBorders>
              <w:tl2br w:val="nil"/>
              <w:tr2bl w:val="nil"/>
            </w:tcBorders>
            <w:vAlign w:val="center"/>
          </w:tcPr>
          <w:p>
            <w:pPr>
              <w:pStyle w:val="142"/>
              <w:rPr>
                <w:sz w:val="21"/>
              </w:rPr>
            </w:pPr>
            <w:r>
              <w:rPr>
                <w:sz w:val="21"/>
              </w:rPr>
              <w:t>摄像头、人工巡视点检；地面防腐防渗，设有导流沟、收集井</w:t>
            </w:r>
          </w:p>
        </w:tc>
        <w:tc>
          <w:tcPr>
            <w:tcW w:w="1557" w:type="pct"/>
            <w:tcBorders>
              <w:tl2br w:val="nil"/>
              <w:tr2bl w:val="nil"/>
            </w:tcBorders>
            <w:vAlign w:val="center"/>
          </w:tcPr>
          <w:p>
            <w:pPr>
              <w:pStyle w:val="142"/>
              <w:rPr>
                <w:sz w:val="21"/>
              </w:rPr>
            </w:pPr>
            <w:r>
              <w:rPr>
                <w:sz w:val="21"/>
              </w:rPr>
              <w:t>危废暂存于危废仓库，定期委托资质单位处置。</w:t>
            </w:r>
          </w:p>
        </w:tc>
      </w:tr>
      <w:bookmarkEnd w:id="132"/>
      <w:bookmarkEnd w:id="153"/>
      <w:bookmarkEnd w:id="154"/>
      <w:bookmarkEnd w:id="155"/>
    </w:tbl>
    <w:p>
      <w:pPr>
        <w:pStyle w:val="251"/>
        <w:snapToGrid w:val="0"/>
        <w:rPr>
          <w:rFonts w:eastAsia="宋体"/>
          <w:szCs w:val="24"/>
        </w:rPr>
      </w:pPr>
      <w:bookmarkStart w:id="156" w:name="_Toc402776210"/>
      <w:r>
        <w:rPr>
          <w:rFonts w:eastAsia="宋体"/>
          <w:szCs w:val="24"/>
        </w:rPr>
        <w:t>3.</w:t>
      </w:r>
      <w:r>
        <w:rPr>
          <w:rFonts w:hint="eastAsia"/>
          <w:szCs w:val="24"/>
        </w:rPr>
        <w:t>8.1</w:t>
      </w:r>
      <w:r>
        <w:rPr>
          <w:szCs w:val="24"/>
        </w:rPr>
        <w:t>.1</w:t>
      </w:r>
      <w:r>
        <w:rPr>
          <w:rFonts w:hint="eastAsia" w:eastAsia="宋体"/>
          <w:szCs w:val="24"/>
        </w:rPr>
        <w:t>环境风险防控分析</w:t>
      </w:r>
    </w:p>
    <w:p>
      <w:pPr>
        <w:pStyle w:val="251"/>
        <w:snapToGrid w:val="0"/>
        <w:ind w:firstLine="482" w:firstLineChars="200"/>
        <w:outlineLvl w:val="9"/>
        <w:rPr>
          <w:rFonts w:eastAsia="宋体"/>
          <w:szCs w:val="24"/>
        </w:rPr>
      </w:pPr>
      <w:r>
        <w:rPr>
          <w:rFonts w:hint="eastAsia" w:eastAsia="宋体"/>
          <w:szCs w:val="24"/>
        </w:rPr>
        <w:t>1、人工监控</w:t>
      </w:r>
    </w:p>
    <w:p>
      <w:pPr>
        <w:pStyle w:val="13"/>
        <w:spacing w:before="160"/>
        <w:ind w:left="777"/>
        <w:rPr>
          <w:rFonts w:eastAsia="宋体"/>
        </w:rPr>
      </w:pPr>
      <w:r>
        <w:rPr>
          <w:rFonts w:eastAsia="宋体"/>
        </w:rPr>
        <w:t>①全厂设置摄像监控系统，人工进行监管；</w:t>
      </w:r>
    </w:p>
    <w:p>
      <w:pPr>
        <w:pStyle w:val="13"/>
        <w:spacing w:before="159"/>
        <w:ind w:left="777"/>
        <w:rPr>
          <w:rFonts w:eastAsia="宋体"/>
        </w:rPr>
      </w:pPr>
      <w:r>
        <w:rPr>
          <w:rFonts w:eastAsia="宋体"/>
        </w:rPr>
        <w:t>②原料库装卸料过程，以及危废厂内运输过程，全程人工监管。</w:t>
      </w:r>
    </w:p>
    <w:p>
      <w:pPr>
        <w:pStyle w:val="251"/>
        <w:snapToGrid w:val="0"/>
        <w:ind w:firstLine="482" w:firstLineChars="200"/>
        <w:outlineLvl w:val="9"/>
        <w:rPr>
          <w:rFonts w:eastAsia="宋体"/>
          <w:szCs w:val="24"/>
        </w:rPr>
      </w:pPr>
      <w:r>
        <w:rPr>
          <w:rFonts w:hint="eastAsia" w:eastAsia="宋体"/>
          <w:szCs w:val="24"/>
        </w:rPr>
        <w:t>2、设备监控</w:t>
      </w:r>
    </w:p>
    <w:p>
      <w:pPr>
        <w:spacing w:before="160" w:line="362" w:lineRule="auto"/>
        <w:ind w:left="777" w:right="6706"/>
        <w:jc w:val="left"/>
      </w:pPr>
      <w:r>
        <w:rPr>
          <w:rFonts w:eastAsia="宋体"/>
        </w:rPr>
        <w:t>有视频监控。</w:t>
      </w:r>
    </w:p>
    <w:p>
      <w:pPr>
        <w:pStyle w:val="251"/>
        <w:snapToGrid w:val="0"/>
        <w:rPr>
          <w:rFonts w:eastAsia="宋体"/>
          <w:szCs w:val="24"/>
        </w:rPr>
      </w:pPr>
      <w:bookmarkStart w:id="157" w:name="3.7.1.2事故废水收集情况分析"/>
      <w:bookmarkEnd w:id="157"/>
      <w:r>
        <w:rPr>
          <w:rFonts w:eastAsia="宋体"/>
          <w:szCs w:val="24"/>
        </w:rPr>
        <w:t>3.</w:t>
      </w:r>
      <w:r>
        <w:rPr>
          <w:rFonts w:hint="eastAsia"/>
          <w:szCs w:val="24"/>
        </w:rPr>
        <w:t>8.1</w:t>
      </w:r>
      <w:r>
        <w:rPr>
          <w:szCs w:val="24"/>
        </w:rPr>
        <w:t>.</w:t>
      </w:r>
      <w:r>
        <w:rPr>
          <w:rFonts w:hint="eastAsia"/>
          <w:szCs w:val="24"/>
        </w:rPr>
        <w:t>2</w:t>
      </w:r>
      <w:r>
        <w:rPr>
          <w:rFonts w:hint="eastAsia" w:eastAsia="宋体"/>
          <w:szCs w:val="24"/>
        </w:rPr>
        <w:t>事故废水收集情况分析</w:t>
      </w:r>
    </w:p>
    <w:p>
      <w:pPr>
        <w:pStyle w:val="251"/>
        <w:snapToGrid w:val="0"/>
        <w:ind w:firstLine="482" w:firstLineChars="200"/>
        <w:outlineLvl w:val="9"/>
        <w:rPr>
          <w:rFonts w:eastAsia="宋体"/>
          <w:szCs w:val="24"/>
        </w:rPr>
      </w:pPr>
      <w:r>
        <w:rPr>
          <w:rFonts w:hint="eastAsia" w:eastAsia="宋体"/>
          <w:szCs w:val="24"/>
        </w:rPr>
        <w:t>1、事故废水收集情况</w:t>
      </w:r>
    </w:p>
    <w:p>
      <w:pPr>
        <w:pStyle w:val="13"/>
        <w:spacing w:after="0" w:line="500" w:lineRule="exact"/>
        <w:ind w:firstLine="480" w:firstLineChars="200"/>
        <w:jc w:val="left"/>
        <w:rPr>
          <w:rFonts w:eastAsia="宋体"/>
        </w:rPr>
      </w:pPr>
      <w:r>
        <w:rPr>
          <w:rFonts w:eastAsia="宋体"/>
        </w:rPr>
        <w:t>公司</w:t>
      </w:r>
      <w:r>
        <w:rPr>
          <w:rFonts w:hint="eastAsia" w:eastAsia="宋体"/>
        </w:rPr>
        <w:t>设</w:t>
      </w:r>
      <w:r>
        <w:rPr>
          <w:rFonts w:hint="eastAsia" w:eastAsia="宋体"/>
          <w:highlight w:val="none"/>
        </w:rPr>
        <w:t>置</w:t>
      </w:r>
      <w:r>
        <w:rPr>
          <w:rFonts w:hint="eastAsia" w:eastAsia="宋体"/>
          <w:highlight w:val="none"/>
          <w:lang w:val="en-US" w:eastAsia="zh-CN"/>
        </w:rPr>
        <w:t>352</w:t>
      </w:r>
      <w:r>
        <w:rPr>
          <w:rFonts w:hint="eastAsia" w:eastAsia="宋体"/>
          <w:highlight w:val="none"/>
        </w:rPr>
        <w:t>m</w:t>
      </w:r>
      <w:r>
        <w:rPr>
          <w:rFonts w:hint="eastAsia" w:eastAsia="宋体"/>
          <w:vertAlign w:val="superscript"/>
        </w:rPr>
        <w:t>3</w:t>
      </w:r>
      <w:r>
        <w:rPr>
          <w:rFonts w:hint="eastAsia" w:eastAsia="宋体"/>
        </w:rPr>
        <w:t>事故应急池</w:t>
      </w:r>
      <w:r>
        <w:rPr>
          <w:rFonts w:eastAsia="宋体"/>
        </w:rPr>
        <w:t>，有利于收集各类事故排水，以防止应急用水到处漫流；</w:t>
      </w:r>
      <w:r>
        <w:rPr>
          <w:rFonts w:hint="eastAsia" w:eastAsia="宋体"/>
        </w:rPr>
        <w:t>雨水排口设置闸控，</w:t>
      </w:r>
      <w:r>
        <w:rPr>
          <w:rFonts w:eastAsia="宋体"/>
        </w:rPr>
        <w:t>事故状态下关闭雨水排放口的截留阀，可将泄漏物、消防水截流在雨水收集系统内，收集系统不能容纳泄漏物、消防水时，则转移进入事故应急池内。</w:t>
      </w:r>
    </w:p>
    <w:p>
      <w:pPr>
        <w:pStyle w:val="251"/>
        <w:snapToGrid w:val="0"/>
        <w:ind w:firstLine="482" w:firstLineChars="200"/>
        <w:outlineLvl w:val="9"/>
        <w:rPr>
          <w:rFonts w:eastAsia="宋体"/>
          <w:szCs w:val="24"/>
        </w:rPr>
      </w:pPr>
      <w:r>
        <w:rPr>
          <w:rFonts w:hint="eastAsia" w:eastAsia="宋体"/>
          <w:szCs w:val="24"/>
        </w:rPr>
        <w:t>2、生产废水收集情况</w:t>
      </w:r>
    </w:p>
    <w:p>
      <w:pPr>
        <w:spacing w:line="500" w:lineRule="exact"/>
        <w:ind w:firstLine="480" w:firstLineChars="200"/>
        <w:jc w:val="left"/>
        <w:rPr>
          <w:rFonts w:eastAsia="宋体"/>
        </w:rPr>
      </w:pPr>
      <w:r>
        <w:rPr>
          <w:rFonts w:hint="eastAsia" w:eastAsia="宋体"/>
        </w:rPr>
        <w:t>企业在实际运行中，</w:t>
      </w:r>
      <w:r>
        <w:rPr>
          <w:rFonts w:hint="eastAsia" w:eastAsia="宋体"/>
          <w:lang w:val="en-US" w:eastAsia="zh-CN"/>
        </w:rPr>
        <w:t>喷枪清洗用水回用做水性漆调漆用水，不外排；水帘及水洗塔用水经处理后循环使用，不外排；调漆用水、调色用水全部蒸发，不外排</w:t>
      </w:r>
      <w:r>
        <w:rPr>
          <w:rFonts w:eastAsia="宋体"/>
        </w:rPr>
        <w:t>。</w:t>
      </w:r>
    </w:p>
    <w:p>
      <w:pPr>
        <w:spacing w:line="500" w:lineRule="exact"/>
        <w:ind w:firstLine="482" w:firstLineChars="200"/>
        <w:jc w:val="left"/>
        <w:rPr>
          <w:b/>
        </w:rPr>
      </w:pPr>
      <w:r>
        <w:rPr>
          <w:rFonts w:hint="eastAsia" w:eastAsia="宋体"/>
          <w:b/>
          <w:bCs/>
        </w:rPr>
        <w:t>3、收集、处理能力评估</w:t>
      </w:r>
      <w:r>
        <w:rPr>
          <w:b/>
        </w:rPr>
        <w:t xml:space="preserve"> </w:t>
      </w:r>
    </w:p>
    <w:p>
      <w:pPr>
        <w:widowControl/>
        <w:autoSpaceDE w:val="0"/>
        <w:autoSpaceDN w:val="0"/>
        <w:adjustRightInd w:val="0"/>
        <w:snapToGrid w:val="0"/>
        <w:spacing w:line="500" w:lineRule="exact"/>
        <w:ind w:firstLine="480" w:firstLineChars="200"/>
        <w:jc w:val="left"/>
        <w:textAlignment w:val="bottom"/>
        <w:rPr>
          <w:rFonts w:eastAsia="宋体"/>
          <w:color w:val="000000" w:themeColor="text1"/>
          <w:szCs w:val="21"/>
          <w14:textFill>
            <w14:solidFill>
              <w14:schemeClr w14:val="tx1"/>
            </w14:solidFill>
          </w14:textFill>
        </w:rPr>
      </w:pPr>
      <w:r>
        <w:rPr>
          <w:rFonts w:eastAsia="宋体"/>
          <w:color w:val="000000" w:themeColor="text1"/>
          <w:szCs w:val="21"/>
          <w14:textFill>
            <w14:solidFill>
              <w14:schemeClr w14:val="tx1"/>
            </w14:solidFill>
          </w14:textFill>
        </w:rPr>
        <w:t>应急池容量计算过程如下：</w:t>
      </w:r>
    </w:p>
    <w:p>
      <w:pPr>
        <w:widowControl/>
        <w:autoSpaceDE w:val="0"/>
        <w:autoSpaceDN w:val="0"/>
        <w:adjustRightInd w:val="0"/>
        <w:snapToGrid w:val="0"/>
        <w:spacing w:line="500" w:lineRule="exact"/>
        <w:ind w:firstLine="480" w:firstLineChars="200"/>
        <w:jc w:val="left"/>
        <w:textAlignment w:val="bottom"/>
        <w:rPr>
          <w:rFonts w:eastAsia="宋体"/>
          <w:color w:val="000000" w:themeColor="text1"/>
          <w:szCs w:val="21"/>
          <w14:textFill>
            <w14:solidFill>
              <w14:schemeClr w14:val="tx1"/>
            </w14:solidFill>
          </w14:textFill>
        </w:rPr>
      </w:pPr>
      <w:bookmarkStart w:id="158" w:name="3.7.2应急物资及装备情况"/>
      <w:bookmarkEnd w:id="158"/>
      <w:bookmarkStart w:id="159" w:name="_TOC_250048"/>
      <w:bookmarkEnd w:id="159"/>
      <w:r>
        <w:rPr>
          <w:rFonts w:eastAsia="宋体"/>
          <w:color w:val="000000" w:themeColor="text1"/>
          <w:szCs w:val="21"/>
          <w14:textFill>
            <w14:solidFill>
              <w14:schemeClr w14:val="tx1"/>
            </w14:solidFill>
          </w14:textFill>
        </w:rPr>
        <w:t>①事故应急水池容量按下式计算：</w:t>
      </w:r>
    </w:p>
    <w:p>
      <w:pPr>
        <w:adjustRightInd w:val="0"/>
        <w:snapToGrid w:val="0"/>
        <w:spacing w:line="500" w:lineRule="exact"/>
        <w:ind w:firstLine="480" w:firstLineChars="200"/>
        <w:rPr>
          <w:rFonts w:eastAsia="宋体"/>
        </w:rPr>
      </w:pPr>
      <w:r>
        <w:rPr>
          <w:rFonts w:eastAsia="宋体"/>
        </w:rPr>
        <w:t>根据《事故状态下水体污染的预防与控制技术要求》（Q/SY1190-2013），计算本项目所需事故应急池容积。事故储存设施总有效容积：</w:t>
      </w:r>
    </w:p>
    <w:p>
      <w:pPr>
        <w:snapToGrid w:val="0"/>
        <w:spacing w:line="500" w:lineRule="exact"/>
        <w:ind w:firstLine="480" w:firstLineChars="200"/>
        <w:jc w:val="center"/>
        <w:rPr>
          <w:rFonts w:eastAsia="宋体"/>
        </w:rPr>
      </w:pPr>
      <w:r>
        <w:rPr>
          <w:rFonts w:eastAsia="宋体"/>
        </w:rPr>
        <w:t>V</w:t>
      </w:r>
      <w:r>
        <w:rPr>
          <w:rFonts w:eastAsia="宋体"/>
          <w:vertAlign w:val="subscript"/>
        </w:rPr>
        <w:t>总</w:t>
      </w:r>
      <w:r>
        <w:rPr>
          <w:rFonts w:eastAsia="宋体"/>
        </w:rPr>
        <w:t>=（V</w:t>
      </w:r>
      <w:r>
        <w:rPr>
          <w:rFonts w:eastAsia="宋体"/>
          <w:vertAlign w:val="subscript"/>
        </w:rPr>
        <w:t>1</w:t>
      </w:r>
      <w:r>
        <w:rPr>
          <w:rFonts w:eastAsia="宋体"/>
        </w:rPr>
        <w:t>+V</w:t>
      </w:r>
      <w:r>
        <w:rPr>
          <w:rFonts w:eastAsia="宋体"/>
          <w:vertAlign w:val="subscript"/>
        </w:rPr>
        <w:t>2</w:t>
      </w:r>
      <w:r>
        <w:rPr>
          <w:rFonts w:eastAsia="宋体"/>
        </w:rPr>
        <w:t>-V</w:t>
      </w:r>
      <w:r>
        <w:rPr>
          <w:rFonts w:eastAsia="宋体"/>
          <w:vertAlign w:val="subscript"/>
        </w:rPr>
        <w:t>3</w:t>
      </w:r>
      <w:r>
        <w:rPr>
          <w:rFonts w:eastAsia="宋体"/>
        </w:rPr>
        <w:t>）max+V</w:t>
      </w:r>
      <w:r>
        <w:rPr>
          <w:rFonts w:eastAsia="宋体"/>
          <w:vertAlign w:val="subscript"/>
        </w:rPr>
        <w:t>4</w:t>
      </w:r>
      <w:r>
        <w:rPr>
          <w:rFonts w:eastAsia="宋体"/>
        </w:rPr>
        <w:t>+V</w:t>
      </w:r>
      <w:r>
        <w:rPr>
          <w:rFonts w:eastAsia="宋体"/>
          <w:vertAlign w:val="subscript"/>
        </w:rPr>
        <w:t>5</w:t>
      </w:r>
    </w:p>
    <w:p>
      <w:pPr>
        <w:snapToGrid w:val="0"/>
        <w:spacing w:line="500" w:lineRule="exact"/>
        <w:ind w:firstLine="480" w:firstLineChars="200"/>
        <w:rPr>
          <w:rFonts w:eastAsia="宋体"/>
        </w:rPr>
      </w:pPr>
      <w:r>
        <w:rPr>
          <w:rFonts w:eastAsia="宋体"/>
        </w:rPr>
        <w:t>式中：V</w:t>
      </w:r>
      <w:r>
        <w:rPr>
          <w:rFonts w:eastAsia="宋体"/>
          <w:vertAlign w:val="subscript"/>
        </w:rPr>
        <w:t>1</w:t>
      </w:r>
      <w:r>
        <w:rPr>
          <w:rFonts w:eastAsia="宋体"/>
        </w:rPr>
        <w:t>：收集系统范围内发生事故时的泄漏物料量（事故1个罐或1个装置物料），m</w:t>
      </w:r>
      <w:r>
        <w:rPr>
          <w:rFonts w:eastAsia="宋体"/>
          <w:vertAlign w:val="superscript"/>
        </w:rPr>
        <w:t>3</w:t>
      </w:r>
      <w:r>
        <w:rPr>
          <w:rFonts w:eastAsia="宋体"/>
        </w:rPr>
        <w:t>；</w:t>
      </w:r>
    </w:p>
    <w:p>
      <w:pPr>
        <w:autoSpaceDE w:val="0"/>
        <w:autoSpaceDN w:val="0"/>
        <w:snapToGrid w:val="0"/>
        <w:spacing w:line="500" w:lineRule="exact"/>
        <w:ind w:firstLine="480" w:firstLineChars="200"/>
        <w:rPr>
          <w:rFonts w:eastAsia="宋体"/>
        </w:rPr>
      </w:pPr>
      <w:r>
        <w:rPr>
          <w:rFonts w:eastAsia="宋体"/>
        </w:rPr>
        <w:t>V</w:t>
      </w:r>
      <w:r>
        <w:rPr>
          <w:rFonts w:eastAsia="宋体"/>
          <w:vertAlign w:val="subscript"/>
        </w:rPr>
        <w:t>2</w:t>
      </w:r>
      <w:r>
        <w:rPr>
          <w:rFonts w:eastAsia="宋体"/>
        </w:rPr>
        <w:t>：发生事故时的消防水量；V</w:t>
      </w:r>
      <w:r>
        <w:rPr>
          <w:rFonts w:eastAsia="宋体"/>
          <w:vertAlign w:val="subscript"/>
        </w:rPr>
        <w:t>2</w:t>
      </w:r>
      <w:r>
        <w:rPr>
          <w:rFonts w:eastAsia="宋体"/>
        </w:rPr>
        <w:t>=∑Q</w:t>
      </w:r>
      <w:r>
        <w:rPr>
          <w:rFonts w:eastAsia="宋体"/>
          <w:vertAlign w:val="subscript"/>
        </w:rPr>
        <w:t>消</w:t>
      </w:r>
      <w:r>
        <w:rPr>
          <w:rFonts w:eastAsia="宋体"/>
        </w:rPr>
        <w:t>×t</w:t>
      </w:r>
      <w:r>
        <w:rPr>
          <w:rFonts w:eastAsia="宋体"/>
          <w:vertAlign w:val="subscript"/>
        </w:rPr>
        <w:t>消</w:t>
      </w:r>
    </w:p>
    <w:p>
      <w:pPr>
        <w:autoSpaceDE w:val="0"/>
        <w:autoSpaceDN w:val="0"/>
        <w:snapToGrid w:val="0"/>
        <w:spacing w:line="500" w:lineRule="exact"/>
        <w:ind w:firstLine="480" w:firstLineChars="200"/>
        <w:rPr>
          <w:rFonts w:eastAsia="宋体"/>
        </w:rPr>
      </w:pPr>
      <w:r>
        <w:rPr>
          <w:rFonts w:eastAsia="宋体"/>
        </w:rPr>
        <w:t>Q</w:t>
      </w:r>
      <w:r>
        <w:rPr>
          <w:rFonts w:eastAsia="宋体"/>
          <w:vertAlign w:val="subscript"/>
        </w:rPr>
        <w:t>消</w:t>
      </w:r>
      <w:r>
        <w:rPr>
          <w:rFonts w:eastAsia="宋体"/>
        </w:rPr>
        <w:t>：发生事故的储气瓶或工艺装置同时使用的消防设施给水流量，包括室内外消火栓、消防炮、喷淋系统、泡沫系统等等，各种设施的配置和流量根据保护对象的火灾危险程度，按相关消防规范确定。</w:t>
      </w:r>
    </w:p>
    <w:p>
      <w:pPr>
        <w:autoSpaceDE w:val="0"/>
        <w:autoSpaceDN w:val="0"/>
        <w:snapToGrid w:val="0"/>
        <w:spacing w:line="500" w:lineRule="exact"/>
        <w:ind w:firstLine="480" w:firstLineChars="200"/>
        <w:rPr>
          <w:rFonts w:eastAsia="宋体"/>
        </w:rPr>
      </w:pPr>
      <w:r>
        <w:rPr>
          <w:rFonts w:eastAsia="宋体"/>
        </w:rPr>
        <w:t>t</w:t>
      </w:r>
      <w:r>
        <w:rPr>
          <w:rFonts w:eastAsia="宋体"/>
          <w:vertAlign w:val="subscript"/>
        </w:rPr>
        <w:t>消</w:t>
      </w:r>
      <w:r>
        <w:rPr>
          <w:rFonts w:eastAsia="宋体"/>
        </w:rPr>
        <w:t>：各种消防设施对应的设计消防历时。对于不同的消防设施，对于同一次火灾和同一个保护对象，历时不尽相同，可根据消防规范确定。</w:t>
      </w:r>
    </w:p>
    <w:p>
      <w:pPr>
        <w:snapToGrid w:val="0"/>
        <w:spacing w:line="500" w:lineRule="exact"/>
        <w:ind w:firstLine="480" w:firstLineChars="200"/>
        <w:rPr>
          <w:rFonts w:eastAsia="宋体"/>
        </w:rPr>
      </w:pPr>
      <w:r>
        <w:rPr>
          <w:rFonts w:eastAsia="宋体"/>
        </w:rPr>
        <w:t>V</w:t>
      </w:r>
      <w:r>
        <w:rPr>
          <w:rFonts w:eastAsia="宋体"/>
          <w:vertAlign w:val="subscript"/>
        </w:rPr>
        <w:t>3</w:t>
      </w:r>
      <w:r>
        <w:rPr>
          <w:rFonts w:eastAsia="宋体"/>
        </w:rPr>
        <w:t>：事故时可以转输到其它储存或处理设施的物料量，m</w:t>
      </w:r>
      <w:r>
        <w:rPr>
          <w:rFonts w:eastAsia="宋体"/>
          <w:vertAlign w:val="superscript"/>
        </w:rPr>
        <w:t>3</w:t>
      </w:r>
      <w:r>
        <w:rPr>
          <w:rFonts w:eastAsia="宋体"/>
        </w:rPr>
        <w:t>；</w:t>
      </w:r>
    </w:p>
    <w:p>
      <w:pPr>
        <w:snapToGrid w:val="0"/>
        <w:spacing w:line="500" w:lineRule="exact"/>
        <w:ind w:firstLine="480" w:firstLineChars="200"/>
        <w:rPr>
          <w:rFonts w:eastAsia="宋体"/>
        </w:rPr>
      </w:pPr>
      <w:r>
        <w:rPr>
          <w:rFonts w:eastAsia="宋体"/>
        </w:rPr>
        <w:t>V</w:t>
      </w:r>
      <w:r>
        <w:rPr>
          <w:rFonts w:eastAsia="宋体"/>
          <w:vertAlign w:val="subscript"/>
        </w:rPr>
        <w:t>4</w:t>
      </w:r>
      <w:r>
        <w:rPr>
          <w:rFonts w:eastAsia="宋体"/>
        </w:rPr>
        <w:t>：发生事故时必须进入该收集系统的生产废水量，m</w:t>
      </w:r>
      <w:r>
        <w:rPr>
          <w:rFonts w:eastAsia="宋体"/>
          <w:vertAlign w:val="superscript"/>
        </w:rPr>
        <w:t>3</w:t>
      </w:r>
      <w:r>
        <w:rPr>
          <w:rFonts w:eastAsia="宋体"/>
        </w:rPr>
        <w:t>；</w:t>
      </w:r>
    </w:p>
    <w:p>
      <w:pPr>
        <w:snapToGrid w:val="0"/>
        <w:spacing w:line="500" w:lineRule="exact"/>
        <w:ind w:firstLine="480" w:firstLineChars="200"/>
        <w:rPr>
          <w:rFonts w:eastAsia="宋体"/>
        </w:rPr>
      </w:pPr>
      <w:r>
        <w:rPr>
          <w:rFonts w:eastAsia="宋体"/>
        </w:rPr>
        <w:t>V</w:t>
      </w:r>
      <w:r>
        <w:rPr>
          <w:rFonts w:eastAsia="宋体"/>
          <w:vertAlign w:val="subscript"/>
        </w:rPr>
        <w:t>5</w:t>
      </w:r>
      <w:r>
        <w:rPr>
          <w:rFonts w:eastAsia="宋体"/>
        </w:rPr>
        <w:t>：发生事故时可能进入该收集系统的降雨量，m</w:t>
      </w:r>
      <w:r>
        <w:rPr>
          <w:rFonts w:eastAsia="宋体"/>
          <w:vertAlign w:val="superscript"/>
        </w:rPr>
        <w:t>3</w:t>
      </w:r>
      <w:r>
        <w:rPr>
          <w:rFonts w:eastAsia="宋体"/>
        </w:rPr>
        <w:t>。</w:t>
      </w:r>
    </w:p>
    <w:p>
      <w:pPr>
        <w:pStyle w:val="255"/>
        <w:snapToGrid w:val="0"/>
        <w:spacing w:line="500" w:lineRule="exact"/>
        <w:ind w:firstLine="480"/>
        <w:jc w:val="center"/>
        <w:rPr>
          <w:rFonts w:ascii="Times New Roman" w:hAnsi="Times New Roman" w:eastAsia="宋体" w:cs="Times New Roman"/>
          <w:kern w:val="2"/>
        </w:rPr>
      </w:pPr>
      <w:r>
        <w:rPr>
          <w:rFonts w:ascii="Times New Roman" w:hAnsi="Times New Roman" w:eastAsia="宋体" w:cs="Times New Roman"/>
          <w:kern w:val="2"/>
        </w:rPr>
        <w:t>V</w:t>
      </w:r>
      <w:r>
        <w:rPr>
          <w:rFonts w:ascii="Times New Roman" w:hAnsi="Times New Roman" w:eastAsia="宋体" w:cs="Times New Roman"/>
          <w:kern w:val="2"/>
          <w:vertAlign w:val="subscript"/>
        </w:rPr>
        <w:t>5</w:t>
      </w:r>
      <w:r>
        <w:rPr>
          <w:rFonts w:ascii="Times New Roman" w:hAnsi="Times New Roman" w:eastAsia="宋体" w:cs="Times New Roman"/>
          <w:kern w:val="2"/>
        </w:rPr>
        <w:t>=10qF</w:t>
      </w:r>
    </w:p>
    <w:p>
      <w:pPr>
        <w:pStyle w:val="255"/>
        <w:snapToGrid w:val="0"/>
        <w:spacing w:line="500" w:lineRule="exact"/>
        <w:ind w:firstLine="480"/>
        <w:rPr>
          <w:rFonts w:ascii="Times New Roman" w:hAnsi="Times New Roman" w:eastAsia="宋体" w:cs="Times New Roman"/>
          <w:kern w:val="2"/>
        </w:rPr>
      </w:pPr>
      <w:r>
        <w:rPr>
          <w:rFonts w:ascii="Times New Roman" w:hAnsi="Times New Roman" w:eastAsia="宋体" w:cs="Times New Roman"/>
          <w:kern w:val="2"/>
        </w:rPr>
        <w:t>式中：</w:t>
      </w:r>
    </w:p>
    <w:p>
      <w:pPr>
        <w:pStyle w:val="255"/>
        <w:snapToGrid w:val="0"/>
        <w:spacing w:line="500" w:lineRule="exact"/>
        <w:ind w:firstLine="480"/>
        <w:rPr>
          <w:rFonts w:ascii="Times New Roman" w:hAnsi="Times New Roman" w:eastAsia="宋体" w:cs="Times New Roman"/>
          <w:color w:val="000000" w:themeColor="text1"/>
          <w:kern w:val="2"/>
          <w14:textFill>
            <w14:solidFill>
              <w14:schemeClr w14:val="tx1"/>
            </w14:solidFill>
          </w14:textFill>
        </w:rPr>
      </w:pPr>
      <w:r>
        <w:rPr>
          <w:rFonts w:ascii="Times New Roman" w:hAnsi="Times New Roman" w:eastAsia="宋体" w:cs="Times New Roman"/>
          <w:kern w:val="2"/>
        </w:rPr>
        <w:t>q——平均日降雨量；q=年平均降雨量/年平均降雨日数。本设计中年平</w:t>
      </w:r>
      <w:r>
        <w:rPr>
          <w:rFonts w:ascii="Times New Roman" w:hAnsi="Times New Roman" w:eastAsia="宋体" w:cs="Times New Roman"/>
          <w:color w:val="000000" w:themeColor="text1"/>
          <w:kern w:val="2"/>
          <w14:textFill>
            <w14:solidFill>
              <w14:schemeClr w14:val="tx1"/>
            </w14:solidFill>
          </w14:textFill>
        </w:rPr>
        <w:t>均降雨量为900mm，年平均降雨日数为122天，则q=7.4mm。</w:t>
      </w:r>
    </w:p>
    <w:p>
      <w:pPr>
        <w:pStyle w:val="255"/>
        <w:snapToGrid w:val="0"/>
        <w:spacing w:line="500" w:lineRule="exact"/>
        <w:ind w:firstLine="480"/>
        <w:rPr>
          <w:rFonts w:ascii="Times New Roman" w:hAnsi="Times New Roman" w:eastAsia="宋体" w:cs="Times New Roman"/>
          <w:color w:val="000000" w:themeColor="text1"/>
          <w:kern w:val="2"/>
          <w14:textFill>
            <w14:solidFill>
              <w14:schemeClr w14:val="tx1"/>
            </w14:solidFill>
          </w14:textFill>
        </w:rPr>
      </w:pPr>
      <w:r>
        <w:rPr>
          <w:rFonts w:ascii="Times New Roman" w:hAnsi="Times New Roman" w:eastAsia="宋体" w:cs="Times New Roman"/>
          <w:color w:val="000000" w:themeColor="text1"/>
          <w:kern w:val="2"/>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14:textFill>
            <w14:solidFill>
              <w14:schemeClr w14:val="tx1"/>
            </w14:solidFill>
          </w14:textFill>
        </w:rPr>
        <w:t>，厂区可能受污染雨水面积</w:t>
      </w:r>
      <w:r>
        <w:rPr>
          <w:rFonts w:ascii="Times New Roman" w:hAnsi="Times New Roman" w:eastAsia="宋体" w:cs="Times New Roman"/>
          <w:color w:val="000000" w:themeColor="text1"/>
          <w:kern w:val="2"/>
          <w14:textFill>
            <w14:solidFill>
              <w14:schemeClr w14:val="tx1"/>
            </w14:solidFill>
          </w14:textFill>
        </w:rPr>
        <w:t>约</w:t>
      </w:r>
      <w:r>
        <w:rPr>
          <w:rFonts w:hint="eastAsia" w:ascii="Times New Roman" w:hAnsi="Times New Roman" w:eastAsia="宋体" w:cs="Times New Roman"/>
          <w:color w:val="000000" w:themeColor="text1"/>
          <w:kern w:val="2"/>
          <w:lang w:val="en-US" w:eastAsia="zh-CN"/>
          <w14:textFill>
            <w14:solidFill>
              <w14:schemeClr w14:val="tx1"/>
            </w14:solidFill>
          </w14:textFill>
        </w:rPr>
        <w:t>0.9</w:t>
      </w:r>
      <w:r>
        <w:rPr>
          <w:rFonts w:ascii="Times New Roman" w:hAnsi="Times New Roman" w:eastAsia="宋体" w:cs="Times New Roman"/>
          <w:color w:val="000000" w:themeColor="text1"/>
          <w:kern w:val="2"/>
          <w14:textFill>
            <w14:solidFill>
              <w14:schemeClr w14:val="tx1"/>
            </w14:solidFill>
          </w14:textFill>
        </w:rPr>
        <w:t>ha。则V</w:t>
      </w:r>
      <w:r>
        <w:rPr>
          <w:rFonts w:ascii="Times New Roman" w:hAnsi="Times New Roman" w:eastAsia="宋体" w:cs="Times New Roman"/>
          <w:color w:val="000000" w:themeColor="text1"/>
          <w:kern w:val="2"/>
          <w:vertAlign w:val="subscript"/>
          <w14:textFill>
            <w14:solidFill>
              <w14:schemeClr w14:val="tx1"/>
            </w14:solidFill>
          </w14:textFill>
        </w:rPr>
        <w:t>5</w:t>
      </w:r>
      <w:r>
        <w:rPr>
          <w:rFonts w:ascii="Times New Roman" w:hAnsi="Times New Roman" w:eastAsia="宋体" w:cs="Times New Roman"/>
          <w:color w:val="000000" w:themeColor="text1"/>
          <w:kern w:val="2"/>
          <w14:textFill>
            <w14:solidFill>
              <w14:schemeClr w14:val="tx1"/>
            </w14:solidFill>
          </w14:textFill>
        </w:rPr>
        <w:t>=10*7.4*</w:t>
      </w:r>
      <w:r>
        <w:rPr>
          <w:rFonts w:hint="eastAsia" w:ascii="Times New Roman" w:hAnsi="Times New Roman" w:eastAsia="宋体" w:cs="Times New Roman"/>
          <w:color w:val="000000" w:themeColor="text1"/>
          <w:kern w:val="2"/>
          <w:lang w:val="en-US" w:eastAsia="zh-CN"/>
          <w14:textFill>
            <w14:solidFill>
              <w14:schemeClr w14:val="tx1"/>
            </w14:solidFill>
          </w14:textFill>
        </w:rPr>
        <w:t>0.9</w:t>
      </w:r>
      <w:r>
        <w:rPr>
          <w:rFonts w:hint="eastAsia" w:ascii="Times New Roman" w:hAnsi="Times New Roman" w:eastAsia="宋体" w:cs="Times New Roman"/>
          <w:color w:val="000000" w:themeColor="text1"/>
          <w:kern w:val="2"/>
          <w14:textFill>
            <w14:solidFill>
              <w14:schemeClr w14:val="tx1"/>
            </w14:solidFill>
          </w14:textFill>
        </w:rPr>
        <w:t>=</w:t>
      </w:r>
      <w:r>
        <w:rPr>
          <w:rFonts w:hint="eastAsia" w:ascii="Times New Roman" w:hAnsi="Times New Roman" w:eastAsia="宋体" w:cs="Times New Roman"/>
          <w:color w:val="000000" w:themeColor="text1"/>
          <w:kern w:val="2"/>
          <w:lang w:val="en-US" w:eastAsia="zh-CN"/>
          <w14:textFill>
            <w14:solidFill>
              <w14:schemeClr w14:val="tx1"/>
            </w14:solidFill>
          </w14:textFill>
        </w:rPr>
        <w:t>66.6</w:t>
      </w:r>
      <w:r>
        <w:rPr>
          <w:rFonts w:ascii="Times New Roman" w:hAnsi="Times New Roman" w:eastAsia="宋体" w:cs="Times New Roman"/>
          <w:color w:val="000000" w:themeColor="text1"/>
          <w:kern w:val="2"/>
          <w14:textFill>
            <w14:solidFill>
              <w14:schemeClr w14:val="tx1"/>
            </w14:solidFill>
          </w14:textFill>
        </w:rPr>
        <w:t>m</w:t>
      </w:r>
      <w:r>
        <w:rPr>
          <w:rFonts w:ascii="Times New Roman" w:hAnsi="Times New Roman" w:eastAsia="宋体" w:cs="Times New Roman"/>
          <w:color w:val="000000" w:themeColor="text1"/>
          <w:kern w:val="2"/>
          <w:vertAlign w:val="superscript"/>
          <w14:textFill>
            <w14:solidFill>
              <w14:schemeClr w14:val="tx1"/>
            </w14:solidFill>
          </w14:textFill>
        </w:rPr>
        <w:t>3</w:t>
      </w:r>
      <w:r>
        <w:rPr>
          <w:rFonts w:ascii="Times New Roman" w:hAnsi="Times New Roman" w:eastAsia="宋体" w:cs="Times New Roman"/>
          <w:color w:val="000000" w:themeColor="text1"/>
          <w:kern w:val="2"/>
          <w14:textFill>
            <w14:solidFill>
              <w14:schemeClr w14:val="tx1"/>
            </w14:solidFill>
          </w14:textFill>
        </w:rPr>
        <w:t>。</w:t>
      </w:r>
    </w:p>
    <w:p>
      <w:p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V</w:t>
      </w:r>
      <w:r>
        <w:rPr>
          <w:rFonts w:eastAsia="宋体"/>
          <w:color w:val="000000" w:themeColor="text1"/>
          <w:vertAlign w:val="subscript"/>
          <w14:textFill>
            <w14:solidFill>
              <w14:schemeClr w14:val="tx1"/>
            </w14:solidFill>
          </w14:textFill>
        </w:rPr>
        <w:t>2</w:t>
      </w:r>
      <w:r>
        <w:rPr>
          <w:rFonts w:eastAsia="宋体"/>
          <w:color w:val="000000" w:themeColor="text1"/>
          <w14:textFill>
            <w14:solidFill>
              <w14:schemeClr w14:val="tx1"/>
            </w14:solidFill>
          </w14:textFill>
        </w:rPr>
        <w:t>：消防用水量按同一时间内火灾次数为一次计</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事故消防废水用量按15L/s计</w:t>
      </w:r>
      <w:r>
        <w:rPr>
          <w:rFonts w:hint="eastAsia" w:eastAsia="宋体"/>
          <w:color w:val="000000" w:themeColor="text1"/>
          <w14:textFill>
            <w14:solidFill>
              <w14:schemeClr w14:val="tx1"/>
            </w14:solidFill>
          </w14:textFill>
        </w:rPr>
        <w:t>），消防时间约2h，，消防水量为108m</w:t>
      </w:r>
      <w:r>
        <w:rPr>
          <w:rFonts w:hint="eastAsia"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，则：V</w:t>
      </w:r>
      <w:r>
        <w:rPr>
          <w:rFonts w:eastAsia="宋体"/>
          <w:color w:val="000000" w:themeColor="text1"/>
          <w:vertAlign w:val="subscript"/>
          <w14:textFill>
            <w14:solidFill>
              <w14:schemeClr w14:val="tx1"/>
            </w14:solidFill>
          </w14:textFill>
        </w:rPr>
        <w:t>2</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108</w:t>
      </w:r>
      <w:r>
        <w:rPr>
          <w:rFonts w:eastAsia="宋体"/>
          <w:color w:val="000000" w:themeColor="text1"/>
          <w14:textFill>
            <w14:solidFill>
              <w14:schemeClr w14:val="tx1"/>
            </w14:solidFill>
          </w14:textFill>
        </w:rPr>
        <w:t>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w:t>
      </w:r>
    </w:p>
    <w:p>
      <w:pPr>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V</w:t>
      </w:r>
      <w:r>
        <w:rPr>
          <w:rFonts w:eastAsia="宋体"/>
          <w:color w:val="000000" w:themeColor="text1"/>
          <w:vertAlign w:val="subscript"/>
          <w14:textFill>
            <w14:solidFill>
              <w14:schemeClr w14:val="tx1"/>
            </w14:solidFill>
          </w14:textFill>
        </w:rPr>
        <w:t>1</w:t>
      </w:r>
      <w:r>
        <w:rPr>
          <w:rFonts w:hint="eastAsia" w:eastAsia="宋体"/>
          <w:color w:val="000000" w:themeColor="text1"/>
          <w14:textFill>
            <w14:solidFill>
              <w14:schemeClr w14:val="tx1"/>
            </w14:solidFill>
          </w14:textFill>
        </w:rPr>
        <w:t>：</w:t>
      </w:r>
      <w:r>
        <w:rPr>
          <w:rFonts w:eastAsia="宋体"/>
        </w:rPr>
        <w:t>收集系统范围内发生事故时的泄漏物料量</w:t>
      </w:r>
      <w:r>
        <w:rPr>
          <w:rFonts w:eastAsia="宋体"/>
          <w:color w:val="000000" w:themeColor="text1"/>
          <w14:textFill>
            <w14:solidFill>
              <w14:schemeClr w14:val="tx1"/>
            </w14:solidFill>
          </w14:textFill>
        </w:rPr>
        <w:t>，V</w:t>
      </w:r>
      <w:r>
        <w:rPr>
          <w:rFonts w:eastAsia="宋体"/>
          <w:color w:val="000000" w:themeColor="text1"/>
          <w:vertAlign w:val="subscript"/>
          <w14:textFill>
            <w14:solidFill>
              <w14:schemeClr w14:val="tx1"/>
            </w14:solidFill>
          </w14:textFill>
        </w:rPr>
        <w:t>1</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2</w:t>
      </w:r>
      <w:r>
        <w:rPr>
          <w:rFonts w:eastAsia="宋体"/>
          <w:color w:val="000000" w:themeColor="text1"/>
          <w14:textFill>
            <w14:solidFill>
              <w14:schemeClr w14:val="tx1"/>
            </w14:solidFill>
          </w14:textFill>
        </w:rPr>
        <w:t>m</w:t>
      </w:r>
      <w:r>
        <w:rPr>
          <w:rFonts w:eastAsia="宋体"/>
          <w:color w:val="000000" w:themeColor="text1"/>
          <w:vertAlign w:val="superscript"/>
          <w14:textFill>
            <w14:solidFill>
              <w14:schemeClr w14:val="tx1"/>
            </w14:solidFill>
          </w14:textFill>
        </w:rPr>
        <w:t>3</w:t>
      </w:r>
      <w:r>
        <w:rPr>
          <w:rFonts w:hint="eastAsia" w:eastAsia="宋体"/>
          <w:color w:val="000000" w:themeColor="text1"/>
          <w14:textFill>
            <w14:solidFill>
              <w14:schemeClr w14:val="tx1"/>
            </w14:solidFill>
          </w14:textFill>
        </w:rPr>
        <w:t>。</w:t>
      </w:r>
    </w:p>
    <w:p>
      <w:pPr>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V</w:t>
      </w:r>
      <w:r>
        <w:rPr>
          <w:rFonts w:hint="eastAsia" w:eastAsia="宋体"/>
          <w:color w:val="000000" w:themeColor="text1"/>
          <w:vertAlign w:val="subscript"/>
          <w14:textFill>
            <w14:solidFill>
              <w14:schemeClr w14:val="tx1"/>
            </w14:solidFill>
          </w14:textFill>
        </w:rPr>
        <w:t>3</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雨水管网容积约为</w:t>
      </w:r>
      <w:r>
        <w:rPr>
          <w:rFonts w:hint="eastAsia" w:eastAsia="宋体"/>
          <w:color w:val="000000" w:themeColor="text1"/>
          <w:lang w:val="en-US" w:eastAsia="zh-CN"/>
          <w14:textFill>
            <w14:solidFill>
              <w14:schemeClr w14:val="tx1"/>
            </w14:solidFill>
          </w14:textFill>
        </w:rPr>
        <w:t>45</w:t>
      </w:r>
      <w:r>
        <w:rPr>
          <w:rFonts w:eastAsia="宋体"/>
          <w:color w:val="000000" w:themeColor="text1"/>
          <w14:textFill>
            <w14:solidFill>
              <w14:schemeClr w14:val="tx1"/>
            </w14:solidFill>
          </w14:textFill>
        </w:rPr>
        <w:t>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，因此V</w:t>
      </w:r>
      <w:r>
        <w:rPr>
          <w:rFonts w:eastAsia="宋体"/>
          <w:color w:val="000000" w:themeColor="text1"/>
          <w:vertAlign w:val="subscript"/>
          <w14:textFill>
            <w14:solidFill>
              <w14:schemeClr w14:val="tx1"/>
            </w14:solidFill>
          </w14:textFill>
        </w:rPr>
        <w:t>3</w:t>
      </w:r>
      <w:r>
        <w:rPr>
          <w:rFonts w:eastAsia="宋体"/>
          <w:color w:val="000000" w:themeColor="text1"/>
          <w14:textFill>
            <w14:solidFill>
              <w14:schemeClr w14:val="tx1"/>
            </w14:solidFill>
          </w14:textFill>
        </w:rPr>
        <w:t>=</w:t>
      </w:r>
      <w:r>
        <w:rPr>
          <w:rFonts w:hint="eastAsia" w:eastAsia="宋体"/>
          <w:color w:val="000000" w:themeColor="text1"/>
          <w:lang w:val="en-US" w:eastAsia="zh-CN"/>
          <w14:textFill>
            <w14:solidFill>
              <w14:schemeClr w14:val="tx1"/>
            </w14:solidFill>
          </w14:textFill>
        </w:rPr>
        <w:t>45</w:t>
      </w:r>
      <w:r>
        <w:rPr>
          <w:rFonts w:eastAsia="宋体"/>
          <w:color w:val="000000" w:themeColor="text1"/>
          <w14:textFill>
            <w14:solidFill>
              <w14:schemeClr w14:val="tx1"/>
            </w14:solidFill>
          </w14:textFill>
        </w:rPr>
        <w:t>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w:t>
      </w:r>
    </w:p>
    <w:p>
      <w:pPr>
        <w:widowControl/>
        <w:tabs>
          <w:tab w:val="left" w:pos="2297"/>
          <w:tab w:val="center" w:pos="4393"/>
        </w:tabs>
        <w:adjustRightInd w:val="0"/>
        <w:snapToGrid w:val="0"/>
        <w:spacing w:line="500" w:lineRule="exact"/>
        <w:ind w:firstLine="480" w:firstLineChars="200"/>
        <w:jc w:val="left"/>
        <w:rPr>
          <w:rFonts w:eastAsia="宋体"/>
          <w:color w:val="000000" w:themeColor="text1"/>
          <w:vertAlign w:val="superscript"/>
          <w14:textFill>
            <w14:solidFill>
              <w14:schemeClr w14:val="tx1"/>
            </w14:solidFill>
          </w14:textFill>
        </w:rPr>
      </w:pPr>
      <w:r>
        <w:rPr>
          <w:rFonts w:eastAsia="宋体"/>
          <w:color w:val="000000" w:themeColor="text1"/>
          <w14:textFill>
            <w14:solidFill>
              <w14:schemeClr w14:val="tx1"/>
            </w14:solidFill>
          </w14:textFill>
        </w:rPr>
        <w:t>V</w:t>
      </w:r>
      <w:r>
        <w:rPr>
          <w:rFonts w:eastAsia="宋体"/>
          <w:color w:val="000000" w:themeColor="text1"/>
          <w:vertAlign w:val="subscript"/>
          <w14:textFill>
            <w14:solidFill>
              <w14:schemeClr w14:val="tx1"/>
            </w14:solidFill>
          </w14:textFill>
        </w:rPr>
        <w:t>4</w:t>
      </w:r>
      <w:r>
        <w:rPr>
          <w:rFonts w:hint="eastAsia" w:eastAsia="宋体"/>
          <w:color w:val="000000" w:themeColor="text1"/>
          <w14:textFill>
            <w14:solidFill>
              <w14:schemeClr w14:val="tx1"/>
            </w14:solidFill>
          </w14:textFill>
        </w:rPr>
        <w:t>：无生产废水，因此V</w:t>
      </w:r>
      <w:r>
        <w:rPr>
          <w:rFonts w:hint="eastAsia" w:eastAsia="宋体"/>
          <w:color w:val="000000" w:themeColor="text1"/>
          <w:vertAlign w:val="subscript"/>
          <w14:textFill>
            <w14:solidFill>
              <w14:schemeClr w14:val="tx1"/>
            </w14:solidFill>
          </w14:textFill>
        </w:rPr>
        <w:t>4</w:t>
      </w:r>
      <w:r>
        <w:rPr>
          <w:rFonts w:hint="eastAsia" w:eastAsia="宋体"/>
          <w:color w:val="000000" w:themeColor="text1"/>
          <w14:textFill>
            <w14:solidFill>
              <w14:schemeClr w14:val="tx1"/>
            </w14:solidFill>
          </w14:textFill>
        </w:rPr>
        <w:t>=0</w:t>
      </w:r>
      <w:r>
        <w:rPr>
          <w:rFonts w:eastAsia="宋体"/>
          <w:color w:val="000000" w:themeColor="text1"/>
          <w14:textFill>
            <w14:solidFill>
              <w14:schemeClr w14:val="tx1"/>
            </w14:solidFill>
          </w14:textFill>
        </w:rPr>
        <w:t>m</w:t>
      </w:r>
      <w:r>
        <w:rPr>
          <w:rFonts w:eastAsia="宋体"/>
          <w:color w:val="000000" w:themeColor="text1"/>
          <w:vertAlign w:val="superscript"/>
          <w14:textFill>
            <w14:solidFill>
              <w14:schemeClr w14:val="tx1"/>
            </w14:solidFill>
          </w14:textFill>
        </w:rPr>
        <w:t>3</w:t>
      </w:r>
      <w:r>
        <w:rPr>
          <w:rFonts w:hint="eastAsia" w:eastAsia="宋体"/>
          <w:color w:val="000000" w:themeColor="text1"/>
          <w14:textFill>
            <w14:solidFill>
              <w14:schemeClr w14:val="tx1"/>
            </w14:solidFill>
          </w14:textFill>
        </w:rPr>
        <w:t>。</w:t>
      </w:r>
    </w:p>
    <w:p>
      <w:pPr>
        <w:widowControl/>
        <w:tabs>
          <w:tab w:val="left" w:pos="2297"/>
          <w:tab w:val="center" w:pos="4393"/>
        </w:tabs>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V</w:t>
      </w:r>
      <w:r>
        <w:rPr>
          <w:rFonts w:eastAsia="宋体"/>
          <w:color w:val="000000" w:themeColor="text1"/>
          <w:vertAlign w:val="subscript"/>
          <w14:textFill>
            <w14:solidFill>
              <w14:schemeClr w14:val="tx1"/>
            </w14:solidFill>
          </w14:textFill>
        </w:rPr>
        <w:t>总</w:t>
      </w:r>
      <w:r>
        <w:rPr>
          <w:rFonts w:eastAsia="宋体"/>
          <w:color w:val="000000" w:themeColor="text1"/>
          <w14:textFill>
            <w14:solidFill>
              <w14:schemeClr w14:val="tx1"/>
            </w14:solidFill>
          </w14:textFill>
        </w:rPr>
        <w:t>＝（V</w:t>
      </w:r>
      <w:r>
        <w:rPr>
          <w:rFonts w:eastAsia="宋体"/>
          <w:color w:val="000000" w:themeColor="text1"/>
          <w:vertAlign w:val="subscript"/>
          <w14:textFill>
            <w14:solidFill>
              <w14:schemeClr w14:val="tx1"/>
            </w14:solidFill>
          </w14:textFill>
        </w:rPr>
        <w:t>1</w:t>
      </w:r>
      <w:r>
        <w:rPr>
          <w:rFonts w:eastAsia="宋体"/>
          <w:color w:val="000000" w:themeColor="text1"/>
          <w14:textFill>
            <w14:solidFill>
              <w14:schemeClr w14:val="tx1"/>
            </w14:solidFill>
          </w14:textFill>
        </w:rPr>
        <w:t>+V</w:t>
      </w:r>
      <w:r>
        <w:rPr>
          <w:rFonts w:eastAsia="宋体"/>
          <w:color w:val="000000" w:themeColor="text1"/>
          <w:vertAlign w:val="subscript"/>
          <w14:textFill>
            <w14:solidFill>
              <w14:schemeClr w14:val="tx1"/>
            </w14:solidFill>
          </w14:textFill>
        </w:rPr>
        <w:t>2</w:t>
      </w:r>
      <w:r>
        <w:rPr>
          <w:rFonts w:eastAsia="宋体"/>
          <w:color w:val="000000" w:themeColor="text1"/>
          <w14:textFill>
            <w14:solidFill>
              <w14:schemeClr w14:val="tx1"/>
            </w14:solidFill>
          </w14:textFill>
        </w:rPr>
        <w:t>-V</w:t>
      </w:r>
      <w:r>
        <w:rPr>
          <w:rFonts w:eastAsia="宋体"/>
          <w:color w:val="000000" w:themeColor="text1"/>
          <w:vertAlign w:val="subscript"/>
          <w14:textFill>
            <w14:solidFill>
              <w14:schemeClr w14:val="tx1"/>
            </w14:solidFill>
          </w14:textFill>
        </w:rPr>
        <w:t>3</w:t>
      </w:r>
      <w:r>
        <w:rPr>
          <w:rFonts w:eastAsia="宋体"/>
          <w:color w:val="000000" w:themeColor="text1"/>
          <w14:textFill>
            <w14:solidFill>
              <w14:schemeClr w14:val="tx1"/>
            </w14:solidFill>
          </w14:textFill>
        </w:rPr>
        <w:t>）max+V</w:t>
      </w:r>
      <w:r>
        <w:rPr>
          <w:rFonts w:eastAsia="宋体"/>
          <w:color w:val="000000" w:themeColor="text1"/>
          <w:vertAlign w:val="subscript"/>
          <w14:textFill>
            <w14:solidFill>
              <w14:schemeClr w14:val="tx1"/>
            </w14:solidFill>
          </w14:textFill>
        </w:rPr>
        <w:t>4</w:t>
      </w:r>
      <w:r>
        <w:rPr>
          <w:rFonts w:eastAsia="宋体"/>
          <w:color w:val="000000" w:themeColor="text1"/>
          <w14:textFill>
            <w14:solidFill>
              <w14:schemeClr w14:val="tx1"/>
            </w14:solidFill>
          </w14:textFill>
        </w:rPr>
        <w:t>+V</w:t>
      </w:r>
      <w:r>
        <w:rPr>
          <w:rFonts w:eastAsia="宋体"/>
          <w:color w:val="000000" w:themeColor="text1"/>
          <w:vertAlign w:val="subscript"/>
          <w14:textFill>
            <w14:solidFill>
              <w14:schemeClr w14:val="tx1"/>
            </w14:solidFill>
          </w14:textFill>
        </w:rPr>
        <w:t>5</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2+108-</w:t>
      </w:r>
      <w:r>
        <w:rPr>
          <w:rFonts w:hint="eastAsia" w:eastAsia="宋体"/>
          <w:color w:val="000000" w:themeColor="text1"/>
          <w:lang w:val="en-US" w:eastAsia="zh-CN"/>
          <w14:textFill>
            <w14:solidFill>
              <w14:schemeClr w14:val="tx1"/>
            </w14:solidFill>
          </w14:textFill>
        </w:rPr>
        <w:t>45</w:t>
      </w:r>
      <w:r>
        <w:rPr>
          <w:rFonts w:hint="eastAsia" w:eastAsia="宋体"/>
          <w:color w:val="000000" w:themeColor="text1"/>
          <w14:textFill>
            <w14:solidFill>
              <w14:schemeClr w14:val="tx1"/>
            </w14:solidFill>
          </w14:textFill>
        </w:rPr>
        <w:t>+0+</w:t>
      </w:r>
      <w:r>
        <w:rPr>
          <w:rFonts w:hint="eastAsia" w:eastAsia="宋体"/>
          <w:color w:val="000000" w:themeColor="text1"/>
          <w:lang w:val="en-US" w:eastAsia="zh-CN"/>
          <w14:textFill>
            <w14:solidFill>
              <w14:schemeClr w14:val="tx1"/>
            </w14:solidFill>
          </w14:textFill>
        </w:rPr>
        <w:t>66.6</w:t>
      </w:r>
      <w:r>
        <w:rPr>
          <w:rFonts w:hint="eastAsia" w:eastAsia="宋体"/>
          <w:color w:val="000000" w:themeColor="text1"/>
          <w14:textFill>
            <w14:solidFill>
              <w14:schemeClr w14:val="tx1"/>
            </w14:solidFill>
          </w14:textFill>
        </w:rPr>
        <w:t>=</w:t>
      </w:r>
      <w:r>
        <w:rPr>
          <w:rFonts w:hint="eastAsia" w:eastAsia="宋体"/>
          <w:color w:val="000000" w:themeColor="text1"/>
          <w:lang w:val="en-US" w:eastAsia="zh-CN"/>
          <w14:textFill>
            <w14:solidFill>
              <w14:schemeClr w14:val="tx1"/>
            </w14:solidFill>
          </w14:textFill>
        </w:rPr>
        <w:t>131.6</w:t>
      </w:r>
      <w:r>
        <w:rPr>
          <w:rFonts w:eastAsia="宋体"/>
          <w:color w:val="000000" w:themeColor="text1"/>
          <w14:textFill>
            <w14:solidFill>
              <w14:schemeClr w14:val="tx1"/>
            </w14:solidFill>
          </w14:textFill>
        </w:rPr>
        <w:t>m</w:t>
      </w:r>
      <w:r>
        <w:rPr>
          <w:rFonts w:eastAsia="宋体"/>
          <w:color w:val="000000" w:themeColor="text1"/>
          <w:vertAlign w:val="superscript"/>
          <w14:textFill>
            <w14:solidFill>
              <w14:schemeClr w14:val="tx1"/>
            </w14:solidFill>
          </w14:textFill>
        </w:rPr>
        <w:t>3</w:t>
      </w:r>
    </w:p>
    <w:p>
      <w:pPr>
        <w:snapToGrid w:val="0"/>
        <w:spacing w:line="500" w:lineRule="exact"/>
        <w:ind w:firstLine="480" w:firstLineChars="200"/>
        <w:rPr>
          <w:rFonts w:eastAsia="宋体"/>
        </w:rPr>
      </w:pPr>
      <w:r>
        <w:rPr>
          <w:rFonts w:hint="eastAsia" w:eastAsia="宋体"/>
        </w:rPr>
        <w:t>公司设置</w:t>
      </w:r>
      <w:r>
        <w:rPr>
          <w:rFonts w:hint="eastAsia" w:eastAsia="宋体"/>
          <w:highlight w:val="none"/>
          <w:lang w:val="en-US" w:eastAsia="zh-CN"/>
        </w:rPr>
        <w:t>352</w:t>
      </w:r>
      <w:r>
        <w:rPr>
          <w:rFonts w:eastAsia="宋体"/>
        </w:rPr>
        <w:t>m</w:t>
      </w:r>
      <w:r>
        <w:rPr>
          <w:rFonts w:eastAsia="宋体"/>
          <w:vertAlign w:val="superscript"/>
        </w:rPr>
        <w:t>3</w:t>
      </w:r>
      <w:r>
        <w:rPr>
          <w:rFonts w:eastAsia="宋体"/>
        </w:rPr>
        <w:t>的事故池</w:t>
      </w:r>
      <w:r>
        <w:rPr>
          <w:rFonts w:hint="eastAsia" w:eastAsia="宋体"/>
        </w:rPr>
        <w:t>完全可</w:t>
      </w:r>
      <w:r>
        <w:rPr>
          <w:rFonts w:eastAsia="宋体"/>
        </w:rPr>
        <w:t>满足事故状态下容纳事故废水</w:t>
      </w:r>
      <w:r>
        <w:rPr>
          <w:rFonts w:hint="eastAsia" w:eastAsia="宋体"/>
        </w:rPr>
        <w:t>。</w:t>
      </w:r>
    </w:p>
    <w:p>
      <w:pPr>
        <w:snapToGrid w:val="0"/>
        <w:spacing w:line="500" w:lineRule="exact"/>
        <w:ind w:firstLine="480" w:firstLineChars="200"/>
        <w:rPr>
          <w:rFonts w:eastAsia="宋体"/>
        </w:rPr>
      </w:pPr>
      <w:r>
        <w:rPr>
          <w:rFonts w:eastAsia="宋体"/>
        </w:rPr>
        <w:t>厂区事故池平时必须为空池，以便紧急状态下接纳大量事故废水</w:t>
      </w:r>
      <w:r>
        <w:rPr>
          <w:rFonts w:hint="eastAsia" w:eastAsia="宋体"/>
        </w:rPr>
        <w:t>。</w:t>
      </w:r>
    </w:p>
    <w:p>
      <w:pPr>
        <w:pStyle w:val="251"/>
        <w:snapToGrid w:val="0"/>
        <w:outlineLvl w:val="2"/>
        <w:rPr>
          <w:rFonts w:eastAsia="宋体"/>
          <w:szCs w:val="24"/>
        </w:rPr>
      </w:pPr>
      <w:bookmarkStart w:id="160" w:name="_Toc1474"/>
      <w:bookmarkStart w:id="161" w:name="_Toc13078"/>
      <w:bookmarkStart w:id="162" w:name="_Toc14002"/>
      <w:r>
        <w:rPr>
          <w:rFonts w:eastAsia="宋体"/>
          <w:szCs w:val="24"/>
        </w:rPr>
        <w:t>3.</w:t>
      </w:r>
      <w:r>
        <w:rPr>
          <w:rFonts w:hint="eastAsia"/>
          <w:szCs w:val="24"/>
        </w:rPr>
        <w:t>8.2</w:t>
      </w:r>
      <w:r>
        <w:rPr>
          <w:rFonts w:hint="eastAsia" w:eastAsia="宋体"/>
          <w:szCs w:val="24"/>
        </w:rPr>
        <w:t>应急物资及装备情况</w:t>
      </w:r>
      <w:bookmarkEnd w:id="160"/>
      <w:bookmarkEnd w:id="161"/>
      <w:bookmarkEnd w:id="162"/>
    </w:p>
    <w:p>
      <w:pPr>
        <w:pStyle w:val="13"/>
        <w:spacing w:after="0" w:line="500" w:lineRule="exact"/>
        <w:ind w:firstLine="440" w:firstLineChars="200"/>
        <w:rPr>
          <w:rFonts w:eastAsia="宋体"/>
        </w:rPr>
      </w:pPr>
      <w:r>
        <w:rPr>
          <w:rFonts w:eastAsia="宋体"/>
          <w:spacing w:val="-10"/>
        </w:rPr>
        <w:t>应急物资、应急装备是突发环境事件应急救援的重要物质保障，也是保证应</w:t>
      </w:r>
      <w:r>
        <w:rPr>
          <w:rFonts w:eastAsia="宋体"/>
          <w:spacing w:val="-3"/>
        </w:rPr>
        <w:t xml:space="preserve">急队伍有效开展工作的基础，本公司的应急物资及装备见表 </w:t>
      </w:r>
      <w:r>
        <w:rPr>
          <w:rFonts w:eastAsia="宋体"/>
        </w:rPr>
        <w:t>3-</w:t>
      </w:r>
      <w:r>
        <w:rPr>
          <w:rFonts w:hint="eastAsia" w:eastAsia="宋体"/>
          <w:lang w:val="en-US" w:eastAsia="zh-CN"/>
        </w:rPr>
        <w:t>19</w:t>
      </w:r>
      <w:r>
        <w:rPr>
          <w:rFonts w:eastAsia="宋体"/>
        </w:rPr>
        <w:t>。</w:t>
      </w:r>
    </w:p>
    <w:p>
      <w:pPr>
        <w:pStyle w:val="13"/>
        <w:spacing w:after="0" w:line="500" w:lineRule="exact"/>
        <w:jc w:val="center"/>
        <w:rPr>
          <w:b/>
          <w:sz w:val="5"/>
        </w:rPr>
      </w:pPr>
      <w:r>
        <w:rPr>
          <w:rFonts w:eastAsia="宋体"/>
          <w:b/>
          <w:bCs/>
        </w:rPr>
        <w:t>表3-</w:t>
      </w:r>
      <w:r>
        <w:rPr>
          <w:rFonts w:hint="eastAsia" w:eastAsia="宋体"/>
          <w:b/>
          <w:bCs/>
          <w:lang w:val="en-US" w:eastAsia="zh-CN"/>
        </w:rPr>
        <w:t>19</w:t>
      </w:r>
      <w:r>
        <w:rPr>
          <w:rFonts w:eastAsia="宋体"/>
          <w:b/>
          <w:bCs/>
        </w:rPr>
        <w:t xml:space="preserve"> </w:t>
      </w:r>
      <w:r>
        <w:rPr>
          <w:rFonts w:eastAsia="宋体"/>
          <w:b/>
          <w:bCs/>
          <w:highlight w:val="yellow"/>
        </w:rPr>
        <w:t>应急物资及装备</w:t>
      </w:r>
      <w:r>
        <w:rPr>
          <w:rFonts w:eastAsia="宋体"/>
          <w:b/>
          <w:bCs/>
        </w:rPr>
        <w:t>一览表</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65"/>
        <w:gridCol w:w="1633"/>
        <w:gridCol w:w="1214"/>
        <w:gridCol w:w="1635"/>
        <w:gridCol w:w="1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jc w:val="center"/>
              <w:rPr>
                <w:rFonts w:eastAsia="宋体"/>
                <w:b/>
                <w:bCs/>
                <w:sz w:val="21"/>
                <w:szCs w:val="21"/>
              </w:rPr>
            </w:pPr>
            <w:r>
              <w:rPr>
                <w:rFonts w:eastAsia="宋体"/>
                <w:b/>
                <w:bCs/>
                <w:sz w:val="21"/>
                <w:szCs w:val="21"/>
              </w:rPr>
              <w:t>序号</w:t>
            </w:r>
          </w:p>
        </w:tc>
        <w:tc>
          <w:tcPr>
            <w:tcW w:w="1047" w:type="pct"/>
            <w:tcBorders>
              <w:tl2br w:val="nil"/>
              <w:tr2bl w:val="nil"/>
            </w:tcBorders>
            <w:vAlign w:val="center"/>
          </w:tcPr>
          <w:p>
            <w:pPr>
              <w:jc w:val="center"/>
              <w:rPr>
                <w:rFonts w:eastAsia="宋体"/>
                <w:b/>
                <w:bCs/>
                <w:sz w:val="21"/>
                <w:szCs w:val="21"/>
              </w:rPr>
            </w:pPr>
            <w:r>
              <w:rPr>
                <w:rFonts w:eastAsia="宋体"/>
                <w:b/>
                <w:bCs/>
                <w:sz w:val="21"/>
                <w:szCs w:val="21"/>
              </w:rPr>
              <w:t>名称</w:t>
            </w:r>
          </w:p>
        </w:tc>
        <w:tc>
          <w:tcPr>
            <w:tcW w:w="870" w:type="pct"/>
            <w:tcBorders>
              <w:tl2br w:val="nil"/>
              <w:tr2bl w:val="nil"/>
            </w:tcBorders>
            <w:vAlign w:val="center"/>
          </w:tcPr>
          <w:p>
            <w:pPr>
              <w:jc w:val="center"/>
              <w:rPr>
                <w:rFonts w:eastAsia="宋体"/>
                <w:b/>
                <w:bCs/>
                <w:sz w:val="21"/>
                <w:szCs w:val="21"/>
              </w:rPr>
            </w:pPr>
            <w:r>
              <w:rPr>
                <w:rFonts w:eastAsia="宋体"/>
                <w:b/>
                <w:bCs/>
                <w:sz w:val="21"/>
                <w:szCs w:val="21"/>
              </w:rPr>
              <w:t>类型</w:t>
            </w:r>
          </w:p>
        </w:tc>
        <w:tc>
          <w:tcPr>
            <w:tcW w:w="647" w:type="pct"/>
            <w:tcBorders>
              <w:tl2br w:val="nil"/>
              <w:tr2bl w:val="nil"/>
            </w:tcBorders>
            <w:vAlign w:val="center"/>
          </w:tcPr>
          <w:p>
            <w:pPr>
              <w:jc w:val="center"/>
              <w:rPr>
                <w:rFonts w:eastAsia="宋体"/>
                <w:b/>
                <w:bCs/>
                <w:sz w:val="21"/>
                <w:szCs w:val="21"/>
              </w:rPr>
            </w:pPr>
            <w:r>
              <w:rPr>
                <w:rFonts w:eastAsia="宋体"/>
                <w:b/>
                <w:bCs/>
                <w:sz w:val="21"/>
                <w:szCs w:val="21"/>
              </w:rPr>
              <w:t>数量</w:t>
            </w:r>
          </w:p>
        </w:tc>
        <w:tc>
          <w:tcPr>
            <w:tcW w:w="871" w:type="pct"/>
            <w:tcBorders>
              <w:tl2br w:val="nil"/>
              <w:tr2bl w:val="nil"/>
            </w:tcBorders>
            <w:vAlign w:val="center"/>
          </w:tcPr>
          <w:p>
            <w:pPr>
              <w:jc w:val="center"/>
              <w:rPr>
                <w:rFonts w:eastAsia="宋体"/>
                <w:b/>
                <w:bCs/>
                <w:sz w:val="21"/>
                <w:szCs w:val="21"/>
              </w:rPr>
            </w:pPr>
            <w:r>
              <w:rPr>
                <w:rFonts w:eastAsia="宋体"/>
                <w:b/>
                <w:bCs/>
                <w:sz w:val="21"/>
                <w:szCs w:val="21"/>
              </w:rPr>
              <w:t>存放位置</w:t>
            </w:r>
          </w:p>
        </w:tc>
        <w:tc>
          <w:tcPr>
            <w:tcW w:w="1050" w:type="pct"/>
            <w:tcBorders>
              <w:tl2br w:val="nil"/>
              <w:tr2bl w:val="nil"/>
            </w:tcBorders>
            <w:vAlign w:val="center"/>
          </w:tcPr>
          <w:p>
            <w:pPr>
              <w:jc w:val="center"/>
              <w:rPr>
                <w:rFonts w:eastAsia="宋体"/>
                <w:b/>
                <w:bCs/>
                <w:sz w:val="21"/>
                <w:szCs w:val="21"/>
              </w:rPr>
            </w:pPr>
            <w:r>
              <w:rPr>
                <w:rFonts w:eastAsia="宋体"/>
                <w:b/>
                <w:bCs/>
                <w:sz w:val="21"/>
                <w:szCs w:val="21"/>
              </w:rPr>
              <w:t>管理责任人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jc w:val="center"/>
              <w:rPr>
                <w:rFonts w:eastAsia="宋体"/>
                <w:sz w:val="21"/>
                <w:szCs w:val="21"/>
              </w:rPr>
            </w:pPr>
            <w:r>
              <w:rPr>
                <w:rFonts w:eastAsia="宋体"/>
                <w:sz w:val="21"/>
                <w:szCs w:val="21"/>
              </w:rPr>
              <w:t>1</w:t>
            </w:r>
          </w:p>
        </w:tc>
        <w:tc>
          <w:tcPr>
            <w:tcW w:w="1047" w:type="pct"/>
            <w:tcBorders>
              <w:tl2br w:val="nil"/>
              <w:tr2bl w:val="nil"/>
            </w:tcBorders>
            <w:vAlign w:val="center"/>
          </w:tcPr>
          <w:p>
            <w:pPr>
              <w:pStyle w:val="196"/>
              <w:ind w:left="0" w:leftChars="0" w:right="0" w:rightChars="0" w:firstLine="0" w:firstLineChars="0"/>
              <w:jc w:val="center"/>
              <w:rPr>
                <w:rFonts w:hint="eastAsia" w:ascii="Times New Roman" w:hAnsi="Times New Roman" w:eastAsia="宋体" w:cs="Times New Roman"/>
                <w:b w:val="0"/>
                <w:bCs w:val="0"/>
                <w:color w:val="000000"/>
                <w:spacing w:val="4"/>
                <w:kern w:val="2"/>
                <w:sz w:val="21"/>
                <w:szCs w:val="21"/>
                <w:lang w:val="en-US" w:eastAsia="zh-CN" w:bidi="zh-CN"/>
              </w:rPr>
            </w:pPr>
            <w:r>
              <w:rPr>
                <w:rFonts w:hint="eastAsia" w:ascii="Times New Roman" w:hAnsi="Times New Roman" w:eastAsia="宋体" w:cs="Times New Roman"/>
                <w:b w:val="0"/>
                <w:bCs w:val="0"/>
                <w:sz w:val="21"/>
                <w:szCs w:val="21"/>
                <w:lang w:val="en-US" w:eastAsia="zh-CN"/>
              </w:rPr>
              <w:t>灭火器</w:t>
            </w:r>
          </w:p>
        </w:tc>
        <w:tc>
          <w:tcPr>
            <w:tcW w:w="870" w:type="pct"/>
            <w:tcBorders>
              <w:tl2br w:val="nil"/>
              <w:tr2bl w:val="nil"/>
            </w:tcBorders>
            <w:vAlign w:val="center"/>
          </w:tcPr>
          <w:p>
            <w:pPr>
              <w:jc w:val="center"/>
              <w:rPr>
                <w:rFonts w:eastAsia="宋体"/>
                <w:sz w:val="21"/>
                <w:szCs w:val="21"/>
              </w:rPr>
            </w:pPr>
            <w:r>
              <w:rPr>
                <w:rFonts w:eastAsia="宋体"/>
                <w:sz w:val="21"/>
                <w:szCs w:val="21"/>
              </w:rPr>
              <w:t>消防设施、设备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120</w:t>
            </w:r>
          </w:p>
        </w:tc>
        <w:tc>
          <w:tcPr>
            <w:tcW w:w="871" w:type="pct"/>
            <w:tcBorders>
              <w:tl2br w:val="nil"/>
              <w:tr2bl w:val="nil"/>
            </w:tcBorders>
            <w:vAlign w:val="center"/>
          </w:tcPr>
          <w:p>
            <w:pPr>
              <w:adjustRightInd w:val="0"/>
              <w:spacing w:line="240" w:lineRule="auto"/>
              <w:ind w:left="0" w:leftChars="0" w:right="0" w:rightChars="0" w:firstLine="0" w:firstLineChars="0"/>
              <w:jc w:val="center"/>
              <w:rPr>
                <w:rFonts w:hint="default" w:ascii="Times New Roman" w:hAnsi="Times New Roman" w:eastAsia="宋体" w:cs="Times New Roman"/>
                <w:b w:val="0"/>
                <w:bCs w:val="0"/>
                <w:kern w:val="2"/>
                <w:sz w:val="21"/>
                <w:szCs w:val="21"/>
                <w:lang w:val="en-US" w:eastAsia="zh-CN" w:bidi="zh-CN"/>
              </w:rPr>
            </w:pPr>
            <w:r>
              <w:rPr>
                <w:rFonts w:hint="eastAsia" w:ascii="Times New Roman" w:hAnsi="Times New Roman" w:eastAsia="宋体" w:cs="Times New Roman"/>
                <w:b w:val="0"/>
                <w:bCs w:val="0"/>
                <w:kern w:val="2"/>
                <w:sz w:val="21"/>
                <w:szCs w:val="21"/>
                <w:lang w:val="en-US" w:eastAsia="zh-CN" w:bidi="zh-CN"/>
              </w:rPr>
              <w:t>全厂</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jc w:val="center"/>
              <w:rPr>
                <w:rFonts w:eastAsia="宋体"/>
                <w:sz w:val="21"/>
                <w:szCs w:val="21"/>
              </w:rPr>
            </w:pPr>
            <w:r>
              <w:rPr>
                <w:rFonts w:eastAsia="宋体"/>
                <w:sz w:val="21"/>
                <w:szCs w:val="21"/>
              </w:rPr>
              <w:t>2</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spacing w:val="4"/>
                <w:kern w:val="18"/>
                <w:sz w:val="21"/>
                <w:szCs w:val="21"/>
                <w:lang w:val="en-US" w:eastAsia="zh-CN" w:bidi="ar-SA"/>
              </w:rPr>
            </w:pPr>
            <w:r>
              <w:rPr>
                <w:rFonts w:hint="eastAsia" w:ascii="Times New Roman" w:hAnsi="Times New Roman" w:eastAsia="宋体" w:cs="Times New Roman"/>
                <w:b w:val="0"/>
                <w:bCs w:val="0"/>
                <w:sz w:val="21"/>
                <w:szCs w:val="21"/>
                <w:lang w:val="en-US" w:eastAsia="zh-CN"/>
              </w:rPr>
              <w:t>消防栓</w:t>
            </w:r>
          </w:p>
        </w:tc>
        <w:tc>
          <w:tcPr>
            <w:tcW w:w="870" w:type="pct"/>
            <w:tcBorders>
              <w:tl2br w:val="nil"/>
              <w:tr2bl w:val="nil"/>
            </w:tcBorders>
            <w:vAlign w:val="center"/>
          </w:tcPr>
          <w:p>
            <w:pPr>
              <w:jc w:val="center"/>
              <w:rPr>
                <w:rFonts w:eastAsia="宋体"/>
                <w:sz w:val="21"/>
                <w:szCs w:val="21"/>
              </w:rPr>
            </w:pPr>
            <w:r>
              <w:rPr>
                <w:rFonts w:eastAsia="宋体"/>
                <w:sz w:val="21"/>
                <w:szCs w:val="21"/>
              </w:rPr>
              <w:t>消防设施、设备</w:t>
            </w:r>
          </w:p>
        </w:tc>
        <w:tc>
          <w:tcPr>
            <w:tcW w:w="647" w:type="pct"/>
            <w:tcBorders>
              <w:tl2br w:val="nil"/>
              <w:tr2bl w:val="nil"/>
            </w:tcBorders>
            <w:vAlign w:val="center"/>
          </w:tcPr>
          <w:p>
            <w:pPr>
              <w:pStyle w:val="196"/>
              <w:ind w:firstLine="0" w:firstLineChars="0"/>
              <w:jc w:val="center"/>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50</w:t>
            </w:r>
          </w:p>
        </w:tc>
        <w:tc>
          <w:tcPr>
            <w:tcW w:w="871" w:type="pct"/>
            <w:tcBorders>
              <w:tl2br w:val="nil"/>
              <w:tr2bl w:val="nil"/>
            </w:tcBorders>
            <w:vAlign w:val="center"/>
          </w:tcPr>
          <w:p>
            <w:pPr>
              <w:adjustRightInd w:val="0"/>
              <w:spacing w:line="240" w:lineRule="auto"/>
              <w:ind w:left="0" w:leftChars="0" w:right="0" w:rightChars="0" w:firstLine="0" w:firstLineChars="0"/>
              <w:jc w:val="center"/>
              <w:rPr>
                <w:rFonts w:hint="default" w:ascii="Times New Roman" w:hAnsi="Times New Roman" w:eastAsia="宋体" w:cs="Times New Roman"/>
                <w:b w:val="0"/>
                <w:bCs w:val="0"/>
                <w:kern w:val="2"/>
                <w:sz w:val="21"/>
                <w:szCs w:val="21"/>
                <w:lang w:val="en-US" w:eastAsia="zh-CN" w:bidi="zh-CN"/>
              </w:rPr>
            </w:pPr>
            <w:r>
              <w:rPr>
                <w:rFonts w:hint="eastAsia" w:ascii="Times New Roman" w:hAnsi="Times New Roman" w:eastAsia="宋体" w:cs="Times New Roman"/>
                <w:b w:val="0"/>
                <w:bCs w:val="0"/>
                <w:kern w:val="2"/>
                <w:sz w:val="21"/>
                <w:szCs w:val="21"/>
                <w:lang w:val="en-US" w:eastAsia="zh-CN" w:bidi="zh-CN"/>
              </w:rPr>
              <w:t>全厂</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jc w:val="center"/>
              <w:rPr>
                <w:rFonts w:eastAsia="宋体"/>
                <w:sz w:val="21"/>
                <w:szCs w:val="21"/>
              </w:rPr>
            </w:pPr>
            <w:r>
              <w:rPr>
                <w:rFonts w:eastAsia="宋体"/>
                <w:sz w:val="21"/>
                <w:szCs w:val="21"/>
              </w:rPr>
              <w:t>3</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ascii="Times New Roman" w:hAnsi="Times New Roman" w:eastAsia="宋体" w:cs="Times New Roman"/>
                <w:b w:val="0"/>
                <w:bCs w:val="0"/>
                <w:color w:val="000000"/>
                <w:spacing w:val="4"/>
                <w:kern w:val="2"/>
                <w:sz w:val="21"/>
                <w:szCs w:val="21"/>
                <w:lang w:val="en-US" w:eastAsia="zh-CN" w:bidi="ar-SA"/>
              </w:rPr>
              <w:t>黄沙箱</w:t>
            </w:r>
          </w:p>
        </w:tc>
        <w:tc>
          <w:tcPr>
            <w:tcW w:w="870" w:type="pct"/>
            <w:tcBorders>
              <w:tl2br w:val="nil"/>
              <w:tr2bl w:val="nil"/>
            </w:tcBorders>
            <w:vAlign w:val="center"/>
          </w:tcPr>
          <w:p>
            <w:pPr>
              <w:jc w:val="center"/>
              <w:rPr>
                <w:rFonts w:eastAsia="宋体"/>
                <w:sz w:val="21"/>
                <w:szCs w:val="21"/>
              </w:rPr>
            </w:pPr>
            <w:r>
              <w:rPr>
                <w:rFonts w:eastAsia="宋体"/>
                <w:sz w:val="21"/>
                <w:szCs w:val="21"/>
              </w:rPr>
              <w:t>消防设施、设备</w:t>
            </w:r>
          </w:p>
        </w:tc>
        <w:tc>
          <w:tcPr>
            <w:tcW w:w="647" w:type="pct"/>
            <w:tcBorders>
              <w:tl2br w:val="nil"/>
              <w:tr2bl w:val="nil"/>
            </w:tcBorders>
            <w:vAlign w:val="center"/>
          </w:tcPr>
          <w:p>
            <w:pPr>
              <w:pStyle w:val="196"/>
              <w:ind w:firstLine="0" w:firstLineChars="0"/>
              <w:jc w:val="center"/>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71" w:type="pct"/>
            <w:tcBorders>
              <w:tl2br w:val="nil"/>
              <w:tr2bl w:val="nil"/>
            </w:tcBorders>
            <w:vAlign w:val="center"/>
          </w:tcPr>
          <w:p>
            <w:pPr>
              <w:adjustRightInd w:val="0"/>
              <w:spacing w:line="240" w:lineRule="auto"/>
              <w:ind w:left="0" w:leftChars="0" w:right="0" w:rightChars="0" w:firstLine="0" w:firstLineChars="0"/>
              <w:jc w:val="center"/>
              <w:rPr>
                <w:rFonts w:hint="default" w:ascii="Times New Roman" w:hAnsi="Times New Roman" w:eastAsia="宋体" w:cs="Times New Roman"/>
                <w:b w:val="0"/>
                <w:bCs w:val="0"/>
                <w:kern w:val="2"/>
                <w:sz w:val="21"/>
                <w:szCs w:val="21"/>
                <w:lang w:val="en-US" w:eastAsia="zh-CN" w:bidi="zh-CN"/>
              </w:rPr>
            </w:pPr>
            <w:r>
              <w:rPr>
                <w:rFonts w:hint="eastAsia" w:ascii="Times New Roman" w:hAnsi="Times New Roman" w:eastAsia="宋体" w:cs="Times New Roman"/>
                <w:b w:val="0"/>
                <w:bCs w:val="0"/>
                <w:kern w:val="2"/>
                <w:sz w:val="21"/>
                <w:szCs w:val="21"/>
                <w:lang w:val="en-US" w:eastAsia="zh-CN" w:bidi="zh-CN"/>
              </w:rPr>
              <w:t>配电房</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adjustRightInd w:val="0"/>
              <w:snapToGrid w:val="0"/>
              <w:jc w:val="center"/>
              <w:rPr>
                <w:rFonts w:eastAsia="宋体"/>
                <w:sz w:val="21"/>
                <w:szCs w:val="21"/>
              </w:rPr>
            </w:pPr>
            <w:r>
              <w:rPr>
                <w:rFonts w:eastAsia="宋体"/>
                <w:sz w:val="21"/>
                <w:szCs w:val="21"/>
              </w:rPr>
              <w:t>4</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ascii="Times New Roman" w:hAnsi="Times New Roman" w:eastAsia="宋体" w:cs="Times New Roman"/>
                <w:b w:val="0"/>
                <w:bCs w:val="0"/>
                <w:color w:val="000000"/>
                <w:kern w:val="2"/>
                <w:sz w:val="21"/>
                <w:szCs w:val="21"/>
              </w:rPr>
              <w:t>应急照明、出口灯</w:t>
            </w:r>
          </w:p>
        </w:tc>
        <w:tc>
          <w:tcPr>
            <w:tcW w:w="870" w:type="pct"/>
            <w:tcBorders>
              <w:tl2br w:val="nil"/>
              <w:tr2bl w:val="nil"/>
            </w:tcBorders>
            <w:vAlign w:val="center"/>
          </w:tcPr>
          <w:p>
            <w:pPr>
              <w:adjustRightInd w:val="0"/>
              <w:snapToGrid w:val="0"/>
              <w:jc w:val="center"/>
              <w:rPr>
                <w:rFonts w:eastAsia="宋体"/>
                <w:sz w:val="21"/>
                <w:szCs w:val="21"/>
              </w:rPr>
            </w:pPr>
            <w:r>
              <w:rPr>
                <w:rFonts w:eastAsia="宋体"/>
                <w:sz w:val="21"/>
                <w:szCs w:val="21"/>
              </w:rPr>
              <w:t>现场设施、设备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50</w:t>
            </w:r>
          </w:p>
        </w:tc>
        <w:tc>
          <w:tcPr>
            <w:tcW w:w="871" w:type="pct"/>
            <w:tcBorders>
              <w:tl2br w:val="nil"/>
              <w:tr2bl w:val="nil"/>
            </w:tcBorders>
            <w:vAlign w:val="center"/>
          </w:tcPr>
          <w:p>
            <w:pPr>
              <w:pStyle w:val="196"/>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全厂</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adjustRightInd w:val="0"/>
              <w:snapToGrid w:val="0"/>
              <w:jc w:val="center"/>
              <w:rPr>
                <w:rFonts w:eastAsia="宋体"/>
                <w:sz w:val="21"/>
                <w:szCs w:val="21"/>
              </w:rPr>
            </w:pPr>
            <w:r>
              <w:rPr>
                <w:rFonts w:eastAsia="宋体"/>
                <w:sz w:val="21"/>
                <w:szCs w:val="21"/>
              </w:rPr>
              <w:t>5</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ascii="Times New Roman" w:hAnsi="Times New Roman" w:eastAsia="宋体" w:cs="Times New Roman"/>
                <w:b w:val="0"/>
                <w:bCs w:val="0"/>
                <w:color w:val="000000"/>
                <w:kern w:val="2"/>
                <w:sz w:val="21"/>
                <w:szCs w:val="21"/>
              </w:rPr>
              <w:t>铁铲</w:t>
            </w:r>
          </w:p>
        </w:tc>
        <w:tc>
          <w:tcPr>
            <w:tcW w:w="870" w:type="pct"/>
            <w:tcBorders>
              <w:tl2br w:val="nil"/>
              <w:tr2bl w:val="nil"/>
            </w:tcBorders>
            <w:vAlign w:val="center"/>
          </w:tcPr>
          <w:p>
            <w:pPr>
              <w:adjustRightInd w:val="0"/>
              <w:snapToGrid w:val="0"/>
              <w:jc w:val="center"/>
              <w:rPr>
                <w:rFonts w:eastAsia="宋体"/>
                <w:sz w:val="21"/>
                <w:szCs w:val="21"/>
              </w:rPr>
            </w:pPr>
            <w:r>
              <w:rPr>
                <w:rFonts w:eastAsia="宋体"/>
                <w:sz w:val="21"/>
                <w:szCs w:val="21"/>
              </w:rPr>
              <w:t>现场设施、设备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71" w:type="pct"/>
            <w:tcBorders>
              <w:tl2br w:val="nil"/>
              <w:tr2bl w:val="nil"/>
            </w:tcBorders>
            <w:vAlign w:val="center"/>
          </w:tcPr>
          <w:p>
            <w:pPr>
              <w:pStyle w:val="196"/>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adjustRightInd w:val="0"/>
              <w:snapToGrid w:val="0"/>
              <w:jc w:val="center"/>
              <w:rPr>
                <w:rFonts w:eastAsia="宋体"/>
                <w:sz w:val="21"/>
                <w:szCs w:val="21"/>
              </w:rPr>
            </w:pPr>
            <w:r>
              <w:rPr>
                <w:rFonts w:eastAsia="宋体"/>
                <w:sz w:val="21"/>
                <w:szCs w:val="21"/>
              </w:rPr>
              <w:t>6</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ascii="Times New Roman" w:hAnsi="Times New Roman" w:eastAsia="宋体" w:cs="Times New Roman"/>
                <w:b w:val="0"/>
                <w:bCs w:val="0"/>
                <w:color w:val="000000"/>
                <w:kern w:val="2"/>
                <w:sz w:val="21"/>
                <w:szCs w:val="21"/>
                <w:lang w:val="en-US" w:eastAsia="zh-CN"/>
              </w:rPr>
              <w:t>消防服</w:t>
            </w:r>
          </w:p>
        </w:tc>
        <w:tc>
          <w:tcPr>
            <w:tcW w:w="870" w:type="pct"/>
            <w:tcBorders>
              <w:tl2br w:val="nil"/>
              <w:tr2bl w:val="nil"/>
            </w:tcBorders>
            <w:vAlign w:val="center"/>
          </w:tcPr>
          <w:p>
            <w:pPr>
              <w:adjustRightInd w:val="0"/>
              <w:snapToGrid w:val="0"/>
              <w:jc w:val="center"/>
              <w:rPr>
                <w:rFonts w:eastAsia="宋体"/>
                <w:sz w:val="21"/>
                <w:szCs w:val="21"/>
              </w:rPr>
            </w:pPr>
            <w:r>
              <w:rPr>
                <w:rFonts w:eastAsia="宋体"/>
                <w:sz w:val="21"/>
                <w:szCs w:val="21"/>
              </w:rPr>
              <w:t>现场设施、设备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71"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adjustRightInd w:val="0"/>
              <w:snapToGrid w:val="0"/>
              <w:jc w:val="center"/>
              <w:rPr>
                <w:rFonts w:eastAsia="宋体"/>
                <w:sz w:val="21"/>
                <w:szCs w:val="21"/>
              </w:rPr>
            </w:pPr>
            <w:r>
              <w:rPr>
                <w:rFonts w:eastAsia="宋体"/>
                <w:sz w:val="21"/>
                <w:szCs w:val="21"/>
              </w:rPr>
              <w:t>7</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ascii="Times New Roman" w:hAnsi="Times New Roman" w:eastAsia="宋体" w:cs="Times New Roman"/>
                <w:b w:val="0"/>
                <w:bCs w:val="0"/>
                <w:color w:val="000000"/>
                <w:spacing w:val="4"/>
                <w:kern w:val="2"/>
                <w:sz w:val="21"/>
                <w:szCs w:val="21"/>
                <w:lang w:val="en-US" w:eastAsia="zh-CN" w:bidi="ar-SA"/>
              </w:rPr>
              <w:t>消防靴</w:t>
            </w:r>
          </w:p>
        </w:tc>
        <w:tc>
          <w:tcPr>
            <w:tcW w:w="870" w:type="pct"/>
            <w:tcBorders>
              <w:tl2br w:val="nil"/>
              <w:tr2bl w:val="nil"/>
            </w:tcBorders>
            <w:vAlign w:val="center"/>
          </w:tcPr>
          <w:p>
            <w:pPr>
              <w:adjustRightInd w:val="0"/>
              <w:snapToGrid w:val="0"/>
              <w:jc w:val="center"/>
              <w:rPr>
                <w:rFonts w:eastAsia="宋体"/>
                <w:sz w:val="21"/>
                <w:szCs w:val="21"/>
              </w:rPr>
            </w:pPr>
            <w:r>
              <w:rPr>
                <w:rFonts w:eastAsia="宋体"/>
                <w:sz w:val="21"/>
                <w:szCs w:val="21"/>
              </w:rPr>
              <w:t>现场设施、设备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71"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adjustRightInd w:val="0"/>
              <w:snapToGrid w:val="0"/>
              <w:jc w:val="center"/>
              <w:rPr>
                <w:rFonts w:eastAsia="宋体"/>
                <w:sz w:val="21"/>
                <w:szCs w:val="21"/>
              </w:rPr>
            </w:pPr>
            <w:r>
              <w:rPr>
                <w:rFonts w:eastAsia="宋体"/>
                <w:sz w:val="21"/>
                <w:szCs w:val="21"/>
              </w:rPr>
              <w:t>8</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ascii="Times New Roman" w:hAnsi="Times New Roman" w:eastAsia="宋体" w:cs="Times New Roman"/>
                <w:b w:val="0"/>
                <w:bCs w:val="0"/>
                <w:color w:val="000000"/>
                <w:spacing w:val="4"/>
                <w:kern w:val="2"/>
                <w:sz w:val="21"/>
                <w:szCs w:val="21"/>
                <w:lang w:val="en-US" w:eastAsia="zh-CN" w:bidi="ar-SA"/>
              </w:rPr>
              <w:t>安全帽</w:t>
            </w:r>
          </w:p>
        </w:tc>
        <w:tc>
          <w:tcPr>
            <w:tcW w:w="870" w:type="pct"/>
            <w:tcBorders>
              <w:tl2br w:val="nil"/>
              <w:tr2bl w:val="nil"/>
            </w:tcBorders>
            <w:vAlign w:val="center"/>
          </w:tcPr>
          <w:p>
            <w:pPr>
              <w:adjustRightInd w:val="0"/>
              <w:snapToGrid w:val="0"/>
              <w:jc w:val="center"/>
              <w:rPr>
                <w:rFonts w:eastAsia="宋体"/>
                <w:sz w:val="21"/>
                <w:szCs w:val="21"/>
              </w:rPr>
            </w:pPr>
            <w:r>
              <w:rPr>
                <w:rFonts w:eastAsia="宋体"/>
                <w:sz w:val="21"/>
                <w:szCs w:val="21"/>
              </w:rPr>
              <w:t>现场设施、设备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71"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511" w:type="pct"/>
            <w:tcBorders>
              <w:tl2br w:val="nil"/>
              <w:tr2bl w:val="nil"/>
            </w:tcBorders>
            <w:vAlign w:val="center"/>
          </w:tcPr>
          <w:p>
            <w:pPr>
              <w:adjustRightInd w:val="0"/>
              <w:snapToGrid w:val="0"/>
              <w:jc w:val="center"/>
              <w:rPr>
                <w:rFonts w:eastAsia="宋体"/>
                <w:sz w:val="21"/>
                <w:szCs w:val="21"/>
              </w:rPr>
            </w:pPr>
            <w:r>
              <w:rPr>
                <w:rFonts w:eastAsia="宋体"/>
                <w:sz w:val="21"/>
                <w:szCs w:val="21"/>
              </w:rPr>
              <w:t>9</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ascii="Times New Roman" w:hAnsi="Times New Roman" w:eastAsia="宋体" w:cs="Times New Roman"/>
                <w:b w:val="0"/>
                <w:bCs w:val="0"/>
                <w:color w:val="000000"/>
                <w:spacing w:val="4"/>
                <w:kern w:val="2"/>
                <w:sz w:val="21"/>
                <w:szCs w:val="21"/>
                <w:lang w:val="en-US" w:eastAsia="zh-CN" w:bidi="zh-CN"/>
              </w:rPr>
              <w:t>防毒面具</w:t>
            </w:r>
          </w:p>
        </w:tc>
        <w:tc>
          <w:tcPr>
            <w:tcW w:w="870" w:type="pct"/>
            <w:tcBorders>
              <w:tl2br w:val="nil"/>
              <w:tr2bl w:val="nil"/>
            </w:tcBorders>
            <w:vAlign w:val="center"/>
          </w:tcPr>
          <w:p>
            <w:pPr>
              <w:adjustRightInd w:val="0"/>
              <w:snapToGrid w:val="0"/>
              <w:jc w:val="center"/>
              <w:rPr>
                <w:rFonts w:eastAsia="宋体"/>
                <w:sz w:val="21"/>
                <w:szCs w:val="21"/>
              </w:rPr>
            </w:pPr>
            <w:r>
              <w:rPr>
                <w:rFonts w:eastAsia="宋体"/>
                <w:sz w:val="21"/>
                <w:szCs w:val="21"/>
              </w:rPr>
              <w:t>现场设施、设备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71"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adjustRightInd w:val="0"/>
              <w:snapToGrid w:val="0"/>
              <w:jc w:val="center"/>
              <w:rPr>
                <w:rFonts w:eastAsia="宋体"/>
                <w:sz w:val="21"/>
                <w:szCs w:val="21"/>
              </w:rPr>
            </w:pPr>
            <w:r>
              <w:rPr>
                <w:rFonts w:eastAsia="宋体"/>
                <w:sz w:val="21"/>
                <w:szCs w:val="21"/>
              </w:rPr>
              <w:t>10</w:t>
            </w:r>
          </w:p>
        </w:tc>
        <w:tc>
          <w:tcPr>
            <w:tcW w:w="1047" w:type="pct"/>
            <w:tcBorders>
              <w:tl2br w:val="nil"/>
              <w:tr2bl w:val="nil"/>
            </w:tcBorders>
            <w:vAlign w:val="center"/>
          </w:tcPr>
          <w:p>
            <w:pPr>
              <w:pStyle w:val="196"/>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应急泵</w:t>
            </w:r>
          </w:p>
        </w:tc>
        <w:tc>
          <w:tcPr>
            <w:tcW w:w="870" w:type="pct"/>
            <w:tcBorders>
              <w:tl2br w:val="nil"/>
              <w:tr2bl w:val="nil"/>
            </w:tcBorders>
            <w:vAlign w:val="center"/>
          </w:tcPr>
          <w:p>
            <w:pPr>
              <w:adjustRightInd w:val="0"/>
              <w:snapToGrid w:val="0"/>
              <w:jc w:val="center"/>
              <w:rPr>
                <w:rFonts w:eastAsia="宋体"/>
                <w:sz w:val="21"/>
                <w:szCs w:val="21"/>
              </w:rPr>
            </w:pPr>
            <w:r>
              <w:rPr>
                <w:rFonts w:eastAsia="宋体"/>
                <w:sz w:val="21"/>
                <w:szCs w:val="21"/>
              </w:rPr>
              <w:t>现场设施、设备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71" w:type="pct"/>
            <w:tcBorders>
              <w:tl2br w:val="nil"/>
              <w:tr2bl w:val="nil"/>
            </w:tcBorders>
            <w:vAlign w:val="center"/>
          </w:tcPr>
          <w:p>
            <w:pPr>
              <w:pStyle w:val="196"/>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消防控制室</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adjustRightInd w:val="0"/>
              <w:snapToGrid w:val="0"/>
              <w:jc w:val="center"/>
              <w:rPr>
                <w:rFonts w:eastAsia="宋体"/>
                <w:sz w:val="21"/>
                <w:szCs w:val="21"/>
              </w:rPr>
            </w:pPr>
            <w:r>
              <w:rPr>
                <w:rFonts w:eastAsia="宋体"/>
                <w:sz w:val="21"/>
                <w:szCs w:val="21"/>
              </w:rPr>
              <w:t>11</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ascii="Times New Roman" w:hAnsi="Times New Roman" w:eastAsia="宋体" w:cs="Times New Roman"/>
                <w:b w:val="0"/>
                <w:bCs w:val="0"/>
                <w:color w:val="000000"/>
                <w:kern w:val="2"/>
                <w:sz w:val="21"/>
                <w:szCs w:val="21"/>
              </w:rPr>
              <w:t>急救药箱</w:t>
            </w:r>
          </w:p>
        </w:tc>
        <w:tc>
          <w:tcPr>
            <w:tcW w:w="870" w:type="pct"/>
            <w:tcBorders>
              <w:tl2br w:val="nil"/>
              <w:tr2bl w:val="nil"/>
            </w:tcBorders>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eastAsia="宋体"/>
                <w:sz w:val="21"/>
                <w:szCs w:val="21"/>
              </w:rPr>
              <w:t>现场设施、设备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71" w:type="pct"/>
            <w:tcBorders>
              <w:tl2br w:val="nil"/>
              <w:tr2bl w:val="nil"/>
            </w:tcBorders>
            <w:vAlign w:val="center"/>
          </w:tcPr>
          <w:p>
            <w:pPr>
              <w:pStyle w:val="196"/>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jc w:val="center"/>
              <w:rPr>
                <w:rFonts w:eastAsia="宋体"/>
                <w:sz w:val="21"/>
                <w:szCs w:val="21"/>
              </w:rPr>
            </w:pPr>
            <w:r>
              <w:rPr>
                <w:rFonts w:eastAsia="宋体"/>
                <w:sz w:val="21"/>
                <w:szCs w:val="21"/>
              </w:rPr>
              <w:t>12</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ascii="Times New Roman" w:hAnsi="Times New Roman" w:eastAsia="宋体" w:cs="Times New Roman"/>
                <w:b w:val="0"/>
                <w:bCs w:val="0"/>
                <w:color w:val="000000"/>
                <w:kern w:val="2"/>
                <w:sz w:val="21"/>
                <w:szCs w:val="21"/>
              </w:rPr>
              <w:t>纱布</w:t>
            </w:r>
          </w:p>
        </w:tc>
        <w:tc>
          <w:tcPr>
            <w:tcW w:w="870" w:type="pc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急救设施、设备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71" w:type="pct"/>
            <w:tcBorders>
              <w:tl2br w:val="nil"/>
              <w:tr2bl w:val="nil"/>
            </w:tcBorders>
            <w:vAlign w:val="center"/>
          </w:tcPr>
          <w:p>
            <w:pPr>
              <w:pStyle w:val="196"/>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jc w:val="center"/>
              <w:rPr>
                <w:rFonts w:eastAsia="宋体"/>
                <w:sz w:val="21"/>
                <w:szCs w:val="21"/>
              </w:rPr>
            </w:pPr>
            <w:r>
              <w:rPr>
                <w:rFonts w:eastAsia="宋体"/>
                <w:sz w:val="21"/>
                <w:szCs w:val="21"/>
              </w:rPr>
              <w:t>13</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ascii="Times New Roman" w:hAnsi="Times New Roman" w:eastAsia="宋体" w:cs="Times New Roman"/>
                <w:b w:val="0"/>
                <w:bCs w:val="0"/>
                <w:color w:val="000000"/>
                <w:kern w:val="2"/>
                <w:sz w:val="21"/>
                <w:szCs w:val="21"/>
              </w:rPr>
              <w:t>绷带</w:t>
            </w:r>
          </w:p>
        </w:tc>
        <w:tc>
          <w:tcPr>
            <w:tcW w:w="870" w:type="pct"/>
            <w:tcBorders>
              <w:tl2br w:val="nil"/>
              <w:tr2bl w:val="nil"/>
            </w:tcBorders>
            <w:vAlign w:val="center"/>
          </w:tcPr>
          <w:p>
            <w:pPr>
              <w:jc w:val="center"/>
              <w:rPr>
                <w:rFonts w:eastAsia="宋体"/>
                <w:sz w:val="21"/>
                <w:szCs w:val="21"/>
              </w:rPr>
            </w:pPr>
            <w:r>
              <w:rPr>
                <w:rFonts w:eastAsia="宋体"/>
                <w:sz w:val="21"/>
                <w:szCs w:val="21"/>
              </w:rPr>
              <w:t>急救设施、设备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71" w:type="pct"/>
            <w:tcBorders>
              <w:tl2br w:val="nil"/>
              <w:tr2bl w:val="nil"/>
            </w:tcBorders>
            <w:vAlign w:val="center"/>
          </w:tcPr>
          <w:p>
            <w:pPr>
              <w:pStyle w:val="196"/>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jc w:val="center"/>
              <w:rPr>
                <w:rFonts w:eastAsia="宋体"/>
                <w:sz w:val="21"/>
                <w:szCs w:val="21"/>
              </w:rPr>
            </w:pPr>
            <w:r>
              <w:rPr>
                <w:rFonts w:eastAsia="宋体"/>
                <w:sz w:val="21"/>
                <w:szCs w:val="21"/>
              </w:rPr>
              <w:t>14</w:t>
            </w:r>
          </w:p>
        </w:tc>
        <w:tc>
          <w:tcPr>
            <w:tcW w:w="1047" w:type="pct"/>
            <w:tcBorders>
              <w:tl2br w:val="nil"/>
              <w:tr2bl w:val="nil"/>
            </w:tcBorders>
            <w:vAlign w:val="center"/>
          </w:tcPr>
          <w:p>
            <w:pPr>
              <w:pStyle w:val="196"/>
              <w:ind w:left="0" w:leftChars="0" w:right="0" w:rightChars="0" w:firstLine="0" w:firstLine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rPr>
              <w:t>创口贴</w:t>
            </w:r>
          </w:p>
        </w:tc>
        <w:tc>
          <w:tcPr>
            <w:tcW w:w="870" w:type="pct"/>
            <w:tcBorders>
              <w:tl2br w:val="nil"/>
              <w:tr2bl w:val="nil"/>
            </w:tcBorders>
            <w:vAlign w:val="center"/>
          </w:tcPr>
          <w:p>
            <w:pPr>
              <w:jc w:val="center"/>
              <w:rPr>
                <w:rFonts w:eastAsia="宋体"/>
                <w:sz w:val="21"/>
                <w:szCs w:val="21"/>
              </w:rPr>
            </w:pPr>
            <w:r>
              <w:rPr>
                <w:rFonts w:eastAsia="宋体"/>
                <w:sz w:val="21"/>
                <w:szCs w:val="21"/>
              </w:rPr>
              <w:t>急救设施、设备</w:t>
            </w:r>
          </w:p>
        </w:tc>
        <w:tc>
          <w:tcPr>
            <w:tcW w:w="647" w:type="pct"/>
            <w:tcBorders>
              <w:tl2br w:val="nil"/>
              <w:tr2bl w:val="nil"/>
            </w:tcBorders>
            <w:vAlign w:val="center"/>
          </w:tcPr>
          <w:p>
            <w:pPr>
              <w:pStyle w:val="196"/>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71" w:type="pct"/>
            <w:tcBorders>
              <w:tl2br w:val="nil"/>
              <w:tr2bl w:val="nil"/>
            </w:tcBorders>
            <w:vAlign w:val="center"/>
          </w:tcPr>
          <w:p>
            <w:pPr>
              <w:pStyle w:val="196"/>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1" w:type="pct"/>
            <w:tcBorders>
              <w:tl2br w:val="nil"/>
              <w:tr2bl w:val="nil"/>
            </w:tcBorders>
            <w:vAlign w:val="center"/>
          </w:tcPr>
          <w:p>
            <w:pPr>
              <w:jc w:val="center"/>
              <w:rPr>
                <w:rFonts w:eastAsia="宋体"/>
                <w:sz w:val="21"/>
                <w:szCs w:val="21"/>
              </w:rPr>
            </w:pPr>
            <w:r>
              <w:rPr>
                <w:rFonts w:eastAsia="宋体"/>
                <w:sz w:val="21"/>
                <w:szCs w:val="21"/>
              </w:rPr>
              <w:t>15</w:t>
            </w:r>
          </w:p>
        </w:tc>
        <w:tc>
          <w:tcPr>
            <w:tcW w:w="1047" w:type="pct"/>
            <w:tcBorders>
              <w:tl2br w:val="nil"/>
              <w:tr2bl w:val="nil"/>
            </w:tcBorders>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rPr>
              <w:t>烫伤膏</w:t>
            </w:r>
          </w:p>
        </w:tc>
        <w:tc>
          <w:tcPr>
            <w:tcW w:w="870" w:type="pct"/>
            <w:tcBorders>
              <w:tl2br w:val="nil"/>
              <w:tr2bl w:val="nil"/>
            </w:tcBorders>
            <w:vAlign w:val="center"/>
          </w:tcPr>
          <w:p>
            <w:pPr>
              <w:jc w:val="center"/>
              <w:rPr>
                <w:rFonts w:eastAsia="宋体"/>
                <w:sz w:val="21"/>
                <w:szCs w:val="21"/>
              </w:rPr>
            </w:pPr>
            <w:r>
              <w:rPr>
                <w:rFonts w:eastAsia="宋体"/>
                <w:sz w:val="21"/>
                <w:szCs w:val="21"/>
              </w:rPr>
              <w:t>急救设施、设备</w:t>
            </w:r>
          </w:p>
        </w:tc>
        <w:tc>
          <w:tcPr>
            <w:tcW w:w="647" w:type="pct"/>
            <w:tcBorders>
              <w:tl2br w:val="nil"/>
              <w:tr2bl w:val="nil"/>
            </w:tcBorders>
            <w:vAlign w:val="center"/>
          </w:tcPr>
          <w:p>
            <w:pPr>
              <w:pStyle w:val="196"/>
              <w:ind w:firstLine="0" w:firstLineChars="0"/>
              <w:jc w:val="center"/>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71" w:type="pct"/>
            <w:tcBorders>
              <w:tl2br w:val="nil"/>
              <w:tr2bl w:val="nil"/>
            </w:tcBorders>
            <w:vAlign w:val="center"/>
          </w:tcPr>
          <w:p>
            <w:pPr>
              <w:pStyle w:val="196"/>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1050" w:type="pct"/>
            <w:tcBorders>
              <w:tl2br w:val="nil"/>
              <w:tr2bl w:val="nil"/>
            </w:tcBorders>
            <w:vAlign w:val="center"/>
          </w:tcPr>
          <w:p>
            <w:pPr>
              <w:jc w:val="center"/>
              <w:rPr>
                <w:rFonts w:hint="eastAsia" w:eastAsia="宋体"/>
                <w:sz w:val="21"/>
                <w:szCs w:val="21"/>
                <w:lang w:eastAsia="zh-CN"/>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hint="default" w:eastAsia="宋体"/>
                <w:sz w:val="21"/>
                <w:szCs w:val="21"/>
                <w:lang w:val="en-US" w:eastAsia="zh-CN"/>
              </w:rPr>
            </w:pPr>
            <w:bookmarkStart w:id="163" w:name="_TOC_250047"/>
            <w:bookmarkEnd w:id="163"/>
            <w:bookmarkStart w:id="164" w:name="3.7.3应急监测能力"/>
            <w:bookmarkEnd w:id="164"/>
            <w:bookmarkStart w:id="165" w:name="_Toc3357"/>
            <w:bookmarkStart w:id="166" w:name="_Toc14714"/>
            <w:r>
              <w:rPr>
                <w:rFonts w:hint="eastAsia" w:eastAsia="宋体"/>
                <w:sz w:val="21"/>
                <w:szCs w:val="21"/>
                <w:lang w:val="en-US" w:eastAsia="zh-CN"/>
              </w:rPr>
              <w:t>16</w:t>
            </w:r>
          </w:p>
        </w:tc>
        <w:tc>
          <w:tcPr>
            <w:tcW w:w="0" w:type="auto"/>
            <w:vAlign w:val="center"/>
          </w:tcPr>
          <w:p>
            <w:pPr>
              <w:pStyle w:val="196"/>
              <w:ind w:left="0" w:leftChars="0" w:right="0" w:rightChars="0" w:firstLine="0" w:firstLineChars="0"/>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rPr>
              <w:t>藿香正气水</w:t>
            </w:r>
          </w:p>
        </w:tc>
        <w:tc>
          <w:tcPr>
            <w:tcW w:w="0" w:type="auto"/>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eastAsia="宋体"/>
                <w:sz w:val="21"/>
                <w:szCs w:val="21"/>
              </w:rPr>
              <w:t>现场设施、设备</w:t>
            </w:r>
          </w:p>
        </w:tc>
        <w:tc>
          <w:tcPr>
            <w:tcW w:w="0" w:type="auto"/>
            <w:vAlign w:val="center"/>
          </w:tcPr>
          <w:p>
            <w:pPr>
              <w:pStyle w:val="196"/>
              <w:ind w:firstLine="0" w:firstLineChars="0"/>
              <w:jc w:val="center"/>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0" w:type="auto"/>
            <w:vAlign w:val="center"/>
          </w:tcPr>
          <w:p>
            <w:pPr>
              <w:pStyle w:val="196"/>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bookmarkStart w:id="371" w:name="_GoBack"/>
            <w:bookmarkEnd w:id="371"/>
          </w:p>
        </w:tc>
        <w:tc>
          <w:tcPr>
            <w:tcW w:w="0" w:type="auto"/>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hint="default" w:eastAsia="宋体"/>
                <w:sz w:val="21"/>
                <w:szCs w:val="21"/>
                <w:lang w:val="en-US" w:eastAsia="zh-CN"/>
              </w:rPr>
            </w:pPr>
            <w:r>
              <w:rPr>
                <w:rFonts w:hint="eastAsia" w:eastAsia="宋体"/>
                <w:sz w:val="21"/>
                <w:szCs w:val="21"/>
                <w:lang w:val="en-US" w:eastAsia="zh-CN"/>
              </w:rPr>
              <w:t>17</w:t>
            </w:r>
          </w:p>
        </w:tc>
        <w:tc>
          <w:tcPr>
            <w:tcW w:w="0" w:type="auto"/>
            <w:vAlign w:val="center"/>
          </w:tcPr>
          <w:p>
            <w:pPr>
              <w:pStyle w:val="196"/>
              <w:ind w:left="0" w:leftChars="0" w:right="0" w:rightChars="0" w:firstLine="0" w:firstLineChars="0"/>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rPr>
              <w:t>酒精</w:t>
            </w:r>
          </w:p>
        </w:tc>
        <w:tc>
          <w:tcPr>
            <w:tcW w:w="0" w:type="auto"/>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急救设施、设备</w:t>
            </w:r>
          </w:p>
        </w:tc>
        <w:tc>
          <w:tcPr>
            <w:tcW w:w="0" w:type="auto"/>
            <w:vAlign w:val="center"/>
          </w:tcPr>
          <w:p>
            <w:pPr>
              <w:pStyle w:val="196"/>
              <w:ind w:firstLine="0" w:firstLineChars="0"/>
              <w:jc w:val="center"/>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0" w:type="auto"/>
            <w:vAlign w:val="center"/>
          </w:tcPr>
          <w:p>
            <w:pPr>
              <w:pStyle w:val="196"/>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0" w:type="auto"/>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eastAsia="zh-CN"/>
              </w:rPr>
              <w:t>陶桂平</w:t>
            </w:r>
          </w:p>
        </w:tc>
      </w:tr>
    </w:tbl>
    <w:p>
      <w:pPr>
        <w:pStyle w:val="251"/>
        <w:snapToGrid w:val="0"/>
        <w:outlineLvl w:val="2"/>
        <w:rPr>
          <w:rFonts w:eastAsia="宋体"/>
          <w:szCs w:val="24"/>
        </w:rPr>
      </w:pPr>
      <w:bookmarkStart w:id="167" w:name="_Toc28616"/>
      <w:r>
        <w:rPr>
          <w:rFonts w:eastAsia="宋体"/>
          <w:szCs w:val="24"/>
        </w:rPr>
        <w:t>3.</w:t>
      </w:r>
      <w:r>
        <w:rPr>
          <w:rFonts w:hint="eastAsia"/>
          <w:szCs w:val="24"/>
        </w:rPr>
        <w:t>8.3</w:t>
      </w:r>
      <w:r>
        <w:rPr>
          <w:rFonts w:hint="eastAsia" w:eastAsia="宋体"/>
          <w:szCs w:val="24"/>
        </w:rPr>
        <w:t>应急监测能力</w:t>
      </w:r>
      <w:bookmarkEnd w:id="165"/>
      <w:bookmarkEnd w:id="166"/>
      <w:bookmarkEnd w:id="167"/>
    </w:p>
    <w:p>
      <w:pPr>
        <w:pStyle w:val="13"/>
        <w:spacing w:after="0" w:line="500" w:lineRule="exact"/>
        <w:ind w:firstLine="440" w:firstLineChars="200"/>
        <w:rPr>
          <w:rFonts w:eastAsia="宋体"/>
          <w:spacing w:val="-10"/>
        </w:rPr>
      </w:pPr>
      <w:r>
        <w:rPr>
          <w:rFonts w:eastAsia="宋体"/>
          <w:spacing w:val="-10"/>
        </w:rPr>
        <w:t>目前我公司无应急监测能力（人员、监测设备不具备），委托江苏裕和检测技术有限公司进行应急监测。</w:t>
      </w:r>
    </w:p>
    <w:p>
      <w:pPr>
        <w:pStyle w:val="251"/>
        <w:snapToGrid w:val="0"/>
        <w:outlineLvl w:val="2"/>
        <w:rPr>
          <w:rFonts w:eastAsia="宋体"/>
          <w:szCs w:val="24"/>
        </w:rPr>
      </w:pPr>
      <w:bookmarkStart w:id="168" w:name="3.7.4内部应急队伍"/>
      <w:bookmarkEnd w:id="168"/>
      <w:bookmarkStart w:id="169" w:name="_TOC_250046"/>
      <w:bookmarkEnd w:id="169"/>
      <w:bookmarkStart w:id="170" w:name="_Toc1667"/>
      <w:bookmarkStart w:id="171" w:name="_Toc5748"/>
      <w:bookmarkStart w:id="172" w:name="_Toc5943"/>
      <w:r>
        <w:rPr>
          <w:rFonts w:eastAsia="宋体"/>
          <w:szCs w:val="24"/>
        </w:rPr>
        <w:t>3.</w:t>
      </w:r>
      <w:r>
        <w:rPr>
          <w:rFonts w:hint="eastAsia"/>
          <w:szCs w:val="24"/>
        </w:rPr>
        <w:t>8.4</w:t>
      </w:r>
      <w:r>
        <w:rPr>
          <w:rFonts w:hint="eastAsia" w:eastAsia="宋体"/>
          <w:szCs w:val="24"/>
        </w:rPr>
        <w:t>内部应急队伍</w:t>
      </w:r>
      <w:bookmarkEnd w:id="170"/>
      <w:bookmarkEnd w:id="171"/>
      <w:bookmarkEnd w:id="172"/>
    </w:p>
    <w:p>
      <w:pPr>
        <w:pStyle w:val="13"/>
        <w:spacing w:after="0" w:line="500" w:lineRule="exact"/>
        <w:ind w:firstLine="440" w:firstLineChars="200"/>
      </w:pPr>
      <w:r>
        <w:rPr>
          <w:rFonts w:hint="eastAsia" w:eastAsia="宋体"/>
          <w:spacing w:val="-10"/>
          <w:lang w:eastAsia="zh-CN"/>
        </w:rPr>
        <w:t>家得福家具海安有限公司</w:t>
      </w:r>
      <w:r>
        <w:rPr>
          <w:rFonts w:eastAsia="宋体"/>
          <w:spacing w:val="-10"/>
        </w:rPr>
        <w:t>针对应急预案应急救援组织机构下设总指挥、副总指挥、综合</w:t>
      </w:r>
      <w:r>
        <w:rPr>
          <w:rFonts w:hint="eastAsia" w:eastAsia="宋体"/>
          <w:spacing w:val="-10"/>
        </w:rPr>
        <w:t>协调</w:t>
      </w:r>
      <w:r>
        <w:rPr>
          <w:rFonts w:eastAsia="宋体"/>
          <w:spacing w:val="-10"/>
        </w:rPr>
        <w:t>组、</w:t>
      </w:r>
      <w:r>
        <w:rPr>
          <w:rFonts w:hint="eastAsia" w:eastAsia="宋体"/>
          <w:spacing w:val="-10"/>
        </w:rPr>
        <w:t>现场处置</w:t>
      </w:r>
      <w:r>
        <w:rPr>
          <w:rFonts w:eastAsia="宋体"/>
          <w:spacing w:val="-10"/>
        </w:rPr>
        <w:t>组、</w:t>
      </w:r>
      <w:r>
        <w:rPr>
          <w:rFonts w:hint="eastAsia" w:eastAsia="宋体"/>
          <w:spacing w:val="-10"/>
        </w:rPr>
        <w:t>应急保障</w:t>
      </w:r>
      <w:r>
        <w:rPr>
          <w:rFonts w:eastAsia="宋体"/>
          <w:spacing w:val="-10"/>
        </w:rPr>
        <w:t>组、</w:t>
      </w:r>
      <w:r>
        <w:rPr>
          <w:rFonts w:hint="eastAsia" w:eastAsia="宋体"/>
          <w:spacing w:val="-10"/>
        </w:rPr>
        <w:t>医疗救治</w:t>
      </w:r>
      <w:r>
        <w:rPr>
          <w:rFonts w:eastAsia="宋体"/>
          <w:spacing w:val="-10"/>
        </w:rPr>
        <w:t>组、</w:t>
      </w:r>
      <w:r>
        <w:rPr>
          <w:rFonts w:hint="eastAsia" w:eastAsia="宋体"/>
          <w:spacing w:val="-10"/>
        </w:rPr>
        <w:t>应急</w:t>
      </w:r>
      <w:r>
        <w:rPr>
          <w:rFonts w:eastAsia="宋体"/>
          <w:spacing w:val="-10"/>
        </w:rPr>
        <w:t>监测组。具体救援组成员见表 3-</w:t>
      </w:r>
      <w:r>
        <w:rPr>
          <w:rFonts w:hint="eastAsia" w:eastAsia="宋体"/>
          <w:spacing w:val="-10"/>
        </w:rPr>
        <w:t>2</w:t>
      </w:r>
      <w:r>
        <w:rPr>
          <w:rFonts w:hint="eastAsia" w:eastAsia="宋体"/>
          <w:spacing w:val="-10"/>
          <w:lang w:val="en-US" w:eastAsia="zh-CN"/>
        </w:rPr>
        <w:t>0</w:t>
      </w:r>
      <w:r>
        <w:rPr>
          <w:rFonts w:eastAsia="宋体"/>
          <w:spacing w:val="-10"/>
        </w:rPr>
        <w:t xml:space="preserve"> 所示。</w:t>
      </w:r>
    </w:p>
    <w:p>
      <w:pPr>
        <w:pStyle w:val="13"/>
        <w:spacing w:after="0" w:line="500" w:lineRule="exact"/>
        <w:jc w:val="center"/>
        <w:rPr>
          <w:rFonts w:eastAsia="宋体"/>
          <w:b/>
          <w:sz w:val="5"/>
        </w:rPr>
      </w:pPr>
      <w:r>
        <w:rPr>
          <w:rFonts w:eastAsia="宋体"/>
          <w:b/>
          <w:bCs/>
        </w:rPr>
        <w:t>表3-</w:t>
      </w:r>
      <w:r>
        <w:rPr>
          <w:rFonts w:hint="eastAsia" w:eastAsia="宋体"/>
          <w:b/>
          <w:bCs/>
        </w:rPr>
        <w:t>2</w:t>
      </w:r>
      <w:r>
        <w:rPr>
          <w:rFonts w:hint="eastAsia" w:eastAsia="宋体"/>
          <w:b/>
          <w:bCs/>
          <w:lang w:val="en-US" w:eastAsia="zh-CN"/>
        </w:rPr>
        <w:t>0</w:t>
      </w:r>
      <w:r>
        <w:rPr>
          <w:rFonts w:eastAsia="宋体"/>
          <w:b/>
          <w:bCs/>
        </w:rPr>
        <w:t xml:space="preserve"> </w:t>
      </w:r>
      <w:r>
        <w:rPr>
          <w:rFonts w:hint="eastAsia" w:eastAsia="宋体"/>
          <w:b/>
          <w:bCs/>
        </w:rPr>
        <w:t>现有应急救援组织机构人员</w:t>
      </w:r>
    </w:p>
    <w:tbl>
      <w:tblPr>
        <w:tblStyle w:val="38"/>
        <w:tblW w:w="517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92"/>
        <w:gridCol w:w="2900"/>
        <w:gridCol w:w="1899"/>
        <w:gridCol w:w="1928"/>
        <w:gridCol w:w="19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序号</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职务</w:t>
            </w:r>
          </w:p>
        </w:tc>
        <w:tc>
          <w:tcPr>
            <w:tcW w:w="997"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来自部门</w:t>
            </w:r>
          </w:p>
        </w:tc>
        <w:tc>
          <w:tcPr>
            <w:tcW w:w="101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姓名</w:t>
            </w:r>
          </w:p>
        </w:tc>
        <w:tc>
          <w:tcPr>
            <w:tcW w:w="999"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1</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指挥部总指挥</w:t>
            </w:r>
          </w:p>
        </w:tc>
        <w:tc>
          <w:tcPr>
            <w:tcW w:w="99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总经理</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邱家锋</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13861302689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指挥部副总指挥</w:t>
            </w:r>
          </w:p>
        </w:tc>
        <w:tc>
          <w:tcPr>
            <w:tcW w:w="99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厂长</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陶桂平</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13776993710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3</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综合协调组组长（A）</w:t>
            </w:r>
          </w:p>
        </w:tc>
        <w:tc>
          <w:tcPr>
            <w:tcW w:w="99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肖华林</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18252893298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4</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综合协调组组员（B）</w:t>
            </w:r>
          </w:p>
        </w:tc>
        <w:tc>
          <w:tcPr>
            <w:tcW w:w="99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武东风</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13733719383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5</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现场处置组组长（A）</w:t>
            </w:r>
          </w:p>
        </w:tc>
        <w:tc>
          <w:tcPr>
            <w:tcW w:w="99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张瑞华</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13085571975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6</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现场处置组组员（B）</w:t>
            </w:r>
          </w:p>
        </w:tc>
        <w:tc>
          <w:tcPr>
            <w:tcW w:w="99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刘新云</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18807084647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7</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kern w:val="0"/>
              </w:rPr>
            </w:pPr>
            <w:r>
              <w:rPr>
                <w:rFonts w:ascii="Times New Roman" w:hAnsi="Times New Roman" w:eastAsia="宋体" w:cs="Times New Roman"/>
                <w:color w:val="auto"/>
              </w:rPr>
              <w:t>应急保障组组长（A）</w:t>
            </w:r>
          </w:p>
        </w:tc>
        <w:tc>
          <w:tcPr>
            <w:tcW w:w="99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张志勇</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15822452561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8</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kern w:val="0"/>
              </w:rPr>
            </w:pPr>
            <w:r>
              <w:rPr>
                <w:rFonts w:ascii="Times New Roman" w:hAnsi="Times New Roman" w:eastAsia="宋体" w:cs="Times New Roman"/>
                <w:color w:val="auto"/>
              </w:rPr>
              <w:t>应急保障组组员（B）</w:t>
            </w:r>
          </w:p>
        </w:tc>
        <w:tc>
          <w:tcPr>
            <w:tcW w:w="99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张正红</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13409683531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hint="eastAsia" w:ascii="Times New Roman" w:hAnsi="Times New Roman" w:cs="Times New Roman"/>
                <w:color w:val="auto"/>
              </w:rPr>
              <w:t>9</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kern w:val="0"/>
              </w:rPr>
            </w:pPr>
            <w:r>
              <w:rPr>
                <w:rFonts w:ascii="Times New Roman" w:hAnsi="Times New Roman" w:eastAsia="宋体" w:cs="Times New Roman"/>
                <w:color w:val="auto"/>
              </w:rPr>
              <w:t>医疗救治组组长（A）</w:t>
            </w:r>
          </w:p>
        </w:tc>
        <w:tc>
          <w:tcPr>
            <w:tcW w:w="99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陈璐</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15996611756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hint="eastAsia" w:ascii="Times New Roman" w:hAnsi="Times New Roman" w:cs="Times New Roman"/>
                <w:color w:val="auto"/>
              </w:rPr>
              <w:t>10</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kern w:val="0"/>
              </w:rPr>
            </w:pPr>
            <w:r>
              <w:rPr>
                <w:rFonts w:ascii="Times New Roman" w:hAnsi="Times New Roman" w:eastAsia="宋体" w:cs="Times New Roman"/>
                <w:color w:val="auto"/>
              </w:rPr>
              <w:t>医疗救治组组员（B）</w:t>
            </w:r>
          </w:p>
        </w:tc>
        <w:tc>
          <w:tcPr>
            <w:tcW w:w="99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吴宏杰</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13771725463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hint="eastAsia" w:ascii="Times New Roman" w:hAnsi="Times New Roman" w:cs="Times New Roman"/>
                <w:color w:val="auto"/>
              </w:rPr>
              <w:t>11</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kern w:val="0"/>
              </w:rPr>
            </w:pPr>
            <w:r>
              <w:rPr>
                <w:rFonts w:ascii="Times New Roman" w:hAnsi="Times New Roman" w:eastAsia="宋体" w:cs="Times New Roman"/>
                <w:color w:val="auto"/>
              </w:rPr>
              <w:t>应急监测组组长（A）</w:t>
            </w:r>
          </w:p>
        </w:tc>
        <w:tc>
          <w:tcPr>
            <w:tcW w:w="99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陶香平</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15171661656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hint="eastAsia" w:ascii="Times New Roman" w:hAnsi="Times New Roman" w:cs="Times New Roman"/>
                <w:color w:val="auto"/>
              </w:rPr>
              <w:t>12</w:t>
            </w:r>
          </w:p>
        </w:tc>
        <w:tc>
          <w:tcPr>
            <w:tcW w:w="1522"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kern w:val="0"/>
              </w:rPr>
            </w:pPr>
            <w:r>
              <w:rPr>
                <w:rFonts w:ascii="Times New Roman" w:hAnsi="Times New Roman" w:eastAsia="宋体" w:cs="Times New Roman"/>
                <w:color w:val="auto"/>
              </w:rPr>
              <w:t>应急监测组组员（B）</w:t>
            </w:r>
          </w:p>
        </w:tc>
        <w:tc>
          <w:tcPr>
            <w:tcW w:w="997"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魏俊</w:t>
            </w:r>
          </w:p>
        </w:tc>
        <w:tc>
          <w:tcPr>
            <w:tcW w:w="999"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18720733665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hint="eastAsia" w:ascii="Times New Roman" w:hAnsi="Times New Roman" w:cs="Times New Roman"/>
                <w:color w:val="auto"/>
              </w:rPr>
              <w:t>13</w:t>
            </w:r>
          </w:p>
        </w:tc>
        <w:tc>
          <w:tcPr>
            <w:tcW w:w="3531" w:type="pct"/>
            <w:gridSpan w:val="3"/>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ascii="Times New Roman" w:hAnsi="Times New Roman" w:eastAsia="宋体" w:cs="Times New Roman"/>
                <w:color w:val="auto"/>
              </w:rPr>
              <w:t>公司值班电话</w:t>
            </w:r>
          </w:p>
        </w:tc>
        <w:tc>
          <w:tcPr>
            <w:tcW w:w="999" w:type="pct"/>
            <w:tcBorders>
              <w:tl2br w:val="nil"/>
              <w:tr2bl w:val="nil"/>
            </w:tcBorders>
            <w:vAlign w:val="center"/>
          </w:tcPr>
          <w:p>
            <w:pPr>
              <w:pStyle w:val="157"/>
              <w:adjustRightInd w:val="0"/>
              <w:snapToGrid w:val="0"/>
              <w:spacing w:line="240" w:lineRule="auto"/>
              <w:rPr>
                <w:rFonts w:ascii="Times New Roman" w:hAnsi="Times New Roman" w:eastAsia="宋体" w:cs="Times New Roman"/>
                <w:color w:val="auto"/>
              </w:rPr>
            </w:pPr>
            <w:r>
              <w:rPr>
                <w:rFonts w:hint="eastAsia" w:ascii="Times New Roman" w:hAnsi="Times New Roman" w:eastAsia="宋体"/>
                <w:color w:val="auto"/>
                <w:sz w:val="21"/>
                <w:lang w:val="en-US" w:eastAsia="zh-CN"/>
              </w:rPr>
              <w:t>13776993710</w:t>
            </w:r>
          </w:p>
        </w:tc>
      </w:tr>
    </w:tbl>
    <w:p>
      <w:pPr>
        <w:pStyle w:val="251"/>
        <w:snapToGrid w:val="0"/>
        <w:outlineLvl w:val="2"/>
        <w:rPr>
          <w:rFonts w:eastAsia="宋体"/>
          <w:szCs w:val="24"/>
        </w:rPr>
      </w:pPr>
      <w:bookmarkStart w:id="173" w:name="3.7.5外部应急救援力量"/>
      <w:bookmarkEnd w:id="173"/>
      <w:bookmarkStart w:id="174" w:name="_TOC_250045"/>
      <w:bookmarkEnd w:id="174"/>
      <w:bookmarkStart w:id="175" w:name="_Toc26885"/>
      <w:bookmarkStart w:id="176" w:name="_Toc22493"/>
      <w:bookmarkStart w:id="177" w:name="_Toc23755"/>
      <w:r>
        <w:rPr>
          <w:rFonts w:eastAsia="宋体"/>
          <w:szCs w:val="24"/>
        </w:rPr>
        <w:t>3.</w:t>
      </w:r>
      <w:r>
        <w:rPr>
          <w:rFonts w:hint="eastAsia"/>
          <w:szCs w:val="24"/>
        </w:rPr>
        <w:t>8.5</w:t>
      </w:r>
      <w:r>
        <w:rPr>
          <w:rFonts w:hint="eastAsia" w:eastAsia="宋体"/>
          <w:szCs w:val="24"/>
        </w:rPr>
        <w:t>外部应急救援力量</w:t>
      </w:r>
      <w:bookmarkEnd w:id="175"/>
      <w:bookmarkEnd w:id="176"/>
      <w:bookmarkEnd w:id="177"/>
    </w:p>
    <w:p>
      <w:pPr>
        <w:pStyle w:val="13"/>
        <w:spacing w:after="0" w:line="500" w:lineRule="exact"/>
        <w:ind w:firstLine="480" w:firstLineChars="200"/>
        <w:rPr>
          <w:rFonts w:eastAsia="宋体"/>
        </w:rPr>
      </w:pPr>
      <w:r>
        <w:rPr>
          <w:rFonts w:eastAsia="宋体"/>
        </w:rPr>
        <w:t>当遇到较大或重大突发环境事件时，应及时向表3-</w:t>
      </w:r>
      <w:r>
        <w:rPr>
          <w:rFonts w:hint="eastAsia" w:eastAsia="宋体"/>
        </w:rPr>
        <w:t>2</w:t>
      </w:r>
      <w:r>
        <w:rPr>
          <w:rFonts w:hint="eastAsia" w:eastAsia="宋体"/>
          <w:lang w:val="en-US" w:eastAsia="zh-CN"/>
        </w:rPr>
        <w:t>1</w:t>
      </w:r>
      <w:r>
        <w:rPr>
          <w:rFonts w:eastAsia="宋体"/>
        </w:rPr>
        <w:t>中的外部应急救援力量请求援助，以便将事故造成的危害控制降至最低。</w:t>
      </w:r>
    </w:p>
    <w:p>
      <w:pPr>
        <w:keepNext/>
        <w:keepLines/>
        <w:spacing w:line="500" w:lineRule="exact"/>
        <w:jc w:val="center"/>
        <w:rPr>
          <w:rFonts w:eastAsia="宋体"/>
          <w:b/>
          <w:bCs/>
        </w:rPr>
      </w:pPr>
      <w:r>
        <w:rPr>
          <w:rFonts w:eastAsia="宋体"/>
          <w:b/>
          <w:bCs/>
        </w:rPr>
        <w:t>表3-</w:t>
      </w:r>
      <w:r>
        <w:rPr>
          <w:rFonts w:hint="eastAsia" w:eastAsia="宋体"/>
          <w:b/>
          <w:bCs/>
        </w:rPr>
        <w:t>2</w:t>
      </w:r>
      <w:r>
        <w:rPr>
          <w:rFonts w:hint="eastAsia" w:eastAsia="宋体"/>
          <w:b/>
          <w:bCs/>
          <w:lang w:val="en-US" w:eastAsia="zh-CN"/>
        </w:rPr>
        <w:t>1</w:t>
      </w:r>
      <w:r>
        <w:rPr>
          <w:rFonts w:eastAsia="宋体"/>
          <w:b/>
          <w:bCs/>
        </w:rPr>
        <w:t xml:space="preserve"> </w:t>
      </w:r>
      <w:r>
        <w:rPr>
          <w:rFonts w:hint="eastAsia" w:eastAsia="宋体"/>
          <w:b/>
          <w:bCs/>
        </w:rPr>
        <w:t>外部应急救援通讯录</w:t>
      </w:r>
    </w:p>
    <w:tbl>
      <w:tblPr>
        <w:tblStyle w:val="38"/>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pPr>
              <w:pStyle w:val="142"/>
              <w:rPr>
                <w:b/>
                <w:sz w:val="21"/>
              </w:rPr>
            </w:pPr>
            <w:r>
              <w:rPr>
                <w:b/>
                <w:sz w:val="21"/>
              </w:rPr>
              <w:t>序号</w:t>
            </w:r>
          </w:p>
        </w:tc>
        <w:tc>
          <w:tcPr>
            <w:tcW w:w="4270" w:type="dxa"/>
            <w:tcBorders>
              <w:tl2br w:val="nil"/>
              <w:tr2bl w:val="nil"/>
            </w:tcBorders>
            <w:vAlign w:val="center"/>
          </w:tcPr>
          <w:p>
            <w:pPr>
              <w:pStyle w:val="142"/>
              <w:rPr>
                <w:b/>
                <w:sz w:val="21"/>
              </w:rPr>
            </w:pPr>
            <w:r>
              <w:rPr>
                <w:b/>
                <w:sz w:val="21"/>
              </w:rPr>
              <w:t>部门名称</w:t>
            </w:r>
          </w:p>
        </w:tc>
        <w:tc>
          <w:tcPr>
            <w:tcW w:w="3309" w:type="dxa"/>
            <w:tcBorders>
              <w:tl2br w:val="nil"/>
              <w:tr2bl w:val="nil"/>
            </w:tcBorders>
            <w:vAlign w:val="center"/>
          </w:tcPr>
          <w:p>
            <w:pPr>
              <w:pStyle w:val="142"/>
              <w:rPr>
                <w:b/>
                <w:sz w:val="21"/>
              </w:rPr>
            </w:pPr>
            <w:r>
              <w:rPr>
                <w:b/>
                <w:sz w:val="21"/>
              </w:rPr>
              <w:t>报警或值班电话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2"/>
              <w:rPr>
                <w:rFonts w:ascii="Times New Roman"/>
                <w:sz w:val="21"/>
              </w:rPr>
            </w:pPr>
            <w:r>
              <w:rPr>
                <w:rFonts w:ascii="Times New Roman"/>
                <w:w w:val="99"/>
                <w:sz w:val="21"/>
              </w:rPr>
              <w:t>1</w:t>
            </w:r>
          </w:p>
        </w:tc>
        <w:tc>
          <w:tcPr>
            <w:tcW w:w="4270" w:type="dxa"/>
            <w:tcBorders>
              <w:tl2br w:val="nil"/>
              <w:tr2bl w:val="nil"/>
            </w:tcBorders>
            <w:vAlign w:val="center"/>
          </w:tcPr>
          <w:p>
            <w:pPr>
              <w:pStyle w:val="142"/>
              <w:rPr>
                <w:sz w:val="21"/>
              </w:rPr>
            </w:pPr>
            <w:r>
              <w:rPr>
                <w:sz w:val="21"/>
              </w:rPr>
              <w:t>海安市政府办公室</w:t>
            </w:r>
          </w:p>
        </w:tc>
        <w:tc>
          <w:tcPr>
            <w:tcW w:w="3309" w:type="dxa"/>
            <w:tcBorders>
              <w:tl2br w:val="nil"/>
              <w:tr2bl w:val="nil"/>
            </w:tcBorders>
            <w:vAlign w:val="center"/>
          </w:tcPr>
          <w:p>
            <w:pPr>
              <w:pStyle w:val="142"/>
              <w:rPr>
                <w:rFonts w:ascii="Times New Roman"/>
                <w:sz w:val="21"/>
              </w:rPr>
            </w:pPr>
            <w:r>
              <w:rPr>
                <w:rFonts w:hint="eastAsia" w:ascii="Times New Roman"/>
                <w:sz w:val="21"/>
              </w:rPr>
              <w:t>0513-</w:t>
            </w:r>
            <w:r>
              <w:rPr>
                <w:rFonts w:ascii="Times New Roman"/>
                <w:sz w:val="21"/>
              </w:rPr>
              <w:t>88813815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2"/>
              <w:rPr>
                <w:rFonts w:ascii="Times New Roman"/>
                <w:sz w:val="21"/>
              </w:rPr>
            </w:pPr>
            <w:r>
              <w:rPr>
                <w:rFonts w:ascii="Times New Roman"/>
                <w:w w:val="99"/>
                <w:sz w:val="21"/>
              </w:rPr>
              <w:t>2</w:t>
            </w:r>
          </w:p>
        </w:tc>
        <w:tc>
          <w:tcPr>
            <w:tcW w:w="4270" w:type="dxa"/>
            <w:tcBorders>
              <w:tl2br w:val="nil"/>
              <w:tr2bl w:val="nil"/>
            </w:tcBorders>
            <w:vAlign w:val="center"/>
          </w:tcPr>
          <w:p>
            <w:pPr>
              <w:pStyle w:val="142"/>
              <w:rPr>
                <w:sz w:val="21"/>
              </w:rPr>
            </w:pPr>
            <w:r>
              <w:rPr>
                <w:sz w:val="21"/>
              </w:rPr>
              <w:t>海安市应急管理局</w:t>
            </w:r>
          </w:p>
        </w:tc>
        <w:tc>
          <w:tcPr>
            <w:tcW w:w="3309" w:type="dxa"/>
            <w:tcBorders>
              <w:tl2br w:val="nil"/>
              <w:tr2bl w:val="nil"/>
            </w:tcBorders>
            <w:vAlign w:val="center"/>
          </w:tcPr>
          <w:p>
            <w:pPr>
              <w:pStyle w:val="142"/>
              <w:rPr>
                <w:rFonts w:ascii="Times New Roman"/>
                <w:sz w:val="21"/>
              </w:rPr>
            </w:pPr>
            <w:r>
              <w:rPr>
                <w:rFonts w:hint="eastAsia" w:ascii="Times New Roman"/>
                <w:sz w:val="21"/>
              </w:rPr>
              <w:t>0513-</w:t>
            </w:r>
            <w:r>
              <w:rPr>
                <w:rFonts w:ascii="Times New Roman"/>
                <w:sz w:val="21"/>
              </w:rPr>
              <w:t>88169809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2"/>
              <w:rPr>
                <w:rFonts w:ascii="Times New Roman"/>
                <w:sz w:val="21"/>
              </w:rPr>
            </w:pPr>
            <w:r>
              <w:rPr>
                <w:rFonts w:ascii="Times New Roman"/>
                <w:w w:val="99"/>
                <w:sz w:val="21"/>
              </w:rPr>
              <w:t>3</w:t>
            </w:r>
          </w:p>
        </w:tc>
        <w:tc>
          <w:tcPr>
            <w:tcW w:w="4270" w:type="dxa"/>
            <w:tcBorders>
              <w:tl2br w:val="nil"/>
              <w:tr2bl w:val="nil"/>
            </w:tcBorders>
            <w:vAlign w:val="center"/>
          </w:tcPr>
          <w:p>
            <w:pPr>
              <w:pStyle w:val="142"/>
              <w:rPr>
                <w:sz w:val="21"/>
              </w:rPr>
            </w:pPr>
            <w:r>
              <w:rPr>
                <w:sz w:val="21"/>
              </w:rPr>
              <w:t>海安市公安局</w:t>
            </w:r>
          </w:p>
        </w:tc>
        <w:tc>
          <w:tcPr>
            <w:tcW w:w="3309" w:type="dxa"/>
            <w:tcBorders>
              <w:tl2br w:val="nil"/>
              <w:tr2bl w:val="nil"/>
            </w:tcBorders>
            <w:vAlign w:val="center"/>
          </w:tcPr>
          <w:p>
            <w:pPr>
              <w:pStyle w:val="142"/>
              <w:rPr>
                <w:rFonts w:ascii="Times New Roman"/>
                <w:sz w:val="21"/>
              </w:rPr>
            </w:pPr>
            <w:r>
              <w:rPr>
                <w:rFonts w:hint="eastAsia" w:ascii="Times New Roman"/>
                <w:sz w:val="21"/>
              </w:rPr>
              <w:t>0513-</w:t>
            </w:r>
            <w:r>
              <w:rPr>
                <w:rFonts w:ascii="Times New Roman"/>
                <w:sz w:val="21"/>
              </w:rPr>
              <w:t>88926999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pPr>
              <w:pStyle w:val="142"/>
              <w:rPr>
                <w:rFonts w:ascii="Times New Roman"/>
                <w:sz w:val="21"/>
              </w:rPr>
            </w:pPr>
            <w:r>
              <w:rPr>
                <w:rFonts w:ascii="Times New Roman"/>
                <w:w w:val="99"/>
                <w:sz w:val="21"/>
              </w:rPr>
              <w:t>4</w:t>
            </w:r>
          </w:p>
        </w:tc>
        <w:tc>
          <w:tcPr>
            <w:tcW w:w="4270" w:type="dxa"/>
            <w:tcBorders>
              <w:tl2br w:val="nil"/>
              <w:tr2bl w:val="nil"/>
            </w:tcBorders>
            <w:vAlign w:val="center"/>
          </w:tcPr>
          <w:p>
            <w:pPr>
              <w:pStyle w:val="142"/>
              <w:rPr>
                <w:sz w:val="21"/>
              </w:rPr>
            </w:pPr>
            <w:r>
              <w:rPr>
                <w:sz w:val="21"/>
              </w:rPr>
              <w:t>海安市治安大队</w:t>
            </w:r>
          </w:p>
        </w:tc>
        <w:tc>
          <w:tcPr>
            <w:tcW w:w="3309" w:type="dxa"/>
            <w:tcBorders>
              <w:tl2br w:val="nil"/>
              <w:tr2bl w:val="nil"/>
            </w:tcBorders>
            <w:vAlign w:val="center"/>
          </w:tcPr>
          <w:p>
            <w:pPr>
              <w:pStyle w:val="142"/>
              <w:rPr>
                <w:rFonts w:ascii="Times New Roman"/>
                <w:sz w:val="21"/>
              </w:rPr>
            </w:pPr>
            <w:r>
              <w:rPr>
                <w:rFonts w:ascii="Times New Roman"/>
                <w:sz w:val="21"/>
              </w:rPr>
              <w:t>110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2"/>
              <w:rPr>
                <w:rFonts w:ascii="Times New Roman"/>
                <w:sz w:val="21"/>
              </w:rPr>
            </w:pPr>
            <w:r>
              <w:rPr>
                <w:rFonts w:ascii="Times New Roman"/>
                <w:w w:val="99"/>
                <w:sz w:val="21"/>
              </w:rPr>
              <w:t>5</w:t>
            </w:r>
          </w:p>
        </w:tc>
        <w:tc>
          <w:tcPr>
            <w:tcW w:w="4270" w:type="dxa"/>
            <w:tcBorders>
              <w:tl2br w:val="nil"/>
              <w:tr2bl w:val="nil"/>
            </w:tcBorders>
            <w:vAlign w:val="center"/>
          </w:tcPr>
          <w:p>
            <w:pPr>
              <w:pStyle w:val="142"/>
              <w:rPr>
                <w:sz w:val="21"/>
              </w:rPr>
            </w:pPr>
            <w:r>
              <w:rPr>
                <w:sz w:val="21"/>
              </w:rPr>
              <w:t>海安市消防救援大队</w:t>
            </w:r>
          </w:p>
        </w:tc>
        <w:tc>
          <w:tcPr>
            <w:tcW w:w="3309" w:type="dxa"/>
            <w:tcBorders>
              <w:tl2br w:val="nil"/>
              <w:tr2bl w:val="nil"/>
            </w:tcBorders>
            <w:vAlign w:val="center"/>
          </w:tcPr>
          <w:p>
            <w:pPr>
              <w:pStyle w:val="142"/>
              <w:rPr>
                <w:sz w:val="21"/>
              </w:rPr>
            </w:pPr>
            <w:r>
              <w:rPr>
                <w:rFonts w:ascii="Times New Roman" w:eastAsia="Times New Roman"/>
                <w:sz w:val="21"/>
              </w:rPr>
              <w:t>119</w:t>
            </w:r>
            <w:r>
              <w:rPr>
                <w:sz w:val="21"/>
              </w:rPr>
              <w:t>（火警）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2"/>
              <w:rPr>
                <w:rFonts w:ascii="Times New Roman"/>
                <w:sz w:val="21"/>
              </w:rPr>
            </w:pPr>
            <w:r>
              <w:rPr>
                <w:rFonts w:ascii="Times New Roman"/>
                <w:w w:val="99"/>
                <w:sz w:val="21"/>
              </w:rPr>
              <w:t>6</w:t>
            </w:r>
          </w:p>
        </w:tc>
        <w:tc>
          <w:tcPr>
            <w:tcW w:w="4270" w:type="dxa"/>
            <w:tcBorders>
              <w:tl2br w:val="nil"/>
              <w:tr2bl w:val="nil"/>
            </w:tcBorders>
            <w:vAlign w:val="center"/>
          </w:tcPr>
          <w:p>
            <w:pPr>
              <w:pStyle w:val="142"/>
              <w:rPr>
                <w:sz w:val="21"/>
              </w:rPr>
            </w:pPr>
            <w:r>
              <w:rPr>
                <w:sz w:val="21"/>
              </w:rPr>
              <w:t>南通市海安生态环境局</w:t>
            </w:r>
          </w:p>
        </w:tc>
        <w:tc>
          <w:tcPr>
            <w:tcW w:w="3309" w:type="dxa"/>
            <w:tcBorders>
              <w:tl2br w:val="nil"/>
              <w:tr2bl w:val="nil"/>
            </w:tcBorders>
            <w:vAlign w:val="center"/>
          </w:tcPr>
          <w:p>
            <w:pPr>
              <w:pStyle w:val="142"/>
              <w:rPr>
                <w:rFonts w:ascii="Times New Roman"/>
                <w:sz w:val="21"/>
              </w:rPr>
            </w:pPr>
            <w:r>
              <w:rPr>
                <w:rFonts w:hint="eastAsia" w:ascii="Times New Roman"/>
                <w:sz w:val="21"/>
              </w:rPr>
              <w:t>0513-</w:t>
            </w:r>
            <w:r>
              <w:rPr>
                <w:rFonts w:ascii="Times New Roman" w:hAnsi="Times New Roman" w:cs="Times New Roman"/>
                <w:sz w:val="21"/>
                <w:szCs w:val="21"/>
              </w:rPr>
              <w:t>8</w:t>
            </w:r>
            <w:r>
              <w:rPr>
                <w:rFonts w:hint="eastAsia" w:ascii="Times New Roman" w:hAnsi="Times New Roman" w:cs="Times New Roman"/>
                <w:sz w:val="21"/>
                <w:szCs w:val="21"/>
              </w:rPr>
              <w:t>1</w:t>
            </w:r>
            <w:r>
              <w:rPr>
                <w:rFonts w:ascii="Times New Roman" w:hAnsi="Times New Roman" w:cs="Times New Roman"/>
                <w:sz w:val="21"/>
                <w:szCs w:val="21"/>
              </w:rPr>
              <w:t>812369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pPr>
              <w:pStyle w:val="142"/>
              <w:rPr>
                <w:rFonts w:ascii="Times New Roman"/>
                <w:sz w:val="21"/>
              </w:rPr>
            </w:pPr>
            <w:r>
              <w:rPr>
                <w:rFonts w:ascii="Times New Roman"/>
                <w:w w:val="99"/>
                <w:sz w:val="21"/>
              </w:rPr>
              <w:t>7</w:t>
            </w:r>
          </w:p>
        </w:tc>
        <w:tc>
          <w:tcPr>
            <w:tcW w:w="4270" w:type="dxa"/>
            <w:tcBorders>
              <w:tl2br w:val="nil"/>
              <w:tr2bl w:val="nil"/>
            </w:tcBorders>
            <w:vAlign w:val="center"/>
          </w:tcPr>
          <w:p>
            <w:pPr>
              <w:pStyle w:val="142"/>
              <w:rPr>
                <w:sz w:val="21"/>
              </w:rPr>
            </w:pPr>
            <w:r>
              <w:rPr>
                <w:rFonts w:hint="eastAsia"/>
                <w:sz w:val="21"/>
                <w:lang w:val="en-US" w:eastAsia="zh-CN"/>
              </w:rPr>
              <w:t>南通市</w:t>
            </w:r>
            <w:r>
              <w:rPr>
                <w:sz w:val="21"/>
              </w:rPr>
              <w:t>海安</w:t>
            </w:r>
            <w:r>
              <w:rPr>
                <w:rFonts w:hint="eastAsia"/>
                <w:sz w:val="21"/>
                <w:lang w:val="en-US" w:eastAsia="zh-CN"/>
              </w:rPr>
              <w:t>生态</w:t>
            </w:r>
            <w:r>
              <w:rPr>
                <w:sz w:val="21"/>
              </w:rPr>
              <w:t>环境监测站</w:t>
            </w:r>
          </w:p>
        </w:tc>
        <w:tc>
          <w:tcPr>
            <w:tcW w:w="3309" w:type="dxa"/>
            <w:tcBorders>
              <w:tl2br w:val="nil"/>
              <w:tr2bl w:val="nil"/>
            </w:tcBorders>
            <w:vAlign w:val="center"/>
          </w:tcPr>
          <w:p>
            <w:pPr>
              <w:pStyle w:val="142"/>
              <w:rPr>
                <w:rFonts w:ascii="Times New Roman"/>
                <w:sz w:val="21"/>
              </w:rPr>
            </w:pPr>
            <w:r>
              <w:rPr>
                <w:rFonts w:hint="eastAsia" w:ascii="Times New Roman"/>
                <w:sz w:val="21"/>
              </w:rPr>
              <w:t>0513-</w:t>
            </w:r>
            <w:r>
              <w:rPr>
                <w:rFonts w:ascii="Times New Roman"/>
                <w:sz w:val="21"/>
              </w:rPr>
              <w:t>88813610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pPr>
              <w:pStyle w:val="142"/>
              <w:rPr>
                <w:rFonts w:ascii="Times New Roman"/>
                <w:sz w:val="21"/>
              </w:rPr>
            </w:pPr>
            <w:r>
              <w:rPr>
                <w:rFonts w:ascii="Times New Roman"/>
                <w:w w:val="99"/>
                <w:sz w:val="21"/>
              </w:rPr>
              <w:t>9</w:t>
            </w:r>
          </w:p>
        </w:tc>
        <w:tc>
          <w:tcPr>
            <w:tcW w:w="4270" w:type="dxa"/>
            <w:tcBorders>
              <w:tl2br w:val="nil"/>
              <w:tr2bl w:val="nil"/>
            </w:tcBorders>
            <w:vAlign w:val="center"/>
          </w:tcPr>
          <w:p>
            <w:pPr>
              <w:pStyle w:val="142"/>
              <w:rPr>
                <w:sz w:val="21"/>
              </w:rPr>
            </w:pPr>
            <w:r>
              <w:rPr>
                <w:sz w:val="21"/>
              </w:rPr>
              <w:t>海安市急救中心</w:t>
            </w:r>
          </w:p>
        </w:tc>
        <w:tc>
          <w:tcPr>
            <w:tcW w:w="3309" w:type="dxa"/>
            <w:tcBorders>
              <w:tl2br w:val="nil"/>
              <w:tr2bl w:val="nil"/>
            </w:tcBorders>
            <w:vAlign w:val="center"/>
          </w:tcPr>
          <w:p>
            <w:pPr>
              <w:pStyle w:val="142"/>
              <w:rPr>
                <w:rFonts w:ascii="Times New Roman"/>
                <w:sz w:val="21"/>
              </w:rPr>
            </w:pPr>
            <w:r>
              <w:rPr>
                <w:rFonts w:ascii="Times New Roman"/>
                <w:sz w:val="21"/>
              </w:rPr>
              <w:t>120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2"/>
              <w:rPr>
                <w:rFonts w:ascii="Times New Roman"/>
                <w:sz w:val="21"/>
              </w:rPr>
            </w:pPr>
            <w:r>
              <w:rPr>
                <w:rFonts w:ascii="Times New Roman"/>
                <w:sz w:val="21"/>
              </w:rPr>
              <w:t>10</w:t>
            </w:r>
          </w:p>
        </w:tc>
        <w:tc>
          <w:tcPr>
            <w:tcW w:w="4270" w:type="dxa"/>
            <w:tcBorders>
              <w:tl2br w:val="nil"/>
              <w:tr2bl w:val="nil"/>
            </w:tcBorders>
            <w:vAlign w:val="center"/>
          </w:tcPr>
          <w:p>
            <w:pPr>
              <w:pStyle w:val="142"/>
              <w:rPr>
                <w:sz w:val="21"/>
              </w:rPr>
            </w:pPr>
            <w:r>
              <w:rPr>
                <w:sz w:val="21"/>
              </w:rPr>
              <w:t>政府热线</w:t>
            </w:r>
          </w:p>
        </w:tc>
        <w:tc>
          <w:tcPr>
            <w:tcW w:w="3309" w:type="dxa"/>
            <w:tcBorders>
              <w:tl2br w:val="nil"/>
              <w:tr2bl w:val="nil"/>
            </w:tcBorders>
            <w:vAlign w:val="center"/>
          </w:tcPr>
          <w:p>
            <w:pPr>
              <w:pStyle w:val="142"/>
              <w:rPr>
                <w:rFonts w:ascii="Times New Roman"/>
                <w:sz w:val="21"/>
              </w:rPr>
            </w:pPr>
            <w:r>
              <w:rPr>
                <w:rFonts w:ascii="Times New Roman"/>
                <w:sz w:val="21"/>
              </w:rPr>
              <w:t>12345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pPr>
              <w:pStyle w:val="142"/>
              <w:rPr>
                <w:rFonts w:ascii="Times New Roman"/>
                <w:sz w:val="21"/>
              </w:rPr>
            </w:pPr>
            <w:r>
              <w:rPr>
                <w:rFonts w:ascii="Times New Roman"/>
                <w:sz w:val="21"/>
              </w:rPr>
              <w:t>11</w:t>
            </w:r>
          </w:p>
        </w:tc>
        <w:tc>
          <w:tcPr>
            <w:tcW w:w="4270" w:type="dxa"/>
            <w:tcBorders>
              <w:tl2br w:val="nil"/>
              <w:tr2bl w:val="nil"/>
            </w:tcBorders>
            <w:vAlign w:val="center"/>
          </w:tcPr>
          <w:p>
            <w:pPr>
              <w:pStyle w:val="142"/>
              <w:rPr>
                <w:sz w:val="21"/>
              </w:rPr>
            </w:pPr>
            <w:r>
              <w:rPr>
                <w:sz w:val="21"/>
              </w:rPr>
              <w:t>环保热线</w:t>
            </w:r>
          </w:p>
        </w:tc>
        <w:tc>
          <w:tcPr>
            <w:tcW w:w="3309" w:type="dxa"/>
            <w:tcBorders>
              <w:tl2br w:val="nil"/>
              <w:tr2bl w:val="nil"/>
            </w:tcBorders>
            <w:vAlign w:val="center"/>
          </w:tcPr>
          <w:p>
            <w:pPr>
              <w:pStyle w:val="142"/>
              <w:rPr>
                <w:rFonts w:ascii="Times New Roman"/>
                <w:sz w:val="21"/>
              </w:rPr>
            </w:pPr>
            <w:r>
              <w:rPr>
                <w:rFonts w:ascii="Times New Roman"/>
                <w:sz w:val="21"/>
              </w:rPr>
              <w:t>12369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2"/>
              <w:rPr>
                <w:rFonts w:ascii="Times New Roman"/>
                <w:sz w:val="21"/>
              </w:rPr>
            </w:pPr>
            <w:r>
              <w:rPr>
                <w:rFonts w:ascii="Times New Roman"/>
                <w:sz w:val="21"/>
              </w:rPr>
              <w:t>12</w:t>
            </w:r>
          </w:p>
        </w:tc>
        <w:tc>
          <w:tcPr>
            <w:tcW w:w="4270" w:type="dxa"/>
            <w:tcBorders>
              <w:tl2br w:val="nil"/>
              <w:tr2bl w:val="nil"/>
            </w:tcBorders>
            <w:vAlign w:val="center"/>
          </w:tcPr>
          <w:p>
            <w:pPr>
              <w:pStyle w:val="142"/>
              <w:rPr>
                <w:sz w:val="21"/>
              </w:rPr>
            </w:pPr>
            <w:r>
              <w:rPr>
                <w:sz w:val="21"/>
              </w:rPr>
              <w:t>海安市卫健委</w:t>
            </w:r>
          </w:p>
        </w:tc>
        <w:tc>
          <w:tcPr>
            <w:tcW w:w="3309" w:type="dxa"/>
            <w:tcBorders>
              <w:tl2br w:val="nil"/>
              <w:tr2bl w:val="nil"/>
            </w:tcBorders>
            <w:vAlign w:val="center"/>
          </w:tcPr>
          <w:p>
            <w:pPr>
              <w:pStyle w:val="142"/>
              <w:rPr>
                <w:rFonts w:ascii="Times New Roman"/>
                <w:sz w:val="21"/>
              </w:rPr>
            </w:pPr>
            <w:r>
              <w:rPr>
                <w:rFonts w:hint="eastAsia" w:ascii="Times New Roman"/>
                <w:sz w:val="21"/>
              </w:rPr>
              <w:t>0513-</w:t>
            </w:r>
            <w:r>
              <w:rPr>
                <w:rFonts w:ascii="Times New Roman"/>
                <w:sz w:val="21"/>
              </w:rPr>
              <w:t>88852279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pPr>
              <w:pStyle w:val="142"/>
              <w:rPr>
                <w:rFonts w:ascii="Times New Roman"/>
                <w:sz w:val="21"/>
              </w:rPr>
            </w:pPr>
            <w:r>
              <w:rPr>
                <w:rFonts w:ascii="Times New Roman"/>
                <w:sz w:val="21"/>
              </w:rPr>
              <w:t>13</w:t>
            </w:r>
          </w:p>
        </w:tc>
        <w:tc>
          <w:tcPr>
            <w:tcW w:w="4270" w:type="dxa"/>
            <w:tcBorders>
              <w:tl2br w:val="nil"/>
              <w:tr2bl w:val="nil"/>
            </w:tcBorders>
            <w:vAlign w:val="center"/>
          </w:tcPr>
          <w:p>
            <w:pPr>
              <w:pStyle w:val="142"/>
              <w:rPr>
                <w:sz w:val="21"/>
              </w:rPr>
            </w:pPr>
            <w:r>
              <w:rPr>
                <w:sz w:val="21"/>
              </w:rPr>
              <w:t>海安人民医院急诊室</w:t>
            </w:r>
          </w:p>
        </w:tc>
        <w:tc>
          <w:tcPr>
            <w:tcW w:w="3309" w:type="dxa"/>
            <w:tcBorders>
              <w:tl2br w:val="nil"/>
              <w:tr2bl w:val="nil"/>
            </w:tcBorders>
            <w:vAlign w:val="center"/>
          </w:tcPr>
          <w:p>
            <w:pPr>
              <w:pStyle w:val="142"/>
              <w:rPr>
                <w:rFonts w:ascii="Times New Roman"/>
                <w:sz w:val="21"/>
              </w:rPr>
            </w:pPr>
            <w:r>
              <w:rPr>
                <w:rFonts w:hint="eastAsia" w:ascii="Times New Roman"/>
                <w:sz w:val="21"/>
              </w:rPr>
              <w:t>0513-</w:t>
            </w:r>
            <w:r>
              <w:rPr>
                <w:rFonts w:ascii="Times New Roman"/>
                <w:sz w:val="21"/>
              </w:rPr>
              <w:t>88869509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pPr>
              <w:pStyle w:val="142"/>
              <w:rPr>
                <w:rFonts w:ascii="Times New Roman"/>
                <w:sz w:val="21"/>
              </w:rPr>
            </w:pPr>
            <w:r>
              <w:rPr>
                <w:rFonts w:ascii="Times New Roman"/>
                <w:sz w:val="21"/>
              </w:rPr>
              <w:t>14</w:t>
            </w:r>
          </w:p>
        </w:tc>
        <w:tc>
          <w:tcPr>
            <w:tcW w:w="4270" w:type="dxa"/>
            <w:tcBorders>
              <w:tl2br w:val="nil"/>
              <w:tr2bl w:val="nil"/>
            </w:tcBorders>
            <w:vAlign w:val="center"/>
          </w:tcPr>
          <w:p>
            <w:pPr>
              <w:pStyle w:val="142"/>
              <w:rPr>
                <w:sz w:val="21"/>
              </w:rPr>
            </w:pPr>
            <w:r>
              <w:rPr>
                <w:sz w:val="21"/>
              </w:rPr>
              <w:t>海安市</w:t>
            </w:r>
            <w:r>
              <w:rPr>
                <w:rFonts w:hint="eastAsia"/>
                <w:sz w:val="21"/>
              </w:rPr>
              <w:t>经济技术开发</w:t>
            </w:r>
            <w:r>
              <w:rPr>
                <w:sz w:val="21"/>
              </w:rPr>
              <w:t>区管委会</w:t>
            </w:r>
          </w:p>
        </w:tc>
        <w:tc>
          <w:tcPr>
            <w:tcW w:w="3309" w:type="dxa"/>
            <w:tcBorders>
              <w:tl2br w:val="nil"/>
              <w:tr2bl w:val="nil"/>
            </w:tcBorders>
            <w:vAlign w:val="center"/>
          </w:tcPr>
          <w:p>
            <w:pPr>
              <w:pStyle w:val="142"/>
              <w:rPr>
                <w:rFonts w:ascii="Times New Roman"/>
                <w:sz w:val="21"/>
              </w:rPr>
            </w:pPr>
            <w:r>
              <w:rPr>
                <w:rFonts w:hint="eastAsia" w:ascii="Times New Roman"/>
                <w:sz w:val="21"/>
              </w:rPr>
              <w:t>0513-</w:t>
            </w:r>
            <w:r>
              <w:rPr>
                <w:rFonts w:ascii="Times New Roman"/>
                <w:sz w:val="21"/>
              </w:rPr>
              <w:t>88</w:t>
            </w:r>
            <w:r>
              <w:rPr>
                <w:rFonts w:hint="eastAsia" w:ascii="Times New Roman"/>
                <w:sz w:val="21"/>
              </w:rPr>
              <w:t>911318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2"/>
              <w:rPr>
                <w:rFonts w:ascii="Times New Roman"/>
                <w:sz w:val="21"/>
              </w:rPr>
            </w:pPr>
            <w:r>
              <w:rPr>
                <w:rFonts w:ascii="Times New Roman"/>
                <w:sz w:val="21"/>
              </w:rPr>
              <w:t>1</w:t>
            </w:r>
            <w:r>
              <w:rPr>
                <w:rFonts w:hint="eastAsia" w:ascii="Times New Roman"/>
                <w:sz w:val="21"/>
              </w:rPr>
              <w:t>5</w:t>
            </w:r>
          </w:p>
        </w:tc>
        <w:tc>
          <w:tcPr>
            <w:tcW w:w="4270" w:type="dxa"/>
            <w:tcBorders>
              <w:tl2br w:val="nil"/>
              <w:tr2bl w:val="nil"/>
            </w:tcBorders>
            <w:vAlign w:val="center"/>
          </w:tcPr>
          <w:p>
            <w:pPr>
              <w:pStyle w:val="142"/>
              <w:rPr>
                <w:rFonts w:hint="default" w:eastAsia="宋体"/>
                <w:sz w:val="21"/>
                <w:lang w:val="en-US" w:eastAsia="zh-CN"/>
              </w:rPr>
            </w:pPr>
            <w:r>
              <w:rPr>
                <w:rFonts w:hint="eastAsia"/>
                <w:sz w:val="21"/>
                <w:lang w:val="en-US" w:eastAsia="zh-CN"/>
              </w:rPr>
              <w:t>君致家具海安有限公司</w:t>
            </w:r>
          </w:p>
        </w:tc>
        <w:tc>
          <w:tcPr>
            <w:tcW w:w="3309"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lang w:val="en-US" w:eastAsia="zh-CN"/>
              </w:rPr>
              <w:t>18020199108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2"/>
              <w:rPr>
                <w:rFonts w:ascii="Times New Roman"/>
                <w:sz w:val="21"/>
              </w:rPr>
            </w:pPr>
            <w:r>
              <w:rPr>
                <w:rFonts w:hint="eastAsia" w:ascii="Times New Roman"/>
                <w:sz w:val="21"/>
              </w:rPr>
              <w:t>16</w:t>
            </w:r>
          </w:p>
        </w:tc>
        <w:tc>
          <w:tcPr>
            <w:tcW w:w="4270" w:type="dxa"/>
            <w:tcBorders>
              <w:tl2br w:val="nil"/>
              <w:tr2bl w:val="nil"/>
            </w:tcBorders>
            <w:vAlign w:val="center"/>
          </w:tcPr>
          <w:p>
            <w:pPr>
              <w:pStyle w:val="142"/>
              <w:rPr>
                <w:sz w:val="21"/>
              </w:rPr>
            </w:pPr>
            <w:r>
              <w:rPr>
                <w:rFonts w:hint="eastAsia"/>
                <w:sz w:val="21"/>
              </w:rPr>
              <w:t>江苏裕和检测技术有限公司</w:t>
            </w:r>
          </w:p>
        </w:tc>
        <w:tc>
          <w:tcPr>
            <w:tcW w:w="3309" w:type="dxa"/>
            <w:tcBorders>
              <w:tl2br w:val="nil"/>
              <w:tr2bl w:val="nil"/>
            </w:tcBorders>
            <w:vAlign w:val="center"/>
          </w:tcPr>
          <w:p>
            <w:pPr>
              <w:pStyle w:val="142"/>
              <w:rPr>
                <w:rFonts w:ascii="Times New Roman"/>
                <w:sz w:val="21"/>
              </w:rPr>
            </w:pPr>
            <w:r>
              <w:rPr>
                <w:rFonts w:hint="eastAsia" w:ascii="Times New Roman"/>
                <w:sz w:val="21"/>
              </w:rPr>
              <w:t>0513-55073526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lang w:val="en-US" w:eastAsia="zh-CN"/>
              </w:rPr>
              <w:t>17</w:t>
            </w:r>
          </w:p>
        </w:tc>
        <w:tc>
          <w:tcPr>
            <w:tcW w:w="4270" w:type="dxa"/>
            <w:tcBorders>
              <w:tl2br w:val="nil"/>
              <w:tr2bl w:val="nil"/>
            </w:tcBorders>
            <w:vAlign w:val="center"/>
          </w:tcPr>
          <w:p>
            <w:pPr>
              <w:jc w:val="center"/>
              <w:rPr>
                <w:rFonts w:hint="eastAsia" w:ascii="宋体" w:hAnsi="Times New Roman" w:eastAsia="宋体" w:cs="Times New Roman"/>
                <w:kern w:val="2"/>
                <w:sz w:val="21"/>
                <w:szCs w:val="24"/>
                <w:lang w:val="en-US" w:eastAsia="zh-CN" w:bidi="zh-CN"/>
              </w:rPr>
            </w:pPr>
            <w:r>
              <w:rPr>
                <w:rFonts w:hint="eastAsia" w:ascii="宋体" w:eastAsia="宋体"/>
                <w:sz w:val="21"/>
                <w:lang w:val="en-US" w:bidi="zh-CN"/>
              </w:rPr>
              <w:t>海安市水利局</w:t>
            </w:r>
          </w:p>
        </w:tc>
        <w:tc>
          <w:tcPr>
            <w:tcW w:w="3309" w:type="dxa"/>
            <w:tcBorders>
              <w:tl2br w:val="nil"/>
              <w:tr2bl w:val="nil"/>
            </w:tcBorders>
            <w:vAlign w:val="center"/>
          </w:tcPr>
          <w:p>
            <w:pPr>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0513-81868536</w:t>
            </w:r>
          </w:p>
        </w:tc>
      </w:tr>
    </w:tbl>
    <w:p>
      <w:pPr>
        <w:rPr>
          <w:sz w:val="21"/>
        </w:rPr>
        <w:sectPr>
          <w:footerReference r:id="rId9" w:type="default"/>
          <w:pgSz w:w="11910" w:h="16840"/>
          <w:pgMar w:top="1360" w:right="1240" w:bottom="1200" w:left="1500" w:header="882" w:footer="1017" w:gutter="0"/>
          <w:cols w:space="720" w:num="1"/>
        </w:sectPr>
      </w:pPr>
    </w:p>
    <w:p>
      <w:pPr>
        <w:pStyle w:val="3"/>
        <w:adjustRightInd w:val="0"/>
        <w:snapToGrid w:val="0"/>
        <w:spacing w:line="500" w:lineRule="exact"/>
        <w:rPr>
          <w:rFonts w:eastAsia="宋体"/>
          <w:sz w:val="24"/>
          <w:szCs w:val="24"/>
        </w:rPr>
      </w:pPr>
      <w:bookmarkStart w:id="178" w:name="_Toc10554"/>
      <w:bookmarkStart w:id="179" w:name="_Toc31419"/>
      <w:bookmarkStart w:id="180" w:name="_Toc26565"/>
      <w:bookmarkStart w:id="181" w:name="_Toc18181"/>
      <w:r>
        <w:rPr>
          <w:rFonts w:hint="eastAsia" w:eastAsia="宋体"/>
          <w:sz w:val="24"/>
          <w:szCs w:val="24"/>
        </w:rPr>
        <w:t>4 突发环境事件及其后果分析</w:t>
      </w:r>
      <w:bookmarkEnd w:id="156"/>
      <w:bookmarkEnd w:id="178"/>
      <w:bookmarkEnd w:id="179"/>
      <w:bookmarkEnd w:id="180"/>
      <w:bookmarkEnd w:id="181"/>
    </w:p>
    <w:p>
      <w:pPr>
        <w:pStyle w:val="4"/>
        <w:adjustRightInd w:val="0"/>
        <w:snapToGrid w:val="0"/>
        <w:spacing w:line="500" w:lineRule="exact"/>
        <w:rPr>
          <w:rFonts w:eastAsia="宋体"/>
          <w:sz w:val="24"/>
          <w:szCs w:val="24"/>
        </w:rPr>
      </w:pPr>
      <w:bookmarkStart w:id="182" w:name="_Toc402776211"/>
      <w:bookmarkStart w:id="183" w:name="_Toc13659"/>
      <w:bookmarkStart w:id="184" w:name="_Toc14852"/>
      <w:bookmarkStart w:id="185" w:name="_Toc7836"/>
      <w:bookmarkStart w:id="186" w:name="_Toc9896"/>
      <w:r>
        <w:rPr>
          <w:rFonts w:hint="eastAsia" w:eastAsia="宋体"/>
          <w:sz w:val="24"/>
          <w:szCs w:val="24"/>
        </w:rPr>
        <w:t>4.1 突发环境事件情景分析</w:t>
      </w:r>
      <w:bookmarkEnd w:id="182"/>
      <w:bookmarkEnd w:id="183"/>
      <w:bookmarkEnd w:id="184"/>
      <w:bookmarkEnd w:id="185"/>
      <w:bookmarkEnd w:id="186"/>
    </w:p>
    <w:p>
      <w:pPr>
        <w:adjustRightInd w:val="0"/>
        <w:snapToGrid w:val="0"/>
        <w:spacing w:line="500" w:lineRule="exact"/>
        <w:ind w:firstLine="480" w:firstLineChars="200"/>
        <w:rPr>
          <w:rFonts w:ascii="宋体" w:hAnsi="宋体" w:eastAsia="宋体" w:cs="宋体"/>
        </w:rPr>
      </w:pPr>
      <w:bookmarkStart w:id="187"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火灾案例、霸州市胜芳镇西格玛家具厂火灾案例和金河兴安人造板有限公司火灾案例，具</w:t>
      </w:r>
      <w:r>
        <w:rPr>
          <w:rFonts w:eastAsia="宋体"/>
        </w:rPr>
        <w:t>体见表4-1</w:t>
      </w:r>
      <w:r>
        <w:rPr>
          <w:rFonts w:hint="eastAsia" w:ascii="宋体" w:hAnsi="宋体" w:eastAsia="宋体" w:cs="宋体"/>
        </w:rPr>
        <w:t>。</w:t>
      </w:r>
    </w:p>
    <w:p>
      <w:pPr>
        <w:adjustRightInd w:val="0"/>
        <w:snapToGrid w:val="0"/>
        <w:spacing w:line="500" w:lineRule="exact"/>
        <w:jc w:val="center"/>
      </w:pPr>
      <w:r>
        <w:rPr>
          <w:rFonts w:eastAsia="宋体"/>
          <w:b/>
          <w:bCs/>
        </w:rPr>
        <w:t>表4-1 突发环境事件案例</w:t>
      </w:r>
      <w:r>
        <w:rPr>
          <w:rFonts w:hint="eastAsia" w:eastAsia="宋体"/>
          <w:b/>
          <w:bCs/>
        </w:rPr>
        <w:t>一</w:t>
      </w:r>
    </w:p>
    <w:tbl>
      <w:tblPr>
        <w:tblStyle w:val="39"/>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pPr>
              <w:adjustRightInd w:val="0"/>
              <w:snapToGrid w:val="0"/>
              <w:rPr>
                <w:rFonts w:eastAsia="宋体"/>
                <w:sz w:val="21"/>
                <w:szCs w:val="21"/>
              </w:rPr>
            </w:pPr>
            <w:r>
              <w:rPr>
                <w:rFonts w:eastAsia="宋体"/>
                <w:sz w:val="21"/>
                <w:szCs w:val="21"/>
              </w:rPr>
              <w:t>江苏大江木业集团吴集有限公司火灾案例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pPr>
              <w:adjustRightInd w:val="0"/>
              <w:snapToGrid w:val="0"/>
              <w:rPr>
                <w:rFonts w:eastAsia="宋体"/>
                <w:sz w:val="21"/>
                <w:szCs w:val="21"/>
              </w:rPr>
            </w:pPr>
            <w:r>
              <w:rPr>
                <w:rFonts w:eastAsia="宋体"/>
                <w:sz w:val="21"/>
                <w:szCs w:val="21"/>
              </w:rPr>
              <w:t>2018年12月31日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pPr>
              <w:adjustRightInd w:val="0"/>
              <w:snapToGrid w:val="0"/>
              <w:rPr>
                <w:rFonts w:eastAsia="宋体"/>
                <w:sz w:val="21"/>
                <w:szCs w:val="21"/>
              </w:rPr>
            </w:pPr>
            <w:r>
              <w:rPr>
                <w:rFonts w:eastAsia="宋体"/>
                <w:sz w:val="21"/>
                <w:szCs w:val="21"/>
              </w:rPr>
              <w:t>江苏大江木业集团吴集有限公司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pPr>
              <w:adjustRightInd w:val="0"/>
              <w:snapToGrid w:val="0"/>
              <w:rPr>
                <w:rFonts w:eastAsia="宋体"/>
                <w:sz w:val="21"/>
                <w:szCs w:val="21"/>
              </w:rPr>
            </w:pPr>
            <w:r>
              <w:rPr>
                <w:rFonts w:eastAsia="宋体"/>
                <w:sz w:val="21"/>
                <w:szCs w:val="21"/>
              </w:rPr>
              <w:t>6:44分，该企业砂光车间2号中砂砂光机发生机械故障，2块密度板卡住，与砂带摩擦发生火情，当班员工停工检修</w:t>
            </w:r>
            <w:r>
              <w:rPr>
                <w:rFonts w:hint="eastAsia" w:eastAsia="宋体"/>
                <w:sz w:val="21"/>
                <w:szCs w:val="21"/>
              </w:rPr>
              <w:t>；</w:t>
            </w:r>
          </w:p>
          <w:p>
            <w:pPr>
              <w:adjustRightInd w:val="0"/>
              <w:snapToGrid w:val="0"/>
              <w:rPr>
                <w:rFonts w:eastAsia="宋体"/>
                <w:sz w:val="21"/>
                <w:szCs w:val="21"/>
              </w:rPr>
            </w:pPr>
            <w:r>
              <w:rPr>
                <w:rFonts w:eastAsia="宋体"/>
                <w:sz w:val="21"/>
                <w:szCs w:val="21"/>
              </w:rPr>
              <w:t>8:56 分，开机恢复生产，15秒后砂光车间原起火部位再次起火</w:t>
            </w:r>
            <w:r>
              <w:rPr>
                <w:rFonts w:hint="eastAsia" w:eastAsia="宋体"/>
                <w:sz w:val="21"/>
                <w:szCs w:val="21"/>
              </w:rPr>
              <w:t>；</w:t>
            </w:r>
          </w:p>
          <w:p>
            <w:pPr>
              <w:adjustRightInd w:val="0"/>
              <w:snapToGrid w:val="0"/>
              <w:rPr>
                <w:rFonts w:eastAsia="宋体"/>
                <w:sz w:val="21"/>
                <w:szCs w:val="21"/>
              </w:rPr>
            </w:pPr>
            <w:r>
              <w:rPr>
                <w:rFonts w:eastAsia="宋体"/>
                <w:sz w:val="21"/>
                <w:szCs w:val="21"/>
              </w:rPr>
              <w:t>8:58分</w:t>
            </w:r>
            <w:r>
              <w:rPr>
                <w:rFonts w:hint="eastAsia" w:eastAsia="宋体"/>
                <w:sz w:val="21"/>
                <w:szCs w:val="21"/>
              </w:rPr>
              <w:t>，</w:t>
            </w:r>
            <w:r>
              <w:rPr>
                <w:rFonts w:eastAsia="宋体"/>
                <w:sz w:val="21"/>
                <w:szCs w:val="21"/>
              </w:rPr>
              <w:t>积尘室、背压机、铺板机等多处起火</w:t>
            </w:r>
            <w:r>
              <w:rPr>
                <w:rFonts w:hint="eastAsia" w:eastAsia="宋体"/>
                <w:sz w:val="21"/>
                <w:szCs w:val="21"/>
              </w:rPr>
              <w:t>，</w:t>
            </w:r>
            <w:r>
              <w:rPr>
                <w:rFonts w:eastAsia="宋体"/>
                <w:sz w:val="21"/>
                <w:szCs w:val="21"/>
              </w:rPr>
              <w:t>导致集尘器发生爆炸，冲击波冲破木质纤维料场房顶，引起料场起火，现场的装运卡车油箱起火燃烧爆炸</w:t>
            </w:r>
            <w:r>
              <w:rPr>
                <w:rFonts w:hint="eastAsia" w:eastAsia="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pPr>
              <w:adjustRightInd w:val="0"/>
              <w:snapToGrid w:val="0"/>
              <w:rPr>
                <w:rFonts w:eastAsia="宋体"/>
                <w:sz w:val="21"/>
                <w:szCs w:val="21"/>
              </w:rPr>
            </w:pPr>
            <w:r>
              <w:rPr>
                <w:rFonts w:eastAsia="宋体"/>
                <w:sz w:val="21"/>
                <w:szCs w:val="21"/>
              </w:rPr>
              <w:t>砂带机摩擦起火导致连锁式火灾</w:t>
            </w:r>
            <w:r>
              <w:rPr>
                <w:rFonts w:hint="eastAsia" w:eastAsia="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w:t>
            </w:r>
            <w:r>
              <w:rPr>
                <w:rFonts w:eastAsia="宋体"/>
                <w:sz w:val="21"/>
                <w:szCs w:val="21"/>
              </w:rPr>
              <w:t>6名作业人员有2人当场死亡，4人受伤</w:t>
            </w:r>
            <w:r>
              <w:rPr>
                <w:rFonts w:hint="eastAsia" w:eastAsia="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pPr>
              <w:adjustRightInd w:val="0"/>
              <w:snapToGrid w:val="0"/>
              <w:rPr>
                <w:rFonts w:eastAsia="宋体"/>
                <w:sz w:val="21"/>
                <w:szCs w:val="21"/>
              </w:rPr>
            </w:pPr>
            <w:r>
              <w:rPr>
                <w:rFonts w:eastAsia="宋体"/>
                <w:sz w:val="21"/>
                <w:szCs w:val="21"/>
              </w:rPr>
              <w:t>（1）正规使用设备设施；</w:t>
            </w:r>
          </w:p>
          <w:p>
            <w:pPr>
              <w:adjustRightInd w:val="0"/>
              <w:snapToGrid w:val="0"/>
              <w:rPr>
                <w:rFonts w:eastAsia="宋体"/>
                <w:sz w:val="21"/>
                <w:szCs w:val="21"/>
              </w:rPr>
            </w:pPr>
            <w:r>
              <w:rPr>
                <w:rFonts w:eastAsia="宋体"/>
                <w:sz w:val="21"/>
                <w:szCs w:val="21"/>
              </w:rPr>
              <w:t>（2）安装火花探测和熄灭、泄爆、隔爆等防火、控爆安全装置</w:t>
            </w:r>
            <w:r>
              <w:rPr>
                <w:rFonts w:hint="eastAsia" w:eastAsia="宋体"/>
                <w:sz w:val="21"/>
                <w:szCs w:val="21"/>
              </w:rPr>
              <w:t>。</w:t>
            </w:r>
          </w:p>
        </w:tc>
      </w:tr>
    </w:tbl>
    <w:p>
      <w:pPr>
        <w:adjustRightInd w:val="0"/>
        <w:snapToGrid w:val="0"/>
        <w:spacing w:line="500" w:lineRule="exact"/>
        <w:jc w:val="center"/>
        <w:rPr>
          <w:rFonts w:eastAsia="宋体"/>
        </w:rPr>
      </w:pPr>
      <w:r>
        <w:rPr>
          <w:rFonts w:eastAsia="宋体"/>
          <w:b/>
          <w:bCs/>
        </w:rPr>
        <w:t>突发环境事件案例</w:t>
      </w:r>
      <w:r>
        <w:rPr>
          <w:rFonts w:hint="eastAsia" w:eastAsia="宋体"/>
          <w:b/>
          <w:bCs/>
        </w:rPr>
        <w:t>二</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pPr>
              <w:adjustRightInd w:val="0"/>
              <w:snapToGrid w:val="0"/>
              <w:rPr>
                <w:rFonts w:eastAsia="宋体"/>
                <w:sz w:val="21"/>
                <w:szCs w:val="21"/>
              </w:rPr>
            </w:pPr>
            <w:r>
              <w:rPr>
                <w:rFonts w:hint="eastAsia" w:eastAsia="宋体"/>
                <w:sz w:val="21"/>
                <w:szCs w:val="21"/>
              </w:rPr>
              <w:t>霸州市胜芳镇西格玛家具厂火灾案例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pPr>
              <w:adjustRightInd w:val="0"/>
              <w:snapToGrid w:val="0"/>
              <w:rPr>
                <w:rFonts w:eastAsia="宋体"/>
                <w:sz w:val="21"/>
                <w:szCs w:val="21"/>
              </w:rPr>
            </w:pPr>
            <w:r>
              <w:rPr>
                <w:rFonts w:hint="eastAsia" w:eastAsia="宋体"/>
                <w:sz w:val="21"/>
                <w:szCs w:val="21"/>
              </w:rPr>
              <w:t>2014年1月10日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pPr>
              <w:adjustRightInd w:val="0"/>
              <w:snapToGrid w:val="0"/>
              <w:rPr>
                <w:rFonts w:eastAsia="宋体"/>
                <w:sz w:val="21"/>
                <w:szCs w:val="21"/>
              </w:rPr>
            </w:pPr>
            <w:r>
              <w:rPr>
                <w:rFonts w:hint="eastAsia" w:eastAsia="宋体"/>
                <w:sz w:val="21"/>
                <w:szCs w:val="21"/>
              </w:rPr>
              <w:t>霸州市胜芳镇西格玛家具厂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pPr>
              <w:adjustRightInd w:val="0"/>
              <w:snapToGrid w:val="0"/>
              <w:jc w:val="left"/>
              <w:rPr>
                <w:rFonts w:eastAsia="宋体"/>
                <w:sz w:val="21"/>
                <w:szCs w:val="21"/>
              </w:rPr>
            </w:pPr>
            <w:r>
              <w:rPr>
                <w:rFonts w:hint="eastAsia" w:eastAsia="宋体"/>
                <w:sz w:val="21"/>
                <w:szCs w:val="21"/>
              </w:rPr>
              <w:t>15:30 车间内水性漆桶受电暖气高温崩开，释放的有机溶剂蒸汽遇高温爆燃，引燃了周边海绵及皮革，因室内外给水系统不完备，致火势无法控制。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pPr>
              <w:adjustRightInd w:val="0"/>
              <w:snapToGrid w:val="0"/>
              <w:rPr>
                <w:rFonts w:eastAsia="宋体"/>
                <w:sz w:val="21"/>
                <w:szCs w:val="21"/>
              </w:rPr>
            </w:pPr>
            <w:r>
              <w:rPr>
                <w:rFonts w:hint="eastAsia" w:eastAsia="宋体"/>
                <w:sz w:val="21"/>
                <w:szCs w:val="21"/>
              </w:rPr>
              <w:t>密闭水性漆桶高温崩炸，释放的有机溶剂蒸汽遇高温爆燃。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受到影响，造成4名女工当场死亡。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pPr>
              <w:adjustRightInd w:val="0"/>
              <w:snapToGrid w:val="0"/>
              <w:jc w:val="left"/>
              <w:rPr>
                <w:rFonts w:eastAsia="宋体"/>
                <w:sz w:val="21"/>
                <w:szCs w:val="21"/>
              </w:rPr>
            </w:pPr>
            <w:r>
              <w:rPr>
                <w:rFonts w:hint="eastAsia" w:eastAsia="宋体"/>
                <w:sz w:val="21"/>
                <w:szCs w:val="21"/>
              </w:rPr>
              <w:t>（1）需定期检查给水设备；</w:t>
            </w:r>
          </w:p>
          <w:p>
            <w:pPr>
              <w:adjustRightInd w:val="0"/>
              <w:snapToGrid w:val="0"/>
              <w:rPr>
                <w:rFonts w:eastAsia="宋体"/>
                <w:sz w:val="21"/>
                <w:szCs w:val="21"/>
              </w:rPr>
            </w:pPr>
            <w:r>
              <w:rPr>
                <w:rFonts w:hint="eastAsia" w:eastAsia="宋体"/>
                <w:sz w:val="21"/>
                <w:szCs w:val="21"/>
              </w:rPr>
              <w:t>（2）配备足够的应急物资如防毒面具。</w:t>
            </w:r>
          </w:p>
        </w:tc>
      </w:tr>
    </w:tbl>
    <w:p>
      <w:pPr>
        <w:adjustRightInd w:val="0"/>
        <w:snapToGrid w:val="0"/>
        <w:spacing w:line="500" w:lineRule="exact"/>
        <w:jc w:val="center"/>
        <w:rPr>
          <w:rFonts w:eastAsia="宋体"/>
        </w:rPr>
      </w:pPr>
      <w:r>
        <w:rPr>
          <w:rFonts w:eastAsia="宋体"/>
          <w:b/>
          <w:bCs/>
        </w:rPr>
        <w:t>突发环境事件案例</w:t>
      </w:r>
      <w:r>
        <w:rPr>
          <w:rFonts w:hint="eastAsia" w:eastAsia="宋体"/>
          <w:b/>
          <w:bCs/>
        </w:rPr>
        <w:t>三</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pPr>
              <w:adjustRightInd w:val="0"/>
              <w:snapToGrid w:val="0"/>
              <w:rPr>
                <w:rFonts w:eastAsia="宋体"/>
                <w:sz w:val="21"/>
                <w:szCs w:val="21"/>
              </w:rPr>
            </w:pPr>
            <w:r>
              <w:rPr>
                <w:rFonts w:hint="eastAsia" w:eastAsia="宋体"/>
                <w:sz w:val="21"/>
                <w:szCs w:val="21"/>
              </w:rPr>
              <w:t>金河兴安人造板有限公司火灾案例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pPr>
              <w:adjustRightInd w:val="0"/>
              <w:snapToGrid w:val="0"/>
              <w:rPr>
                <w:rFonts w:eastAsia="宋体"/>
                <w:sz w:val="21"/>
                <w:szCs w:val="21"/>
              </w:rPr>
            </w:pPr>
            <w:r>
              <w:rPr>
                <w:rFonts w:hint="eastAsia" w:eastAsia="宋体"/>
                <w:sz w:val="21"/>
                <w:szCs w:val="21"/>
              </w:rPr>
              <w:t>2015年1月31日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pPr>
              <w:adjustRightInd w:val="0"/>
              <w:snapToGrid w:val="0"/>
              <w:rPr>
                <w:rFonts w:eastAsia="宋体"/>
                <w:sz w:val="21"/>
                <w:szCs w:val="21"/>
              </w:rPr>
            </w:pPr>
            <w:r>
              <w:rPr>
                <w:rFonts w:hint="eastAsia" w:eastAsia="宋体"/>
                <w:sz w:val="21"/>
                <w:szCs w:val="21"/>
              </w:rPr>
              <w:t>金河兴安人造板有限公司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pPr>
              <w:keepNext/>
              <w:keepLines/>
              <w:rPr>
                <w:rFonts w:eastAsia="宋体"/>
                <w:sz w:val="21"/>
                <w:szCs w:val="21"/>
              </w:rPr>
            </w:pPr>
            <w:r>
              <w:rPr>
                <w:rFonts w:hint="eastAsia" w:eastAsia="宋体"/>
                <w:sz w:val="21"/>
                <w:szCs w:val="21"/>
              </w:rPr>
              <w:t>06:08 木工车间中央除尘系统收尘仓木粉尘发生一次爆炸；</w:t>
            </w:r>
          </w:p>
          <w:p>
            <w:pPr>
              <w:adjustRightInd w:val="0"/>
              <w:snapToGrid w:val="0"/>
              <w:jc w:val="left"/>
              <w:rPr>
                <w:rFonts w:eastAsia="宋体"/>
                <w:sz w:val="21"/>
                <w:szCs w:val="21"/>
              </w:rPr>
            </w:pPr>
            <w:r>
              <w:rPr>
                <w:rFonts w:hint="eastAsia" w:eastAsia="宋体"/>
                <w:sz w:val="21"/>
                <w:szCs w:val="21"/>
              </w:rPr>
              <w:t>06:20 一次爆炸引起车间内打磨车间二次爆炸，进而引起生产车间及库房火灾。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pPr>
              <w:adjustRightInd w:val="0"/>
              <w:snapToGrid w:val="0"/>
              <w:rPr>
                <w:rFonts w:eastAsia="宋体"/>
                <w:sz w:val="21"/>
                <w:szCs w:val="21"/>
              </w:rPr>
            </w:pPr>
            <w:r>
              <w:rPr>
                <w:rFonts w:hint="eastAsia" w:eastAsia="宋体"/>
                <w:sz w:val="21"/>
                <w:szCs w:val="21"/>
              </w:rPr>
              <w:t>除尘系统内收尘仓爆炸。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受到影响，造成6人死亡，3人受伤。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pPr>
              <w:numPr>
                <w:ilvl w:val="0"/>
                <w:numId w:val="5"/>
              </w:numPr>
              <w:adjustRightInd w:val="0"/>
              <w:snapToGrid w:val="0"/>
              <w:rPr>
                <w:rFonts w:eastAsia="宋体"/>
                <w:sz w:val="21"/>
                <w:szCs w:val="21"/>
              </w:rPr>
            </w:pPr>
            <w:r>
              <w:rPr>
                <w:rFonts w:hint="eastAsia" w:eastAsia="宋体"/>
                <w:sz w:val="21"/>
                <w:szCs w:val="21"/>
              </w:rPr>
              <w:t>除尘系统需安装泄爆装置；</w:t>
            </w:r>
          </w:p>
          <w:p>
            <w:pPr>
              <w:adjustRightInd w:val="0"/>
              <w:snapToGrid w:val="0"/>
              <w:rPr>
                <w:rFonts w:eastAsia="宋体"/>
                <w:sz w:val="21"/>
                <w:szCs w:val="21"/>
              </w:rPr>
            </w:pPr>
            <w:r>
              <w:rPr>
                <w:rFonts w:hint="eastAsia" w:eastAsia="宋体"/>
                <w:sz w:val="21"/>
                <w:szCs w:val="21"/>
              </w:rPr>
              <w:t>（2）生产车间配备足够应急物资。</w:t>
            </w:r>
          </w:p>
        </w:tc>
      </w:tr>
    </w:tbl>
    <w:p>
      <w:pPr>
        <w:adjustRightInd w:val="0"/>
        <w:snapToGrid w:val="0"/>
        <w:spacing w:line="500" w:lineRule="exact"/>
        <w:ind w:firstLine="480" w:firstLineChars="200"/>
        <w:rPr>
          <w:rFonts w:eastAsia="宋体"/>
        </w:rPr>
      </w:pPr>
      <w:r>
        <w:rPr>
          <w:rFonts w:eastAsia="宋体"/>
        </w:rPr>
        <w:t>根据研究，公司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pPr>
        <w:adjustRightInd w:val="0"/>
        <w:snapToGrid w:val="0"/>
        <w:spacing w:line="500" w:lineRule="exact"/>
        <w:jc w:val="center"/>
        <w:rPr>
          <w:rFonts w:eastAsia="宋体"/>
          <w:b/>
          <w:bCs/>
        </w:rPr>
      </w:pPr>
      <w:r>
        <w:rPr>
          <w:rFonts w:eastAsia="宋体"/>
          <w:b/>
          <w:bCs/>
        </w:rPr>
        <w:t>表4-2 公司环境事件情景设定</w:t>
      </w:r>
    </w:p>
    <w:tbl>
      <w:tblPr>
        <w:tblStyle w:val="38"/>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pPr>
              <w:adjustRightInd w:val="0"/>
              <w:snapToGrid w:val="0"/>
              <w:jc w:val="center"/>
              <w:rPr>
                <w:rFonts w:eastAsia="宋体"/>
                <w:b/>
                <w:color w:val="000000"/>
                <w:sz w:val="21"/>
                <w:szCs w:val="21"/>
              </w:rPr>
            </w:pPr>
            <w:r>
              <w:rPr>
                <w:rFonts w:hint="eastAsia" w:eastAsia="宋体"/>
                <w:b/>
                <w:color w:val="000000"/>
                <w:sz w:val="21"/>
                <w:szCs w:val="21"/>
              </w:rPr>
              <w:t>情景分析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w:t>
            </w:r>
            <w:r>
              <w:rPr>
                <w:rFonts w:hint="eastAsia" w:eastAsia="宋体"/>
                <w:bCs/>
                <w:sz w:val="21"/>
                <w:szCs w:val="21"/>
              </w:rPr>
              <w:t>、废气处理设施</w:t>
            </w:r>
            <w:r>
              <w:rPr>
                <w:rFonts w:eastAsia="宋体"/>
                <w:bCs/>
                <w:sz w:val="21"/>
                <w:szCs w:val="21"/>
              </w:rPr>
              <w:t>发生火灾事故；</w:t>
            </w:r>
          </w:p>
          <w:p>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rPr>
              <w:t>原料</w:t>
            </w:r>
            <w:r>
              <w:rPr>
                <w:rFonts w:eastAsia="宋体"/>
                <w:bCs/>
                <w:sz w:val="21"/>
                <w:szCs w:val="21"/>
              </w:rPr>
              <w:t>仓库</w:t>
            </w:r>
            <w:r>
              <w:rPr>
                <w:rFonts w:hint="eastAsia" w:eastAsia="宋体"/>
                <w:bCs/>
                <w:sz w:val="21"/>
                <w:szCs w:val="21"/>
              </w:rPr>
              <w:t>、危废仓库</w:t>
            </w:r>
            <w:r>
              <w:rPr>
                <w:rFonts w:eastAsia="宋体"/>
                <w:bCs/>
                <w:sz w:val="21"/>
                <w:szCs w:val="21"/>
              </w:rPr>
              <w:t>发生火灾、泄漏事故；</w:t>
            </w:r>
          </w:p>
          <w:p>
            <w:pPr>
              <w:adjustRightInd w:val="0"/>
              <w:snapToGrid w:val="0"/>
              <w:jc w:val="left"/>
              <w:rPr>
                <w:rFonts w:eastAsia="宋体"/>
                <w:bCs/>
                <w:sz w:val="21"/>
                <w:szCs w:val="21"/>
              </w:rPr>
            </w:pPr>
            <w:r>
              <w:rPr>
                <w:rFonts w:eastAsia="宋体"/>
                <w:b/>
                <w:sz w:val="21"/>
                <w:szCs w:val="21"/>
              </w:rPr>
              <w:t>情景3：</w:t>
            </w:r>
            <w:r>
              <w:rPr>
                <w:rFonts w:hint="eastAsia" w:eastAsia="宋体"/>
                <w:bCs/>
                <w:sz w:val="21"/>
                <w:szCs w:val="21"/>
              </w:rPr>
              <w:t>喷漆</w:t>
            </w:r>
            <w:r>
              <w:rPr>
                <w:rFonts w:eastAsia="宋体"/>
                <w:bCs/>
                <w:sz w:val="21"/>
                <w:szCs w:val="21"/>
              </w:rPr>
              <w:t>车间发生火灾、爆炸、泄漏事故；</w:t>
            </w:r>
          </w:p>
          <w:p>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rPr>
              <w:t>4</w:t>
            </w:r>
            <w:r>
              <w:rPr>
                <w:rFonts w:eastAsia="宋体"/>
                <w:bCs/>
                <w:sz w:val="21"/>
                <w:szCs w:val="21"/>
              </w:rPr>
              <w:t>：木工车间</w:t>
            </w:r>
            <w:r>
              <w:rPr>
                <w:rFonts w:hint="eastAsia" w:eastAsia="宋体"/>
                <w:bCs/>
                <w:sz w:val="21"/>
                <w:szCs w:val="21"/>
              </w:rPr>
              <w:t>（含打磨）粉尘</w:t>
            </w:r>
            <w:r>
              <w:rPr>
                <w:rFonts w:eastAsia="宋体"/>
                <w:bCs/>
                <w:sz w:val="21"/>
                <w:szCs w:val="21"/>
              </w:rPr>
              <w:t>爆炸导致火灾、人员伤亡事故</w:t>
            </w:r>
            <w:r>
              <w:rPr>
                <w:rFonts w:hint="eastAsia" w:eastAsia="宋体"/>
                <w:bCs/>
                <w:sz w:val="21"/>
                <w:szCs w:val="21"/>
              </w:rPr>
              <w:t>；</w:t>
            </w:r>
            <w:r>
              <w:rPr>
                <w:rFonts w:eastAsia="宋体"/>
                <w:b/>
                <w:sz w:val="21"/>
                <w:szCs w:val="21"/>
              </w:rPr>
              <w:t>情景</w:t>
            </w:r>
            <w:r>
              <w:rPr>
                <w:rFonts w:hint="eastAsia" w:eastAsia="宋体"/>
                <w:b/>
                <w:sz w:val="21"/>
                <w:szCs w:val="21"/>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rPr>
              <w:t>应急</w:t>
            </w:r>
            <w:r>
              <w:rPr>
                <w:rFonts w:eastAsia="宋体"/>
                <w:bCs/>
                <w:sz w:val="21"/>
                <w:szCs w:val="21"/>
              </w:rPr>
              <w:t>事故池引流措施失败，事故废水、消防尾水、泄漏液</w:t>
            </w:r>
            <w:r>
              <w:rPr>
                <w:rFonts w:hint="eastAsia" w:eastAsia="宋体"/>
                <w:bCs/>
                <w:sz w:val="21"/>
                <w:szCs w:val="21"/>
              </w:rPr>
              <w:t>经雨水管道排入外环境</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rPr>
              <w:t>开</w:t>
            </w:r>
            <w:r>
              <w:rPr>
                <w:rFonts w:hint="eastAsia" w:eastAsia="宋体"/>
                <w:bCs/>
                <w:sz w:val="21"/>
                <w:szCs w:val="21"/>
              </w:rPr>
              <w:t>工</w:t>
            </w:r>
            <w:r>
              <w:rPr>
                <w:rFonts w:eastAsia="宋体"/>
                <w:bCs/>
                <w:sz w:val="21"/>
                <w:szCs w:val="21"/>
              </w:rPr>
              <w:t>未先开废气处理装置、停废气处理装置</w:t>
            </w:r>
            <w:r>
              <w:rPr>
                <w:rFonts w:hint="eastAsia" w:eastAsia="宋体"/>
                <w:bCs/>
                <w:sz w:val="21"/>
                <w:szCs w:val="21"/>
              </w:rPr>
              <w:t>后继续生产</w:t>
            </w:r>
            <w:r>
              <w:rPr>
                <w:rFonts w:eastAsia="宋体"/>
                <w:bCs/>
                <w:sz w:val="21"/>
                <w:szCs w:val="21"/>
              </w:rPr>
              <w:t>，无组织排放造成厂界超标，下风向大气污染。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1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pPr>
              <w:rPr>
                <w:rFonts w:eastAsia="宋体"/>
                <w:sz w:val="21"/>
                <w:szCs w:val="21"/>
              </w:rPr>
            </w:pPr>
            <w:r>
              <w:rPr>
                <w:rFonts w:eastAsia="宋体"/>
                <w:b/>
                <w:bCs/>
                <w:sz w:val="21"/>
                <w:szCs w:val="21"/>
              </w:rPr>
              <w:t>情景8：</w:t>
            </w:r>
            <w:r>
              <w:rPr>
                <w:rFonts w:eastAsia="宋体"/>
                <w:sz w:val="21"/>
                <w:szCs w:val="21"/>
              </w:rPr>
              <w:t>废气处理设施异常，超标排放，引起下风向大气污染；</w:t>
            </w:r>
          </w:p>
          <w:p>
            <w:pPr>
              <w:rPr>
                <w:rFonts w:eastAsia="宋体"/>
                <w:sz w:val="21"/>
                <w:szCs w:val="21"/>
              </w:rPr>
            </w:pPr>
            <w:r>
              <w:rPr>
                <w:rFonts w:eastAsia="宋体"/>
                <w:b/>
                <w:bCs/>
                <w:sz w:val="21"/>
                <w:szCs w:val="21"/>
              </w:rPr>
              <w:t>情景9：</w:t>
            </w:r>
            <w:r>
              <w:rPr>
                <w:rFonts w:eastAsia="宋体"/>
                <w:sz w:val="21"/>
                <w:szCs w:val="21"/>
              </w:rPr>
              <w:t>泄漏、火灾、爆炸等事故救援产生的消防水的事故性排放；管道破裂引起的生产废水排出厂外；</w:t>
            </w:r>
          </w:p>
          <w:p>
            <w:pPr>
              <w:rPr>
                <w:rFonts w:eastAsia="宋体"/>
                <w:szCs w:val="21"/>
              </w:rPr>
            </w:pPr>
            <w:r>
              <w:rPr>
                <w:rFonts w:eastAsia="宋体"/>
                <w:b/>
                <w:bCs/>
                <w:sz w:val="21"/>
                <w:szCs w:val="21"/>
              </w:rPr>
              <w:t>情景10：</w:t>
            </w:r>
            <w:r>
              <w:rPr>
                <w:rFonts w:eastAsia="宋体"/>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pPr>
              <w:adjustRightInd w:val="0"/>
              <w:snapToGrid w:val="0"/>
              <w:jc w:val="left"/>
              <w:rPr>
                <w:rFonts w:eastAsia="宋体"/>
                <w:bCs/>
                <w:sz w:val="21"/>
                <w:szCs w:val="21"/>
              </w:rPr>
            </w:pPr>
            <w:r>
              <w:rPr>
                <w:rFonts w:eastAsia="宋体"/>
                <w:b/>
                <w:sz w:val="21"/>
                <w:szCs w:val="21"/>
              </w:rPr>
              <w:t>情景11：</w:t>
            </w:r>
            <w:r>
              <w:rPr>
                <w:rFonts w:eastAsia="宋体"/>
                <w:bCs/>
                <w:sz w:val="21"/>
                <w:szCs w:val="21"/>
              </w:rPr>
              <w:t>水循环一体机内循环水倾入雨水管网，排出厂外，导致厂界外水体污染</w:t>
            </w:r>
            <w:r>
              <w:rPr>
                <w:rFonts w:hint="eastAsia" w:eastAsia="宋体"/>
                <w:bCs/>
                <w:sz w:val="21"/>
                <w:szCs w:val="21"/>
              </w:rPr>
              <w:t>；</w:t>
            </w:r>
          </w:p>
          <w:p>
            <w:pPr>
              <w:adjustRightInd w:val="0"/>
              <w:snapToGrid w:val="0"/>
              <w:jc w:val="left"/>
              <w:rPr>
                <w:rFonts w:eastAsia="宋体"/>
                <w:color w:val="000000"/>
                <w:sz w:val="21"/>
                <w:szCs w:val="21"/>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79"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rPr>
              <w:t>：</w:t>
            </w:r>
            <w:r>
              <w:rPr>
                <w:rFonts w:hint="eastAsia" w:eastAsia="宋体"/>
                <w:sz w:val="21"/>
                <w:szCs w:val="21"/>
              </w:rPr>
              <w:t>公司</w:t>
            </w:r>
            <w:r>
              <w:rPr>
                <w:rFonts w:eastAsia="宋体"/>
                <w:color w:val="000000"/>
                <w:sz w:val="21"/>
                <w:szCs w:val="21"/>
              </w:rPr>
              <w:t>停电</w:t>
            </w:r>
            <w:r>
              <w:rPr>
                <w:rFonts w:hint="eastAsia" w:eastAsia="宋体"/>
                <w:color w:val="000000"/>
                <w:sz w:val="21"/>
                <w:szCs w:val="21"/>
              </w:rPr>
              <w:t>会导致废气处理设施停止运行，废气不经处理直接外排，污染环境</w:t>
            </w:r>
            <w:r>
              <w:rPr>
                <w:rFonts w:eastAsia="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rPr>
              <w:t>4</w:t>
            </w:r>
            <w:r>
              <w:rPr>
                <w:rFonts w:eastAsia="宋体"/>
                <w:b/>
                <w:bCs/>
                <w:sz w:val="21"/>
                <w:szCs w:val="21"/>
              </w:rPr>
              <w:t>：</w:t>
            </w:r>
            <w:r>
              <w:rPr>
                <w:rFonts w:eastAsia="宋体"/>
                <w:sz w:val="21"/>
                <w:szCs w:val="21"/>
              </w:rPr>
              <w:t>厂内运输不当发生</w:t>
            </w:r>
            <w:r>
              <w:rPr>
                <w:rFonts w:hint="eastAsia" w:eastAsia="宋体"/>
                <w:sz w:val="21"/>
                <w:szCs w:val="21"/>
              </w:rPr>
              <w:t>水性漆等</w:t>
            </w:r>
            <w:r>
              <w:rPr>
                <w:rFonts w:eastAsia="宋体"/>
                <w:sz w:val="21"/>
                <w:szCs w:val="21"/>
              </w:rPr>
              <w:t>泄漏流入雨水系统造成厂界外水体污染。</w:t>
            </w:r>
          </w:p>
          <w:p>
            <w:pPr>
              <w:rPr>
                <w:rFonts w:eastAsia="宋体"/>
                <w:szCs w:val="21"/>
              </w:rPr>
            </w:pPr>
            <w:r>
              <w:rPr>
                <w:rFonts w:eastAsia="宋体"/>
                <w:b/>
                <w:bCs/>
                <w:sz w:val="21"/>
                <w:szCs w:val="21"/>
              </w:rPr>
              <w:t>情景1</w:t>
            </w:r>
            <w:r>
              <w:rPr>
                <w:rFonts w:hint="eastAsia" w:eastAsia="宋体"/>
                <w:b/>
                <w:bCs/>
                <w:sz w:val="21"/>
                <w:szCs w:val="21"/>
              </w:rPr>
              <w:t>5</w:t>
            </w:r>
            <w:r>
              <w:rPr>
                <w:rFonts w:eastAsia="宋体"/>
                <w:b/>
                <w:bCs/>
                <w:sz w:val="21"/>
                <w:szCs w:val="21"/>
              </w:rPr>
              <w:t>：</w:t>
            </w:r>
            <w:r>
              <w:rPr>
                <w:rFonts w:eastAsia="宋体"/>
                <w:sz w:val="21"/>
                <w:szCs w:val="21"/>
              </w:rPr>
              <w:t>公司产生的危险废物采用汽运方式进行运输。在运输的过程中，会因包装材料损坏、汽车翻车等原因，造成危废洒落、泄漏，对大气环境、水环境、土壤环境造成一定的影响。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color w:val="000000"/>
                <w:sz w:val="21"/>
                <w:szCs w:val="21"/>
              </w:rPr>
              <w:t>/</w:t>
            </w:r>
          </w:p>
        </w:tc>
      </w:tr>
    </w:tbl>
    <w:p>
      <w:pPr>
        <w:pStyle w:val="4"/>
        <w:adjustRightInd w:val="0"/>
        <w:snapToGrid w:val="0"/>
        <w:spacing w:line="500" w:lineRule="exact"/>
        <w:rPr>
          <w:rFonts w:eastAsia="宋体"/>
          <w:sz w:val="24"/>
          <w:szCs w:val="24"/>
        </w:rPr>
      </w:pPr>
      <w:bookmarkStart w:id="188" w:name="_Toc402776212"/>
      <w:bookmarkStart w:id="189" w:name="_Toc14737"/>
      <w:bookmarkStart w:id="190" w:name="_Toc496887125"/>
      <w:bookmarkStart w:id="191" w:name="_Toc29962"/>
      <w:bookmarkStart w:id="192" w:name="_Toc7356"/>
      <w:bookmarkStart w:id="193" w:name="_Toc23512"/>
      <w:bookmarkStart w:id="194" w:name="_Toc510092950"/>
      <w:r>
        <w:rPr>
          <w:rFonts w:hint="eastAsia" w:eastAsia="宋体"/>
          <w:sz w:val="24"/>
          <w:szCs w:val="24"/>
        </w:rPr>
        <w:t>4.2 突发环境事件情景源强分析</w:t>
      </w:r>
      <w:bookmarkEnd w:id="188"/>
      <w:bookmarkEnd w:id="189"/>
      <w:bookmarkEnd w:id="190"/>
      <w:bookmarkEnd w:id="191"/>
      <w:bookmarkEnd w:id="192"/>
      <w:bookmarkEnd w:id="193"/>
      <w:bookmarkEnd w:id="194"/>
    </w:p>
    <w:p>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pPr>
        <w:adjustRightInd w:val="0"/>
        <w:snapToGrid w:val="0"/>
        <w:spacing w:line="500" w:lineRule="exact"/>
        <w:ind w:firstLine="480" w:firstLineChars="200"/>
        <w:rPr>
          <w:color w:val="000000" w:themeColor="text1"/>
          <w14:textFill>
            <w14:solidFill>
              <w14:schemeClr w14:val="tx1"/>
            </w14:solidFill>
          </w14:textFill>
        </w:rPr>
      </w:pPr>
      <w:r>
        <w:rPr>
          <w:rFonts w:eastAsia="宋体"/>
          <w:color w:val="000000" w:themeColor="text1"/>
          <w14:textFill>
            <w14:solidFill>
              <w14:schemeClr w14:val="tx1"/>
            </w14:solidFill>
          </w14:textFill>
        </w:rPr>
        <w:t>事件1，考虑因管理不当，造成</w:t>
      </w:r>
      <w:r>
        <w:rPr>
          <w:rFonts w:hint="eastAsia" w:eastAsia="宋体"/>
          <w:color w:val="000000" w:themeColor="text1"/>
          <w14:textFill>
            <w14:solidFill>
              <w14:schemeClr w14:val="tx1"/>
            </w14:solidFill>
          </w14:textFill>
        </w:rPr>
        <w:t>仓库、危废仓库</w:t>
      </w:r>
      <w:r>
        <w:rPr>
          <w:rFonts w:eastAsia="宋体"/>
          <w:color w:val="000000" w:themeColor="text1"/>
          <w14:textFill>
            <w14:solidFill>
              <w14:schemeClr w14:val="tx1"/>
            </w14:solidFill>
          </w14:textFill>
        </w:rPr>
        <w:t>等风险源发生火灾、爆炸、泄漏事故及可能引起的次生、衍生厂外环境污染及人员伤亡事故。</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事件2、3、4、5根据分析均可归为公司废水、废气超标排放等原因造成对外环境有影响。</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综上，根据公司特点分析，本次报告重点针对分析影响较大的事件1、2、3、4、5的事故源强进行重点分析，其中1为火灾事件，2、3、4、5为废水超标排放事件、废气超标排放事件。</w:t>
      </w:r>
    </w:p>
    <w:p>
      <w:pPr>
        <w:pStyle w:val="2"/>
        <w:tabs>
          <w:tab w:val="left" w:pos="3491"/>
        </w:tabs>
        <w:adjustRightInd w:val="0"/>
        <w:snapToGrid w:val="0"/>
        <w:spacing w:line="500" w:lineRule="exact"/>
        <w:jc w:val="left"/>
        <w:rPr>
          <w:rFonts w:eastAsia="宋体"/>
          <w:color w:val="000000" w:themeColor="text1"/>
          <w14:textFill>
            <w14:solidFill>
              <w14:schemeClr w14:val="tx1"/>
            </w14:solidFill>
          </w14:textFill>
        </w:rPr>
      </w:pPr>
      <w:bookmarkStart w:id="195" w:name="_Toc26157"/>
      <w:bookmarkStart w:id="196" w:name="_Toc27354"/>
      <w:bookmarkStart w:id="197" w:name="_Toc10397"/>
      <w:bookmarkStart w:id="198" w:name="_Toc30597"/>
      <w:r>
        <w:rPr>
          <w:rFonts w:eastAsia="宋体"/>
          <w:color w:val="000000" w:themeColor="text1"/>
          <w14:textFill>
            <w14:solidFill>
              <w14:schemeClr w14:val="tx1"/>
            </w14:solidFill>
          </w14:textFill>
        </w:rPr>
        <w:t>4.2.1事件情景1</w:t>
      </w:r>
      <w:bookmarkEnd w:id="195"/>
      <w:bookmarkEnd w:id="196"/>
      <w:bookmarkEnd w:id="197"/>
      <w:bookmarkEnd w:id="198"/>
    </w:p>
    <w:p>
      <w:pPr>
        <w:autoSpaceDE w:val="0"/>
        <w:autoSpaceDN w:val="0"/>
        <w:adjustRightInd w:val="0"/>
        <w:snapToGrid w:val="0"/>
        <w:spacing w:line="500" w:lineRule="exact"/>
        <w:ind w:firstLine="480" w:firstLineChars="200"/>
        <w:rPr>
          <w:rFonts w:eastAsia="宋体"/>
          <w:color w:val="000000"/>
        </w:rPr>
      </w:pPr>
      <w:bookmarkStart w:id="199" w:name="_Toc475474908"/>
      <w:bookmarkStart w:id="200" w:name="_Toc10365"/>
      <w:r>
        <w:rPr>
          <w:rFonts w:eastAsia="宋体"/>
          <w:color w:val="000000" w:themeColor="text1"/>
          <w14:textFill>
            <w14:solidFill>
              <w14:schemeClr w14:val="tx1"/>
            </w14:solidFill>
          </w14:textFill>
        </w:rPr>
        <w:t>根据现场调查，在生产过程中，可能因</w:t>
      </w:r>
      <w:r>
        <w:rPr>
          <w:rFonts w:eastAsia="宋体"/>
          <w:color w:val="000000"/>
        </w:rPr>
        <w:t>人员工作时候麻痹大意导致火灾事故的产生。公司</w:t>
      </w:r>
      <w:bookmarkEnd w:id="199"/>
      <w:r>
        <w:rPr>
          <w:rFonts w:eastAsia="宋体"/>
          <w:color w:val="000000"/>
        </w:rPr>
        <w:t>原料及成品最大存储量为</w:t>
      </w:r>
      <w:r>
        <w:rPr>
          <w:rFonts w:hint="eastAsia" w:eastAsia="宋体"/>
          <w:color w:val="000000"/>
        </w:rPr>
        <w:t>1</w:t>
      </w:r>
      <w:r>
        <w:rPr>
          <w:rFonts w:hint="eastAsia" w:eastAsia="宋体"/>
          <w:color w:val="000000"/>
          <w:lang w:val="en-US" w:eastAsia="zh-CN"/>
        </w:rPr>
        <w:t>6</w:t>
      </w:r>
      <w:r>
        <w:rPr>
          <w:rFonts w:eastAsia="宋体"/>
          <w:color w:val="000000"/>
        </w:rPr>
        <w:t>吨，考虑到木材主要成分为纤维素，</w:t>
      </w:r>
      <w:r>
        <w:rPr>
          <w:rFonts w:hint="eastAsia" w:eastAsia="宋体"/>
          <w:color w:val="000000"/>
        </w:rPr>
        <w:t>固化剂、</w:t>
      </w:r>
      <w:r>
        <w:rPr>
          <w:rFonts w:hint="eastAsia" w:eastAsia="宋体"/>
          <w:color w:val="000000"/>
          <w:lang w:val="en-US" w:eastAsia="zh-CN"/>
        </w:rPr>
        <w:t>白乳胶</w:t>
      </w:r>
      <w:r>
        <w:rPr>
          <w:rFonts w:hint="eastAsia" w:eastAsia="宋体"/>
          <w:color w:val="000000"/>
        </w:rPr>
        <w:t>等主要成分为有机物，</w:t>
      </w:r>
      <w:r>
        <w:rPr>
          <w:rFonts w:eastAsia="宋体"/>
          <w:color w:val="000000"/>
        </w:rPr>
        <w:t>其主要构成元素为碳氢化合物，在燃烧时的主要化学反应为：</w:t>
      </w:r>
    </w:p>
    <w:p>
      <w:pPr>
        <w:pStyle w:val="5"/>
        <w:snapToGrid w:val="0"/>
        <w:spacing w:line="500" w:lineRule="exact"/>
        <w:ind w:firstLine="480"/>
        <w:rPr>
          <w:rFonts w:eastAsia="宋体"/>
          <w:color w:val="333333"/>
        </w:rPr>
      </w:pPr>
      <w:r>
        <w:rPr>
          <w:rFonts w:eastAsia="宋体"/>
          <w:color w:val="333333"/>
        </w:rPr>
        <w:t>C</w:t>
      </w:r>
      <w:r>
        <w:rPr>
          <w:rFonts w:eastAsia="宋体"/>
          <w:color w:val="333333"/>
          <w:vertAlign w:val="subscript"/>
        </w:rPr>
        <w:t>n</w:t>
      </w:r>
      <w:r>
        <w:rPr>
          <w:rFonts w:eastAsia="宋体"/>
          <w:color w:val="333333"/>
        </w:rPr>
        <w:t>H</w:t>
      </w:r>
      <w:r>
        <w:rPr>
          <w:rFonts w:eastAsia="宋体"/>
          <w:color w:val="333333"/>
          <w:vertAlign w:val="subscript"/>
        </w:rPr>
        <w:t>n</w:t>
      </w:r>
      <w:r>
        <w:rPr>
          <w:rFonts w:eastAsia="宋体"/>
          <w:color w:val="333333"/>
        </w:rPr>
        <w:t>+O</w:t>
      </w:r>
      <w:r>
        <w:rPr>
          <w:rFonts w:eastAsia="宋体"/>
          <w:color w:val="333333"/>
          <w:vertAlign w:val="subscript"/>
        </w:rPr>
        <w:t>2</w:t>
      </w:r>
      <w:r>
        <w:rPr>
          <w:rFonts w:eastAsia="宋体"/>
          <w:color w:val="333333"/>
        </w:rPr>
        <w:t>—CO</w:t>
      </w:r>
      <w:r>
        <w:rPr>
          <w:rFonts w:eastAsia="宋体"/>
          <w:color w:val="333333"/>
          <w:vertAlign w:val="subscript"/>
        </w:rPr>
        <w:t>2</w:t>
      </w:r>
      <w:r>
        <w:rPr>
          <w:rFonts w:eastAsia="宋体"/>
          <w:color w:val="333333"/>
        </w:rPr>
        <w:t>+H</w:t>
      </w:r>
      <w:r>
        <w:rPr>
          <w:rFonts w:eastAsia="宋体"/>
          <w:color w:val="333333"/>
          <w:vertAlign w:val="subscript"/>
        </w:rPr>
        <w:t>2</w:t>
      </w:r>
      <w:r>
        <w:rPr>
          <w:rFonts w:eastAsia="宋体"/>
          <w:color w:val="333333"/>
        </w:rPr>
        <w:t>O</w:t>
      </w:r>
    </w:p>
    <w:p>
      <w:pPr>
        <w:pStyle w:val="5"/>
        <w:snapToGrid w:val="0"/>
        <w:spacing w:line="500" w:lineRule="exact"/>
        <w:ind w:firstLine="480"/>
        <w:rPr>
          <w:rFonts w:eastAsia="宋体"/>
          <w:color w:val="333333"/>
        </w:rPr>
      </w:pPr>
      <w:r>
        <w:rPr>
          <w:rFonts w:eastAsia="宋体"/>
          <w:color w:val="333333"/>
        </w:rPr>
        <w:t>C</w:t>
      </w:r>
      <w:r>
        <w:rPr>
          <w:rFonts w:eastAsia="宋体"/>
          <w:color w:val="333333"/>
          <w:vertAlign w:val="subscript"/>
        </w:rPr>
        <w:t>n</w:t>
      </w:r>
      <w:r>
        <w:rPr>
          <w:rFonts w:eastAsia="宋体"/>
          <w:color w:val="333333"/>
        </w:rPr>
        <w:t>H</w:t>
      </w:r>
      <w:r>
        <w:rPr>
          <w:rFonts w:eastAsia="宋体"/>
          <w:color w:val="333333"/>
          <w:vertAlign w:val="subscript"/>
        </w:rPr>
        <w:t>n</w:t>
      </w:r>
      <w:r>
        <w:rPr>
          <w:rFonts w:eastAsia="宋体"/>
          <w:color w:val="333333"/>
        </w:rPr>
        <w:t>+O</w:t>
      </w:r>
      <w:r>
        <w:rPr>
          <w:rFonts w:eastAsia="宋体"/>
          <w:color w:val="333333"/>
          <w:vertAlign w:val="subscript"/>
        </w:rPr>
        <w:t>2</w:t>
      </w:r>
      <w:r>
        <w:rPr>
          <w:rFonts w:eastAsia="宋体"/>
          <w:color w:val="333333"/>
        </w:rPr>
        <w:t>—CO+H</w:t>
      </w:r>
      <w:r>
        <w:rPr>
          <w:rFonts w:eastAsia="宋体"/>
          <w:color w:val="333333"/>
          <w:vertAlign w:val="subscript"/>
        </w:rPr>
        <w:t>2</w:t>
      </w:r>
      <w:r>
        <w:rPr>
          <w:rFonts w:eastAsia="宋体"/>
          <w:color w:val="333333"/>
        </w:rPr>
        <w:t>O</w:t>
      </w:r>
    </w:p>
    <w:p>
      <w:pPr>
        <w:snapToGrid w:val="0"/>
        <w:spacing w:line="500" w:lineRule="exact"/>
        <w:ind w:firstLine="480" w:firstLineChars="200"/>
        <w:rPr>
          <w:rFonts w:eastAsia="宋体"/>
          <w:color w:val="000000"/>
        </w:rPr>
      </w:pPr>
      <w:r>
        <w:rPr>
          <w:rFonts w:eastAsia="宋体"/>
          <w:color w:val="000000"/>
        </w:rPr>
        <w:t>假设燃烧一半时，火被扑灭即燃烧量为</w:t>
      </w:r>
      <w:r>
        <w:rPr>
          <w:rFonts w:hint="eastAsia" w:eastAsia="宋体"/>
          <w:color w:val="000000"/>
        </w:rPr>
        <w:t>8</w:t>
      </w:r>
      <w:r>
        <w:rPr>
          <w:rFonts w:eastAsia="宋体"/>
          <w:color w:val="000000"/>
        </w:rPr>
        <w:t>吨。由于火灾燃烧时为不完全燃烧，</w:t>
      </w:r>
      <w:r>
        <w:rPr>
          <w:rFonts w:hint="eastAsia" w:eastAsia="宋体"/>
          <w:color w:val="000000"/>
        </w:rPr>
        <w:t>海绵胶、热熔胶热分解时会产生可燃有毒气体</w:t>
      </w:r>
      <w:r>
        <w:rPr>
          <w:rFonts w:eastAsia="宋体"/>
          <w:color w:val="000000"/>
        </w:rPr>
        <w:t>，本评价在考虑污染物的时候主要考虑CO。参考类似项目，化学不完全燃烧值取</w:t>
      </w:r>
      <w:r>
        <w:rPr>
          <w:rFonts w:hint="eastAsia" w:eastAsia="宋体"/>
          <w:color w:val="000000"/>
        </w:rPr>
        <w:t>5</w:t>
      </w:r>
      <w:r>
        <w:rPr>
          <w:rFonts w:eastAsia="宋体"/>
          <w:color w:val="000000"/>
        </w:rPr>
        <w:t>%。源强计算参照《建设项目环境风险评价技术导则》(征求意见稿)推荐的公式计算：</w:t>
      </w:r>
    </w:p>
    <w:p>
      <w:pPr>
        <w:snapToGrid w:val="0"/>
        <w:spacing w:line="500" w:lineRule="exact"/>
        <w:ind w:firstLine="480" w:firstLineChars="200"/>
        <w:rPr>
          <w:rFonts w:eastAsia="宋体"/>
          <w:color w:val="000000"/>
        </w:rPr>
      </w:pPr>
      <w:r>
        <w:rPr>
          <w:rFonts w:eastAsia="宋体"/>
          <w:color w:val="000000"/>
        </w:rPr>
        <w:t>燃料燃烧产生的CO量可按下式进行简单估算：</w:t>
      </w:r>
    </w:p>
    <w:p>
      <w:pPr>
        <w:snapToGrid w:val="0"/>
        <w:spacing w:line="500" w:lineRule="exact"/>
        <w:ind w:firstLine="480" w:firstLineChars="200"/>
        <w:rPr>
          <w:rFonts w:eastAsia="宋体"/>
          <w:color w:val="000000"/>
        </w:rPr>
      </w:pPr>
      <w:r>
        <w:rPr>
          <w:rFonts w:eastAsia="宋体"/>
          <w:color w:val="000000"/>
        </w:rPr>
        <w:t>G</w:t>
      </w:r>
      <w:r>
        <w:rPr>
          <w:rFonts w:eastAsia="宋体"/>
          <w:color w:val="000000"/>
          <w:vertAlign w:val="subscript"/>
        </w:rPr>
        <w:t>CO</w:t>
      </w:r>
      <w:r>
        <w:rPr>
          <w:rFonts w:eastAsia="宋体"/>
          <w:color w:val="000000"/>
        </w:rPr>
        <w:t>=2330*q*C*Q</w:t>
      </w:r>
    </w:p>
    <w:p>
      <w:pPr>
        <w:snapToGrid w:val="0"/>
        <w:spacing w:line="500" w:lineRule="exact"/>
        <w:ind w:firstLine="480" w:firstLineChars="200"/>
        <w:rPr>
          <w:rFonts w:eastAsia="宋体"/>
          <w:color w:val="000000"/>
        </w:rPr>
      </w:pPr>
      <w:r>
        <w:rPr>
          <w:rFonts w:eastAsia="宋体"/>
          <w:color w:val="000000"/>
        </w:rPr>
        <w:t>式中</w:t>
      </w:r>
      <w:r>
        <w:rPr>
          <w:rFonts w:hint="eastAsia" w:eastAsia="宋体"/>
          <w:color w:val="000000"/>
        </w:rPr>
        <w:t>：</w:t>
      </w:r>
    </w:p>
    <w:p>
      <w:pPr>
        <w:snapToGrid w:val="0"/>
        <w:spacing w:line="500" w:lineRule="exact"/>
        <w:ind w:firstLine="480" w:firstLineChars="200"/>
        <w:rPr>
          <w:rFonts w:eastAsia="宋体"/>
          <w:color w:val="000000"/>
        </w:rPr>
      </w:pPr>
      <w:r>
        <w:rPr>
          <w:rFonts w:eastAsia="宋体"/>
          <w:color w:val="000000"/>
        </w:rPr>
        <w:t>G</w:t>
      </w:r>
      <w:r>
        <w:rPr>
          <w:rFonts w:eastAsia="宋体"/>
          <w:color w:val="000000"/>
          <w:vertAlign w:val="subscript"/>
        </w:rPr>
        <w:t>CO</w:t>
      </w:r>
      <w:r>
        <w:rPr>
          <w:rFonts w:eastAsia="宋体"/>
          <w:color w:val="000000"/>
        </w:rPr>
        <w:t>—CO的产生量，kg/s;</w:t>
      </w:r>
    </w:p>
    <w:p>
      <w:pPr>
        <w:snapToGrid w:val="0"/>
        <w:spacing w:line="500" w:lineRule="exact"/>
        <w:ind w:firstLine="480" w:firstLineChars="200"/>
        <w:rPr>
          <w:rFonts w:eastAsia="宋体"/>
          <w:color w:val="000000"/>
        </w:rPr>
      </w:pPr>
      <w:r>
        <w:rPr>
          <w:rFonts w:eastAsia="宋体"/>
          <w:color w:val="000000"/>
        </w:rPr>
        <w:t>C—燃料中碳的质量百分比含量(%)，在此取</w:t>
      </w:r>
      <w:r>
        <w:rPr>
          <w:rFonts w:hint="eastAsia" w:eastAsia="宋体"/>
          <w:color w:val="000000"/>
        </w:rPr>
        <w:t>80</w:t>
      </w:r>
      <w:r>
        <w:rPr>
          <w:rFonts w:eastAsia="宋体"/>
          <w:color w:val="000000"/>
        </w:rPr>
        <w:t>%；</w:t>
      </w:r>
    </w:p>
    <w:p>
      <w:pPr>
        <w:snapToGrid w:val="0"/>
        <w:spacing w:line="500" w:lineRule="exact"/>
        <w:ind w:firstLine="480" w:firstLineChars="200"/>
        <w:rPr>
          <w:rFonts w:eastAsia="宋体"/>
          <w:color w:val="000000"/>
        </w:rPr>
      </w:pPr>
      <w:r>
        <w:rPr>
          <w:rFonts w:eastAsia="宋体"/>
          <w:color w:val="000000"/>
        </w:rPr>
        <w:t>q—化学不完全燃烧值(%)</w:t>
      </w:r>
      <w:r>
        <w:rPr>
          <w:rFonts w:hint="eastAsia" w:eastAsia="宋体"/>
          <w:color w:val="000000"/>
        </w:rPr>
        <w:t>，取1.5%~6%，</w:t>
      </w:r>
      <w:r>
        <w:rPr>
          <w:rFonts w:eastAsia="宋体"/>
          <w:color w:val="000000"/>
        </w:rPr>
        <w:t>在此取</w:t>
      </w:r>
      <w:r>
        <w:rPr>
          <w:rFonts w:hint="eastAsia" w:eastAsia="宋体"/>
          <w:color w:val="000000"/>
        </w:rPr>
        <w:t>5</w:t>
      </w:r>
      <w:r>
        <w:rPr>
          <w:rFonts w:eastAsia="宋体"/>
          <w:color w:val="000000"/>
        </w:rPr>
        <w:t>%；</w:t>
      </w:r>
    </w:p>
    <w:p>
      <w:pPr>
        <w:snapToGrid w:val="0"/>
        <w:spacing w:line="500" w:lineRule="exact"/>
        <w:ind w:firstLine="480" w:firstLineChars="200"/>
        <w:rPr>
          <w:rFonts w:eastAsia="宋体"/>
          <w:color w:val="000000"/>
        </w:rPr>
      </w:pPr>
      <w:r>
        <w:rPr>
          <w:rFonts w:eastAsia="宋体"/>
          <w:color w:val="000000"/>
        </w:rPr>
        <w:t>Q—参与燃烧的物质量，t/s。</w:t>
      </w:r>
    </w:p>
    <w:p>
      <w:pPr>
        <w:snapToGrid w:val="0"/>
        <w:spacing w:line="500" w:lineRule="exact"/>
        <w:jc w:val="center"/>
        <w:rPr>
          <w:rFonts w:eastAsia="宋体"/>
          <w:color w:val="000000"/>
        </w:rPr>
      </w:pPr>
      <w:r>
        <w:rPr>
          <w:rFonts w:eastAsia="宋体"/>
          <w:b/>
          <w:bCs/>
          <w:color w:val="000000"/>
        </w:rPr>
        <w:t>表4</w:t>
      </w:r>
      <w:r>
        <w:rPr>
          <w:rFonts w:hint="eastAsia" w:eastAsia="宋体"/>
          <w:b/>
          <w:bCs/>
          <w:color w:val="000000"/>
        </w:rPr>
        <w:t>-3</w:t>
      </w:r>
      <w:r>
        <w:rPr>
          <w:rFonts w:eastAsia="宋体"/>
          <w:b/>
          <w:bCs/>
          <w:color w:val="000000"/>
        </w:rPr>
        <w:t xml:space="preserve"> 燃烧产生的CO产生量估算表</w:t>
      </w:r>
    </w:p>
    <w:tbl>
      <w:tblPr>
        <w:tblStyle w:val="38"/>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vAlign w:val="center"/>
          </w:tcPr>
          <w:p>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物质</w:t>
            </w:r>
          </w:p>
        </w:tc>
        <w:tc>
          <w:tcPr>
            <w:tcW w:w="810" w:type="dxa"/>
            <w:tcBorders>
              <w:tl2br w:val="nil"/>
              <w:tr2bl w:val="nil"/>
            </w:tcBorders>
            <w:vAlign w:val="center"/>
          </w:tcPr>
          <w:p>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C</w:t>
            </w:r>
          </w:p>
        </w:tc>
        <w:tc>
          <w:tcPr>
            <w:tcW w:w="878" w:type="dxa"/>
            <w:tcBorders>
              <w:tl2br w:val="nil"/>
              <w:tr2bl w:val="nil"/>
            </w:tcBorders>
            <w:vAlign w:val="center"/>
          </w:tcPr>
          <w:p>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q</w:t>
            </w:r>
          </w:p>
        </w:tc>
        <w:tc>
          <w:tcPr>
            <w:tcW w:w="1601" w:type="dxa"/>
            <w:tcBorders>
              <w:tl2br w:val="nil"/>
              <w:tr2bl w:val="nil"/>
            </w:tcBorders>
            <w:vAlign w:val="center"/>
          </w:tcPr>
          <w:p>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燃烧量</w:t>
            </w:r>
            <w:r>
              <w:rPr>
                <w:rFonts w:hint="eastAsia" w:eastAsia="宋体"/>
                <w:b/>
                <w:bCs/>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t</w:t>
            </w:r>
            <w:r>
              <w:rPr>
                <w:rFonts w:hint="eastAsia" w:eastAsia="宋体"/>
                <w:color w:val="000000" w:themeColor="text1"/>
                <w:sz w:val="21"/>
                <w:szCs w:val="21"/>
                <w14:textFill>
                  <w14:solidFill>
                    <w14:schemeClr w14:val="tx1"/>
                  </w14:solidFill>
                </w14:textFill>
              </w:rPr>
              <w:t>)</w:t>
            </w:r>
          </w:p>
        </w:tc>
        <w:tc>
          <w:tcPr>
            <w:tcW w:w="1704" w:type="dxa"/>
            <w:tcBorders>
              <w:tl2br w:val="nil"/>
              <w:tr2bl w:val="nil"/>
            </w:tcBorders>
            <w:vAlign w:val="center"/>
          </w:tcPr>
          <w:p>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燃烧时间</w:t>
            </w:r>
            <w:r>
              <w:rPr>
                <w:rFonts w:hint="eastAsia" w:eastAsia="宋体"/>
                <w:b/>
                <w:bCs/>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min</w:t>
            </w:r>
            <w:r>
              <w:rPr>
                <w:rFonts w:hint="eastAsia" w:eastAsia="宋体"/>
                <w:color w:val="000000" w:themeColor="text1"/>
                <w:sz w:val="21"/>
                <w:szCs w:val="21"/>
                <w14:textFill>
                  <w14:solidFill>
                    <w14:schemeClr w14:val="tx1"/>
                  </w14:solidFill>
                </w14:textFill>
              </w:rPr>
              <w:t>)</w:t>
            </w:r>
          </w:p>
        </w:tc>
        <w:tc>
          <w:tcPr>
            <w:tcW w:w="1187" w:type="dxa"/>
            <w:tcBorders>
              <w:tl2br w:val="nil"/>
              <w:tr2bl w:val="nil"/>
            </w:tcBorders>
            <w:vAlign w:val="center"/>
          </w:tcPr>
          <w:p>
            <w:pPr>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Q(</w:t>
            </w:r>
            <w:r>
              <w:rPr>
                <w:rFonts w:eastAsia="宋体"/>
                <w:color w:val="000000"/>
              </w:rPr>
              <w:t>t/s</w:t>
            </w:r>
            <w:r>
              <w:rPr>
                <w:rFonts w:hint="eastAsia" w:eastAsia="宋体"/>
                <w:color w:val="000000"/>
              </w:rPr>
              <w:t>)</w:t>
            </w:r>
          </w:p>
        </w:tc>
        <w:tc>
          <w:tcPr>
            <w:tcW w:w="1515" w:type="dxa"/>
            <w:tcBorders>
              <w:tl2br w:val="nil"/>
              <w:tr2bl w:val="nil"/>
            </w:tcBorders>
            <w:vAlign w:val="center"/>
          </w:tcPr>
          <w:p>
            <w:pPr>
              <w:jc w:val="center"/>
              <w:rPr>
                <w:rFonts w:eastAsia="宋体"/>
                <w:b/>
                <w:bCs/>
                <w:color w:val="000000" w:themeColor="text1"/>
                <w:sz w:val="21"/>
                <w:szCs w:val="21"/>
                <w14:textFill>
                  <w14:solidFill>
                    <w14:schemeClr w14:val="tx1"/>
                  </w14:solidFill>
                </w14:textFill>
              </w:rPr>
            </w:pPr>
            <w:r>
              <w:rPr>
                <w:rFonts w:eastAsia="宋体"/>
                <w:color w:val="000000" w:themeColor="text1"/>
                <w14:textFill>
                  <w14:solidFill>
                    <w14:schemeClr w14:val="tx1"/>
                  </w14:solidFill>
                </w14:textFill>
              </w:rPr>
              <w:t>G</w:t>
            </w:r>
            <w:r>
              <w:rPr>
                <w:rFonts w:eastAsia="宋体"/>
                <w:color w:val="000000" w:themeColor="text1"/>
                <w:vertAlign w:val="subscript"/>
                <w14:textFill>
                  <w14:solidFill>
                    <w14:schemeClr w14:val="tx1"/>
                  </w14:solidFill>
                </w14:textFill>
              </w:rPr>
              <w:t>CO</w:t>
            </w:r>
            <w:r>
              <w:rPr>
                <w:rFonts w:hint="eastAsia" w:eastAsia="宋体"/>
                <w:color w:val="000000" w:themeColor="text1"/>
                <w:vertAlign w:val="subscript"/>
                <w14:textFill>
                  <w14:solidFill>
                    <w14:schemeClr w14:val="tx1"/>
                  </w14:solidFill>
                </w14:textFill>
              </w:rPr>
              <w:t>(</w:t>
            </w:r>
            <w:r>
              <w:rPr>
                <w:rFonts w:eastAsia="宋体"/>
                <w:color w:val="000000"/>
              </w:rPr>
              <w:t>kg/s</w:t>
            </w:r>
            <w:r>
              <w:rPr>
                <w:rFonts w:hint="eastAsia" w:eastAsia="宋体"/>
                <w:color w:val="00000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固化剂、</w:t>
            </w:r>
            <w:r>
              <w:rPr>
                <w:rFonts w:hint="eastAsia" w:eastAsia="宋体"/>
                <w:color w:val="000000" w:themeColor="text1"/>
                <w:sz w:val="21"/>
                <w:szCs w:val="21"/>
                <w:lang w:val="en-US" w:eastAsia="zh-CN"/>
                <w14:textFill>
                  <w14:solidFill>
                    <w14:schemeClr w14:val="tx1"/>
                  </w14:solidFill>
                </w14:textFill>
              </w:rPr>
              <w:t>白乳胶</w:t>
            </w:r>
            <w:r>
              <w:rPr>
                <w:rFonts w:hint="eastAsia" w:eastAsia="宋体"/>
                <w:color w:val="000000" w:themeColor="text1"/>
                <w:sz w:val="21"/>
                <w:szCs w:val="21"/>
                <w14:textFill>
                  <w14:solidFill>
                    <w14:schemeClr w14:val="tx1"/>
                  </w14:solidFill>
                </w14:textFill>
              </w:rPr>
              <w:t>等</w:t>
            </w:r>
          </w:p>
        </w:tc>
        <w:tc>
          <w:tcPr>
            <w:tcW w:w="81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60</w:t>
            </w:r>
            <w:r>
              <w:rPr>
                <w:rFonts w:eastAsia="宋体"/>
                <w:color w:val="000000" w:themeColor="text1"/>
                <w:sz w:val="21"/>
                <w:szCs w:val="21"/>
                <w14:textFill>
                  <w14:solidFill>
                    <w14:schemeClr w14:val="tx1"/>
                  </w14:solidFill>
                </w14:textFill>
              </w:rPr>
              <w:t>%</w:t>
            </w:r>
          </w:p>
        </w:tc>
        <w:tc>
          <w:tcPr>
            <w:tcW w:w="878"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w:t>
            </w:r>
            <w:r>
              <w:rPr>
                <w:rFonts w:eastAsia="宋体"/>
                <w:color w:val="000000" w:themeColor="text1"/>
                <w:sz w:val="21"/>
                <w:szCs w:val="21"/>
                <w14:textFill>
                  <w14:solidFill>
                    <w14:schemeClr w14:val="tx1"/>
                  </w14:solidFill>
                </w14:textFill>
              </w:rPr>
              <w:t>%</w:t>
            </w:r>
          </w:p>
        </w:tc>
        <w:tc>
          <w:tcPr>
            <w:tcW w:w="1601"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 xml:space="preserve">8 </w:t>
            </w:r>
            <w:r>
              <w:rPr>
                <w:rFonts w:eastAsia="宋体"/>
                <w:color w:val="000000" w:themeColor="text1"/>
                <w:sz w:val="21"/>
                <w:szCs w:val="21"/>
                <w14:textFill>
                  <w14:solidFill>
                    <w14:schemeClr w14:val="tx1"/>
                  </w14:solidFill>
                </w14:textFill>
              </w:rPr>
              <w:t>t</w:t>
            </w:r>
          </w:p>
        </w:tc>
        <w:tc>
          <w:tcPr>
            <w:tcW w:w="1704"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w:t>
            </w:r>
            <w:r>
              <w:rPr>
                <w:rFonts w:eastAsia="宋体"/>
                <w:color w:val="000000" w:themeColor="text1"/>
                <w:sz w:val="21"/>
                <w:szCs w:val="21"/>
                <w14:textFill>
                  <w14:solidFill>
                    <w14:schemeClr w14:val="tx1"/>
                  </w14:solidFill>
                </w14:textFill>
              </w:rPr>
              <w:t>0min</w:t>
            </w:r>
          </w:p>
        </w:tc>
        <w:tc>
          <w:tcPr>
            <w:tcW w:w="1187"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0.0022</w:t>
            </w:r>
          </w:p>
        </w:tc>
        <w:tc>
          <w:tcPr>
            <w:tcW w:w="1515"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0.1538</w:t>
            </w:r>
          </w:p>
        </w:tc>
      </w:tr>
      <w:bookmarkEnd w:id="200"/>
    </w:tbl>
    <w:p>
      <w:pPr>
        <w:pageBreakBefore w:val="0"/>
        <w:kinsoku/>
        <w:wordWrap/>
        <w:overflowPunct/>
        <w:topLinePunct w:val="0"/>
        <w:bidi w:val="0"/>
        <w:snapToGrid w:val="0"/>
        <w:spacing w:line="500" w:lineRule="exact"/>
        <w:ind w:left="0" w:leftChars="0" w:firstLine="480" w:firstLineChars="200"/>
        <w:jc w:val="left"/>
        <w:textAlignment w:val="auto"/>
        <w:rPr>
          <w:rFonts w:hint="eastAsia" w:ascii="宋体" w:hAnsi="宋体" w:eastAsia="宋体" w:cs="宋体"/>
          <w:color w:val="000000" w:themeColor="text1"/>
          <w14:textFill>
            <w14:solidFill>
              <w14:schemeClr w14:val="tx1"/>
            </w14:solidFill>
          </w14:textFill>
        </w:rPr>
      </w:pPr>
      <w:bookmarkStart w:id="201" w:name="_Toc2865"/>
      <w:bookmarkStart w:id="202" w:name="_Toc28763"/>
      <w:bookmarkStart w:id="203" w:name="_Toc11264"/>
      <w:bookmarkStart w:id="204" w:name="_Toc18452"/>
      <w:r>
        <w:rPr>
          <w:rFonts w:hint="eastAsia" w:ascii="宋体" w:hAnsi="宋体" w:eastAsia="宋体" w:cs="宋体"/>
          <w:color w:val="000000" w:themeColor="text1"/>
          <w14:textFill>
            <w14:solidFill>
              <w14:schemeClr w14:val="tx1"/>
            </w14:solidFill>
          </w14:textFill>
        </w:rPr>
        <w:t>海绵本身是由氰化物和苯以及硫化物发泡生成的，不论是在生产还是还是后期销毁过程中都会存在高污染，特别是燃烧的海绵，会释放出氰化物等剧毒气体，对人体危害极大。</w:t>
      </w:r>
    </w:p>
    <w:p>
      <w:pPr>
        <w:pageBreakBefore w:val="0"/>
        <w:kinsoku/>
        <w:wordWrap/>
        <w:overflowPunct/>
        <w:topLinePunct w:val="0"/>
        <w:bidi w:val="0"/>
        <w:snapToGrid w:val="0"/>
        <w:spacing w:line="500" w:lineRule="exact"/>
        <w:ind w:left="0" w:leftChars="0" w:firstLine="482" w:firstLineChars="20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-4</w:t>
      </w:r>
      <w:r>
        <w:rPr>
          <w:rFonts w:hint="default"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lang w:val="en-US" w:eastAsia="zh-CN"/>
        </w:rPr>
        <w:t>海绵</w:t>
      </w:r>
      <w:r>
        <w:rPr>
          <w:rFonts w:hint="default" w:ascii="Times New Roman" w:hAnsi="Times New Roman" w:eastAsia="宋体" w:cs="Times New Roman"/>
          <w:b/>
          <w:bCs/>
          <w:color w:val="000000"/>
          <w:sz w:val="24"/>
          <w:szCs w:val="24"/>
        </w:rPr>
        <w:t>燃烧产生的</w:t>
      </w:r>
      <w:r>
        <w:rPr>
          <w:rFonts w:hint="eastAsia" w:ascii="Times New Roman" w:hAnsi="Times New Roman" w:eastAsia="宋体" w:cs="Times New Roman"/>
          <w:b/>
          <w:bCs/>
          <w:color w:val="000000"/>
          <w:sz w:val="24"/>
          <w:szCs w:val="24"/>
          <w:lang w:val="en-US" w:eastAsia="zh-CN"/>
        </w:rPr>
        <w:t>氰化物</w:t>
      </w:r>
      <w:r>
        <w:rPr>
          <w:rFonts w:hint="default" w:ascii="Times New Roman" w:hAnsi="Times New Roman" w:eastAsia="宋体" w:cs="Times New Roman"/>
          <w:b/>
          <w:bCs/>
          <w:color w:val="000000"/>
          <w:sz w:val="24"/>
          <w:szCs w:val="24"/>
        </w:rPr>
        <w:t>产生量估算表</w:t>
      </w:r>
    </w:p>
    <w:tbl>
      <w:tblPr>
        <w:tblStyle w:val="3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046"/>
        <w:gridCol w:w="2177"/>
        <w:gridCol w:w="3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43"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1107"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p>
        </w:tc>
        <w:tc>
          <w:tcPr>
            <w:tcW w:w="1178" w:type="pct"/>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p>
        </w:tc>
        <w:tc>
          <w:tcPr>
            <w:tcW w:w="1870"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氰化物产生量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3" w:type="pct"/>
            <w:tcBorders>
              <w:tl2br w:val="nil"/>
              <w:tr2bl w:val="nil"/>
            </w:tcBorders>
            <w:noWrap w:val="0"/>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火灾产生的</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氰化物</w:t>
            </w:r>
          </w:p>
        </w:tc>
        <w:tc>
          <w:tcPr>
            <w:tcW w:w="1107"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0.3</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178"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870"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89.6kg/h</w:t>
            </w:r>
          </w:p>
        </w:tc>
      </w:tr>
    </w:tbl>
    <w:p>
      <w:pPr>
        <w:pStyle w:val="2"/>
        <w:keepNext w:val="0"/>
        <w:keepLines w:val="0"/>
        <w:tabs>
          <w:tab w:val="left" w:pos="3491"/>
        </w:tabs>
        <w:adjustRightInd w:val="0"/>
        <w:snapToGrid w:val="0"/>
        <w:spacing w:line="500" w:lineRule="exact"/>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4.2.2事件情景</w:t>
      </w:r>
      <w:bookmarkEnd w:id="201"/>
      <w:r>
        <w:rPr>
          <w:rFonts w:hint="eastAsia" w:eastAsia="宋体"/>
          <w:color w:val="000000" w:themeColor="text1"/>
          <w14:textFill>
            <w14:solidFill>
              <w14:schemeClr w14:val="tx1"/>
            </w14:solidFill>
          </w14:textFill>
        </w:rPr>
        <w:t>3、6</w:t>
      </w:r>
      <w:bookmarkEnd w:id="202"/>
      <w:bookmarkEnd w:id="203"/>
      <w:bookmarkEnd w:id="204"/>
    </w:p>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公司可能发生的水质异常情况包括：①发生火灾事故，消防水因雨水阀门未及时关闭、或应急事故池引流措施失败导致的事故性排放；②因水循环一体机管道破损未及时补救等原因，导致生产循环水侵入雨水管道，误排厂外；③当固废堆场防雨设施不完善、遭到破坏时，淋沥固体废物的雨水径流可能进入河流，误排厂外。</w:t>
      </w:r>
    </w:p>
    <w:p>
      <w:pPr>
        <w:pStyle w:val="2"/>
        <w:tabs>
          <w:tab w:val="left" w:pos="3491"/>
        </w:tabs>
        <w:adjustRightInd w:val="0"/>
        <w:snapToGrid w:val="0"/>
        <w:spacing w:line="500" w:lineRule="exact"/>
        <w:jc w:val="left"/>
        <w:rPr>
          <w:rFonts w:eastAsia="宋体"/>
          <w:color w:val="000000" w:themeColor="text1"/>
          <w:highlight w:val="yellow"/>
          <w14:textFill>
            <w14:solidFill>
              <w14:schemeClr w14:val="tx1"/>
            </w14:solidFill>
          </w14:textFill>
        </w:rPr>
      </w:pPr>
      <w:bookmarkStart w:id="205" w:name="_Toc19215"/>
      <w:bookmarkStart w:id="206" w:name="_Toc17102"/>
      <w:bookmarkStart w:id="207" w:name="_Toc32065"/>
      <w:bookmarkStart w:id="208" w:name="_Toc4150"/>
      <w:r>
        <w:rPr>
          <w:rFonts w:eastAsia="宋体"/>
          <w:color w:val="000000" w:themeColor="text1"/>
          <w14:textFill>
            <w14:solidFill>
              <w14:schemeClr w14:val="tx1"/>
            </w14:solidFill>
          </w14:textFill>
        </w:rPr>
        <w:t>4.2.3事件情景</w:t>
      </w:r>
      <w:bookmarkEnd w:id="205"/>
      <w:r>
        <w:rPr>
          <w:rFonts w:hint="eastAsia" w:eastAsia="宋体"/>
          <w:color w:val="000000" w:themeColor="text1"/>
          <w14:textFill>
            <w14:solidFill>
              <w14:schemeClr w14:val="tx1"/>
            </w14:solidFill>
          </w14:textFill>
        </w:rPr>
        <w:t>4、5</w:t>
      </w:r>
      <w:bookmarkEnd w:id="206"/>
      <w:bookmarkEnd w:id="207"/>
      <w:bookmarkEnd w:id="208"/>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本项目产生的有组织废气主要为</w:t>
      </w:r>
      <w:r>
        <w:rPr>
          <w:rFonts w:hint="eastAsia" w:eastAsia="宋体"/>
          <w:color w:val="000000" w:themeColor="text1"/>
          <w:lang w:val="en-US" w:eastAsia="zh-CN"/>
          <w14:textFill>
            <w14:solidFill>
              <w14:schemeClr w14:val="tx1"/>
            </w14:solidFill>
          </w14:textFill>
        </w:rPr>
        <w:t>开料过程产生的木加工粉尘，</w:t>
      </w:r>
      <w:r>
        <w:rPr>
          <w:rFonts w:hint="eastAsia" w:eastAsia="宋体"/>
          <w:color w:val="000000" w:themeColor="text1"/>
          <w:lang w:val="zh-CN" w:eastAsia="zh-CN"/>
          <w14:textFill>
            <w14:solidFill>
              <w14:schemeClr w14:val="tx1"/>
            </w14:solidFill>
          </w14:textFill>
        </w:rPr>
        <w:t>打磨工序产生的打磨废气</w:t>
      </w:r>
      <w:r>
        <w:rPr>
          <w:rFonts w:hint="eastAsia" w:eastAsia="宋体"/>
          <w:color w:val="000000" w:themeColor="text1"/>
          <w:lang w:val="en-US" w:eastAsia="zh-CN"/>
          <w14:textFill>
            <w14:solidFill>
              <w14:schemeClr w14:val="tx1"/>
            </w14:solidFill>
          </w14:textFill>
        </w:rPr>
        <w:t>,</w:t>
      </w:r>
      <w:r>
        <w:rPr>
          <w:rFonts w:hint="eastAsia" w:eastAsia="宋体"/>
          <w:color w:val="000000" w:themeColor="text1"/>
          <w:lang w:val="zh-CN" w:eastAsia="zh-CN"/>
          <w14:textFill>
            <w14:solidFill>
              <w14:schemeClr w14:val="tx1"/>
            </w14:solidFill>
          </w14:textFill>
        </w:rPr>
        <w:t>底漆打磨工序产生的底漆打磨废气</w:t>
      </w:r>
      <w:r>
        <w:rPr>
          <w:rFonts w:hint="eastAsia" w:eastAsia="宋体"/>
          <w:color w:val="000000" w:themeColor="text1"/>
          <w:lang w:val="en-US" w:eastAsia="zh-CN"/>
          <w14:textFill>
            <w14:solidFill>
              <w14:schemeClr w14:val="tx1"/>
            </w14:solidFill>
          </w14:textFill>
        </w:rPr>
        <w:t>、</w:t>
      </w:r>
      <w:r>
        <w:rPr>
          <w:rFonts w:hint="eastAsia" w:eastAsia="宋体"/>
          <w:color w:val="000000" w:themeColor="text1"/>
          <w:lang w:val="zh-CN" w:eastAsia="zh-CN"/>
          <w14:textFill>
            <w14:solidFill>
              <w14:schemeClr w14:val="tx1"/>
            </w14:solidFill>
          </w14:textFill>
        </w:rPr>
        <w:t>调色、擦色工序产生的调色废气、擦色废气，调漆、喷漆、烘干工序产生的调漆废气、喷漆废气、烘干废气，流平工序产生的流平废气、喷胶工序产生的喷胶废气</w:t>
      </w:r>
      <w:r>
        <w:rPr>
          <w:rFonts w:hint="eastAsia" w:eastAsia="宋体"/>
          <w:color w:val="000000" w:themeColor="text1"/>
          <w:lang w:val="en-US" w:eastAsia="zh-CN"/>
          <w14:textFill>
            <w14:solidFill>
              <w14:schemeClr w14:val="tx1"/>
            </w14:solidFill>
          </w14:textFill>
        </w:rPr>
        <w:t>。</w:t>
      </w:r>
    </w:p>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根据公司</w:t>
      </w:r>
      <w:r>
        <w:rPr>
          <w:rFonts w:hint="eastAsia" w:eastAsia="宋体"/>
          <w:bCs/>
          <w:color w:val="000000" w:themeColor="text1"/>
          <w14:textFill>
            <w14:solidFill>
              <w14:schemeClr w14:val="tx1"/>
            </w14:solidFill>
          </w14:textFill>
        </w:rPr>
        <w:t>检测</w:t>
      </w:r>
      <w:r>
        <w:rPr>
          <w:rFonts w:hint="eastAsia" w:ascii="宋体" w:hAnsi="宋体" w:eastAsia="宋体" w:cs="宋体"/>
          <w:bCs/>
          <w:color w:val="000000" w:themeColor="text1"/>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，废气的产生情况见表</w:t>
      </w:r>
      <w:r>
        <w:rPr>
          <w:rFonts w:hint="eastAsia" w:eastAsia="宋体"/>
          <w:color w:val="000000" w:themeColor="text1"/>
          <w14:textFill>
            <w14:solidFill>
              <w14:schemeClr w14:val="tx1"/>
            </w14:solidFill>
          </w14:textFill>
        </w:rPr>
        <w:t>4-</w:t>
      </w:r>
      <w:r>
        <w:rPr>
          <w:rFonts w:hint="eastAsia" w:eastAsia="宋体"/>
          <w:color w:val="000000" w:themeColor="text1"/>
          <w:lang w:val="en-US" w:eastAsia="zh-CN"/>
          <w14:textFill>
            <w14:solidFill>
              <w14:schemeClr w14:val="tx1"/>
            </w14:solidFill>
          </w14:textFill>
        </w:rPr>
        <w:t>5</w:t>
      </w:r>
      <w:r>
        <w:rPr>
          <w:rFonts w:hint="eastAsia" w:eastAsia="宋体"/>
          <w:color w:val="000000" w:themeColor="text1"/>
          <w14:textFill>
            <w14:solidFill>
              <w14:schemeClr w14:val="tx1"/>
            </w14:solidFill>
          </w14:textFill>
        </w:rPr>
        <w:t>。</w:t>
      </w:r>
    </w:p>
    <w:p>
      <w:pPr>
        <w:adjustRightInd w:val="0"/>
        <w:snapToGrid w:val="0"/>
        <w:spacing w:line="500" w:lineRule="exact"/>
        <w:ind w:firstLine="482" w:firstLineChars="200"/>
        <w:jc w:val="center"/>
        <w:rPr>
          <w:rFonts w:eastAsia="宋体"/>
          <w:b/>
          <w:bCs/>
        </w:rPr>
      </w:pPr>
      <w:r>
        <w:rPr>
          <w:rFonts w:eastAsia="宋体"/>
          <w:b/>
          <w:bCs/>
        </w:rPr>
        <w:t>表</w:t>
      </w:r>
      <w:r>
        <w:rPr>
          <w:rFonts w:hint="eastAsia" w:eastAsia="宋体"/>
          <w:b/>
          <w:bCs/>
        </w:rPr>
        <w:t>4-</w:t>
      </w:r>
      <w:r>
        <w:rPr>
          <w:rFonts w:hint="eastAsia" w:eastAsia="宋体"/>
          <w:b/>
          <w:bCs/>
          <w:lang w:val="en-US" w:eastAsia="zh-CN"/>
        </w:rPr>
        <w:t>5</w:t>
      </w:r>
      <w:r>
        <w:rPr>
          <w:rFonts w:hint="eastAsia" w:eastAsia="宋体"/>
          <w:b/>
          <w:bCs/>
        </w:rPr>
        <w:t xml:space="preserve"> 废气产生情况一览表</w:t>
      </w:r>
    </w:p>
    <w:tbl>
      <w:tblPr>
        <w:tblStyle w:val="3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4"/>
        <w:gridCol w:w="1924"/>
        <w:gridCol w:w="1541"/>
        <w:gridCol w:w="1504"/>
        <w:gridCol w:w="1364"/>
        <w:gridCol w:w="13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25" w:type="pct"/>
            <w:vMerge w:val="restar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排放源</w:t>
            </w:r>
          </w:p>
        </w:tc>
        <w:tc>
          <w:tcPr>
            <w:tcW w:w="1041" w:type="pct"/>
            <w:vMerge w:val="restar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废气量</w:t>
            </w:r>
          </w:p>
          <w:p>
            <w:pPr>
              <w:adjustRightInd w:val="0"/>
              <w:snapToGrid w:val="0"/>
              <w:jc w:val="center"/>
              <w:rPr>
                <w:rFonts w:eastAsia="宋体"/>
                <w:color w:val="000000"/>
                <w:kern w:val="0"/>
                <w:sz w:val="21"/>
                <w:szCs w:val="21"/>
              </w:rPr>
            </w:pPr>
            <w:r>
              <w:rPr>
                <w:rFonts w:eastAsia="宋体"/>
                <w:color w:val="000000"/>
                <w:kern w:val="0"/>
                <w:sz w:val="21"/>
                <w:szCs w:val="21"/>
              </w:rPr>
              <w:t>m</w:t>
            </w:r>
            <w:r>
              <w:rPr>
                <w:rFonts w:eastAsia="宋体"/>
                <w:color w:val="000000"/>
                <w:kern w:val="0"/>
                <w:sz w:val="21"/>
                <w:szCs w:val="21"/>
                <w:vertAlign w:val="superscript"/>
              </w:rPr>
              <w:t>3</w:t>
            </w:r>
            <w:r>
              <w:rPr>
                <w:rFonts w:eastAsia="宋体"/>
                <w:color w:val="000000"/>
                <w:kern w:val="0"/>
                <w:sz w:val="21"/>
                <w:szCs w:val="21"/>
              </w:rPr>
              <w:t>/h</w:t>
            </w:r>
          </w:p>
        </w:tc>
        <w:tc>
          <w:tcPr>
            <w:tcW w:w="834" w:type="pct"/>
            <w:vMerge w:val="restar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污染物</w:t>
            </w:r>
          </w:p>
          <w:p>
            <w:pPr>
              <w:adjustRightInd w:val="0"/>
              <w:snapToGrid w:val="0"/>
              <w:jc w:val="center"/>
              <w:rPr>
                <w:rFonts w:eastAsia="宋体"/>
                <w:color w:val="000000"/>
                <w:kern w:val="0"/>
                <w:sz w:val="21"/>
                <w:szCs w:val="21"/>
              </w:rPr>
            </w:pPr>
            <w:r>
              <w:rPr>
                <w:rFonts w:eastAsia="宋体"/>
                <w:color w:val="000000"/>
                <w:kern w:val="0"/>
                <w:sz w:val="21"/>
                <w:szCs w:val="21"/>
              </w:rPr>
              <w:t>名称</w:t>
            </w:r>
          </w:p>
        </w:tc>
        <w:tc>
          <w:tcPr>
            <w:tcW w:w="2298" w:type="pct"/>
            <w:gridSpan w:val="3"/>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auto"/>
            <w:vAlign w:val="center"/>
          </w:tcPr>
          <w:p>
            <w:pPr>
              <w:adjustRightInd w:val="0"/>
              <w:snapToGrid w:val="0"/>
              <w:jc w:val="center"/>
              <w:rPr>
                <w:rFonts w:eastAsia="宋体"/>
                <w:color w:val="000000"/>
                <w:kern w:val="0"/>
                <w:sz w:val="21"/>
                <w:szCs w:val="21"/>
              </w:rPr>
            </w:pPr>
          </w:p>
        </w:tc>
        <w:tc>
          <w:tcPr>
            <w:tcW w:w="1041" w:type="pct"/>
            <w:vMerge w:val="continue"/>
            <w:shd w:val="clear" w:color="auto" w:fill="auto"/>
            <w:vAlign w:val="center"/>
          </w:tcPr>
          <w:p>
            <w:pPr>
              <w:adjustRightInd w:val="0"/>
              <w:snapToGrid w:val="0"/>
              <w:jc w:val="center"/>
              <w:rPr>
                <w:rFonts w:eastAsia="宋体"/>
                <w:color w:val="000000"/>
                <w:kern w:val="0"/>
                <w:sz w:val="21"/>
                <w:szCs w:val="21"/>
              </w:rPr>
            </w:pPr>
          </w:p>
        </w:tc>
        <w:tc>
          <w:tcPr>
            <w:tcW w:w="834" w:type="pct"/>
            <w:vMerge w:val="continue"/>
            <w:shd w:val="clear" w:color="auto" w:fill="auto"/>
            <w:vAlign w:val="center"/>
          </w:tcPr>
          <w:p>
            <w:pPr>
              <w:adjustRightInd w:val="0"/>
              <w:snapToGrid w:val="0"/>
              <w:jc w:val="center"/>
              <w:rPr>
                <w:rFonts w:eastAsia="宋体"/>
                <w:color w:val="000000"/>
                <w:kern w:val="0"/>
                <w:sz w:val="21"/>
                <w:szCs w:val="21"/>
              </w:rPr>
            </w:pPr>
          </w:p>
        </w:tc>
        <w:tc>
          <w:tcPr>
            <w:tcW w:w="814" w:type="pc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浓度</w:t>
            </w:r>
          </w:p>
        </w:tc>
        <w:tc>
          <w:tcPr>
            <w:tcW w:w="738" w:type="pc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速率</w:t>
            </w:r>
          </w:p>
        </w:tc>
        <w:tc>
          <w:tcPr>
            <w:tcW w:w="746" w:type="pc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auto"/>
            <w:vAlign w:val="center"/>
          </w:tcPr>
          <w:p>
            <w:pPr>
              <w:adjustRightInd w:val="0"/>
              <w:snapToGrid w:val="0"/>
              <w:jc w:val="center"/>
              <w:rPr>
                <w:rFonts w:eastAsia="宋体"/>
                <w:color w:val="000000"/>
                <w:kern w:val="0"/>
                <w:sz w:val="21"/>
                <w:szCs w:val="21"/>
              </w:rPr>
            </w:pPr>
          </w:p>
        </w:tc>
        <w:tc>
          <w:tcPr>
            <w:tcW w:w="1041" w:type="pct"/>
            <w:vMerge w:val="continue"/>
            <w:shd w:val="clear" w:color="auto" w:fill="auto"/>
            <w:vAlign w:val="center"/>
          </w:tcPr>
          <w:p>
            <w:pPr>
              <w:adjustRightInd w:val="0"/>
              <w:snapToGrid w:val="0"/>
              <w:jc w:val="center"/>
              <w:rPr>
                <w:rFonts w:eastAsia="宋体"/>
                <w:color w:val="000000"/>
                <w:kern w:val="0"/>
                <w:sz w:val="21"/>
                <w:szCs w:val="21"/>
              </w:rPr>
            </w:pPr>
          </w:p>
        </w:tc>
        <w:tc>
          <w:tcPr>
            <w:tcW w:w="834" w:type="pct"/>
            <w:vMerge w:val="continue"/>
            <w:shd w:val="clear" w:color="auto" w:fill="auto"/>
            <w:vAlign w:val="center"/>
          </w:tcPr>
          <w:p>
            <w:pPr>
              <w:adjustRightInd w:val="0"/>
              <w:snapToGrid w:val="0"/>
              <w:jc w:val="center"/>
              <w:rPr>
                <w:rFonts w:eastAsia="宋体"/>
                <w:color w:val="000000"/>
                <w:kern w:val="0"/>
                <w:sz w:val="21"/>
                <w:szCs w:val="21"/>
              </w:rPr>
            </w:pPr>
          </w:p>
        </w:tc>
        <w:tc>
          <w:tcPr>
            <w:tcW w:w="814" w:type="pc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mg/m</w:t>
            </w:r>
            <w:r>
              <w:rPr>
                <w:rFonts w:eastAsia="宋体"/>
                <w:color w:val="000000"/>
                <w:kern w:val="0"/>
                <w:sz w:val="21"/>
                <w:szCs w:val="21"/>
                <w:vertAlign w:val="superscript"/>
              </w:rPr>
              <w:t>3</w:t>
            </w:r>
          </w:p>
        </w:tc>
        <w:tc>
          <w:tcPr>
            <w:tcW w:w="738" w:type="pc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kg/h</w:t>
            </w:r>
          </w:p>
        </w:tc>
        <w:tc>
          <w:tcPr>
            <w:tcW w:w="746" w:type="pc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shd w:val="clear" w:color="auto" w:fill="FFFFFF"/>
            <w:vAlign w:val="center"/>
          </w:tcPr>
          <w:p>
            <w:pPr>
              <w:pStyle w:val="142"/>
              <w:rPr>
                <w:rFonts w:ascii="Times New Roman" w:hAnsi="Times New Roman" w:cs="Times New Roman"/>
                <w:sz w:val="21"/>
                <w:szCs w:val="21"/>
              </w:rPr>
            </w:pPr>
            <w:r>
              <w:rPr>
                <w:rFonts w:hint="eastAsia" w:ascii="Times New Roman" w:hAnsi="Times New Roman" w:cs="Times New Roman"/>
                <w:sz w:val="21"/>
                <w:szCs w:val="21"/>
              </w:rPr>
              <w:t>1#排气筒</w:t>
            </w:r>
          </w:p>
        </w:tc>
        <w:tc>
          <w:tcPr>
            <w:tcW w:w="1041" w:type="pct"/>
            <w:shd w:val="clear" w:color="auto" w:fill="FFFFFF"/>
            <w:vAlign w:val="center"/>
          </w:tcPr>
          <w:p>
            <w:pPr>
              <w:pStyle w:val="142"/>
              <w:rPr>
                <w:rFonts w:ascii="Times New Roman" w:hAnsi="Times New Roman" w:cs="Times New Roman"/>
                <w:sz w:val="21"/>
                <w:szCs w:val="21"/>
              </w:rPr>
            </w:pPr>
            <w:r>
              <w:rPr>
                <w:rFonts w:hint="eastAsia" w:ascii="Times New Roman" w:hAnsi="Times New Roman" w:cs="Times New Roman"/>
                <w:sz w:val="21"/>
                <w:szCs w:val="21"/>
                <w:lang w:val="en-US" w:eastAsia="zh-CN"/>
              </w:rPr>
              <w:t>15000</w:t>
            </w:r>
          </w:p>
        </w:tc>
        <w:tc>
          <w:tcPr>
            <w:tcW w:w="834" w:type="pct"/>
            <w:shd w:val="clear" w:color="auto" w:fill="FFFFFF"/>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814"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24.00</w:t>
            </w:r>
          </w:p>
        </w:tc>
        <w:tc>
          <w:tcPr>
            <w:tcW w:w="738"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0.360</w:t>
            </w:r>
          </w:p>
        </w:tc>
        <w:tc>
          <w:tcPr>
            <w:tcW w:w="746"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0.864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shd w:val="clear" w:color="auto" w:fill="FFFFFF"/>
            <w:vAlign w:val="center"/>
          </w:tcPr>
          <w:p>
            <w:pPr>
              <w:pStyle w:val="142"/>
              <w:rPr>
                <w:rFonts w:ascii="Times New Roman" w:hAnsi="Times New Roman" w:cs="Times New Roman"/>
                <w:sz w:val="21"/>
                <w:szCs w:val="21"/>
              </w:rPr>
            </w:pPr>
            <w:r>
              <w:rPr>
                <w:rFonts w:hint="eastAsia" w:ascii="Times New Roman" w:hAnsi="Times New Roman" w:cs="Times New Roman"/>
                <w:sz w:val="21"/>
                <w:szCs w:val="21"/>
              </w:rPr>
              <w:t>2#排气筒</w:t>
            </w:r>
          </w:p>
        </w:tc>
        <w:tc>
          <w:tcPr>
            <w:tcW w:w="1041" w:type="pct"/>
            <w:shd w:val="clear" w:color="auto" w:fill="FFFFFF"/>
            <w:vAlign w:val="center"/>
          </w:tcPr>
          <w:p>
            <w:pPr>
              <w:pStyle w:val="142"/>
              <w:rPr>
                <w:rFonts w:ascii="Times New Roman" w:hAnsi="Times New Roman" w:cs="Times New Roman"/>
                <w:sz w:val="21"/>
                <w:szCs w:val="21"/>
              </w:rPr>
            </w:pPr>
            <w:r>
              <w:rPr>
                <w:rFonts w:hint="eastAsia" w:ascii="Times New Roman" w:hAnsi="Times New Roman" w:cs="Times New Roman"/>
                <w:sz w:val="21"/>
                <w:szCs w:val="21"/>
                <w:lang w:val="en-US" w:eastAsia="zh-CN"/>
              </w:rPr>
              <w:t>25000</w:t>
            </w:r>
          </w:p>
        </w:tc>
        <w:tc>
          <w:tcPr>
            <w:tcW w:w="834" w:type="pct"/>
            <w:shd w:val="clear" w:color="auto" w:fill="FFFFFF"/>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814"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21.60</w:t>
            </w:r>
          </w:p>
        </w:tc>
        <w:tc>
          <w:tcPr>
            <w:tcW w:w="738"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0.540</w:t>
            </w:r>
          </w:p>
        </w:tc>
        <w:tc>
          <w:tcPr>
            <w:tcW w:w="746"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1.296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shd w:val="clear" w:color="auto" w:fill="FFFFFF"/>
            <w:vAlign w:val="center"/>
          </w:tcPr>
          <w:p>
            <w:pPr>
              <w:pStyle w:val="142"/>
              <w:rPr>
                <w:rFonts w:ascii="Times New Roman" w:hAnsi="Times New Roman" w:cs="Times New Roman"/>
                <w:sz w:val="21"/>
                <w:szCs w:val="21"/>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#排气筒</w:t>
            </w:r>
          </w:p>
        </w:tc>
        <w:tc>
          <w:tcPr>
            <w:tcW w:w="1041" w:type="pct"/>
            <w:shd w:val="clear" w:color="auto" w:fill="FFFFFF"/>
            <w:vAlign w:val="center"/>
          </w:tcPr>
          <w:p>
            <w:pPr>
              <w:pStyle w:val="142"/>
              <w:rPr>
                <w:rFonts w:ascii="Times New Roman" w:hAnsi="Times New Roman" w:cs="Times New Roman"/>
                <w:sz w:val="21"/>
                <w:szCs w:val="21"/>
              </w:rPr>
            </w:pPr>
            <w:r>
              <w:rPr>
                <w:rFonts w:hint="eastAsia" w:ascii="Times New Roman" w:hAnsi="Times New Roman" w:cs="Times New Roman"/>
                <w:sz w:val="21"/>
                <w:szCs w:val="21"/>
                <w:lang w:val="en-US" w:eastAsia="zh-CN"/>
              </w:rPr>
              <w:t>35000</w:t>
            </w:r>
          </w:p>
        </w:tc>
        <w:tc>
          <w:tcPr>
            <w:tcW w:w="834" w:type="pct"/>
            <w:shd w:val="clear" w:color="auto" w:fill="FFFFFF"/>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814"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12.60</w:t>
            </w:r>
          </w:p>
        </w:tc>
        <w:tc>
          <w:tcPr>
            <w:tcW w:w="738"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0.441</w:t>
            </w:r>
          </w:p>
        </w:tc>
        <w:tc>
          <w:tcPr>
            <w:tcW w:w="746" w:type="pct"/>
            <w:shd w:val="clear" w:color="auto" w:fill="auto"/>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1.058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shd w:val="clear" w:color="auto" w:fill="FFFFFF"/>
            <w:vAlign w:val="center"/>
          </w:tcPr>
          <w:p>
            <w:pPr>
              <w:pStyle w:val="142"/>
              <w:rPr>
                <w:rFonts w:ascii="Times New Roman" w:hAnsi="Times New Roman" w:cs="Times New Roman"/>
                <w:sz w:val="21"/>
                <w:szCs w:val="21"/>
              </w:rPr>
            </w:pPr>
            <w:r>
              <w:rPr>
                <w:rFonts w:hint="eastAsia" w:ascii="Times New Roman" w:hAnsi="Times New Roman" w:cs="Times New Roman"/>
                <w:color w:val="000000"/>
                <w:sz w:val="21"/>
                <w:szCs w:val="21"/>
                <w:lang w:val="en-US" w:eastAsia="zh-CN"/>
              </w:rPr>
              <w:t>4</w:t>
            </w:r>
            <w:r>
              <w:rPr>
                <w:rFonts w:hint="eastAsia" w:ascii="Times New Roman" w:hAnsi="Times New Roman" w:cs="Times New Roman"/>
                <w:color w:val="000000"/>
                <w:sz w:val="21"/>
                <w:szCs w:val="21"/>
              </w:rPr>
              <w:t>#排气筒</w:t>
            </w:r>
          </w:p>
        </w:tc>
        <w:tc>
          <w:tcPr>
            <w:tcW w:w="1041" w:type="pct"/>
            <w:shd w:val="clear" w:color="auto" w:fill="FFFFFF"/>
            <w:vAlign w:val="center"/>
          </w:tcPr>
          <w:p>
            <w:pPr>
              <w:pStyle w:val="142"/>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35000</w:t>
            </w:r>
          </w:p>
        </w:tc>
        <w:tc>
          <w:tcPr>
            <w:tcW w:w="834" w:type="pct"/>
            <w:shd w:val="clear" w:color="auto" w:fill="FFFFFF"/>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814"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2.13</w:t>
            </w:r>
          </w:p>
        </w:tc>
        <w:tc>
          <w:tcPr>
            <w:tcW w:w="738"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0.075</w:t>
            </w:r>
          </w:p>
        </w:tc>
        <w:tc>
          <w:tcPr>
            <w:tcW w:w="746" w:type="pct"/>
            <w:shd w:val="clear" w:color="auto" w:fill="auto"/>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0.1792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shd w:val="clear" w:color="auto" w:fill="FFFFFF"/>
            <w:vAlign w:val="center"/>
          </w:tcPr>
          <w:p>
            <w:pPr>
              <w:pStyle w:val="142"/>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5</w:t>
            </w:r>
            <w:r>
              <w:rPr>
                <w:rFonts w:hint="eastAsia" w:ascii="Times New Roman" w:hAnsi="Times New Roman" w:cs="Times New Roman"/>
                <w:color w:val="000000"/>
                <w:sz w:val="21"/>
                <w:szCs w:val="21"/>
              </w:rPr>
              <w:t>#排气筒</w:t>
            </w:r>
          </w:p>
        </w:tc>
        <w:tc>
          <w:tcPr>
            <w:tcW w:w="1041" w:type="pct"/>
            <w:shd w:val="clear" w:color="auto" w:fill="FFFFFF"/>
            <w:vAlign w:val="center"/>
          </w:tcPr>
          <w:p>
            <w:pPr>
              <w:adjustRightInd w:val="0"/>
              <w:snapToGrid w:val="0"/>
              <w:jc w:val="center"/>
              <w:rPr>
                <w:rFonts w:eastAsia="宋体"/>
                <w:color w:val="000000"/>
                <w:sz w:val="21"/>
                <w:szCs w:val="21"/>
              </w:rPr>
            </w:pPr>
            <w:r>
              <w:rPr>
                <w:rFonts w:hint="eastAsia" w:eastAsia="宋体"/>
                <w:color w:val="000000"/>
                <w:sz w:val="21"/>
                <w:szCs w:val="21"/>
                <w:lang w:val="en-US" w:eastAsia="zh-CN"/>
              </w:rPr>
              <w:t>35000</w:t>
            </w:r>
          </w:p>
        </w:tc>
        <w:tc>
          <w:tcPr>
            <w:tcW w:w="834" w:type="pct"/>
            <w:shd w:val="clear" w:color="auto" w:fill="FFFFFF"/>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814"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2.11</w:t>
            </w:r>
          </w:p>
        </w:tc>
        <w:tc>
          <w:tcPr>
            <w:tcW w:w="738"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0.074</w:t>
            </w:r>
          </w:p>
        </w:tc>
        <w:tc>
          <w:tcPr>
            <w:tcW w:w="746"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0.1775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restart"/>
            <w:shd w:val="clear" w:color="auto" w:fill="FFFFFF"/>
            <w:vAlign w:val="center"/>
          </w:tcPr>
          <w:p>
            <w:pPr>
              <w:pStyle w:val="142"/>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6</w:t>
            </w:r>
            <w:r>
              <w:rPr>
                <w:rFonts w:hint="eastAsia" w:ascii="Times New Roman" w:hAnsi="Times New Roman" w:cs="Times New Roman"/>
                <w:color w:val="000000"/>
                <w:sz w:val="21"/>
                <w:szCs w:val="21"/>
              </w:rPr>
              <w:t>#排气筒</w:t>
            </w:r>
          </w:p>
        </w:tc>
        <w:tc>
          <w:tcPr>
            <w:tcW w:w="1041" w:type="pct"/>
            <w:vMerge w:val="restart"/>
            <w:shd w:val="clear" w:color="auto" w:fill="FFFFFF"/>
            <w:vAlign w:val="center"/>
          </w:tcPr>
          <w:p>
            <w:pPr>
              <w:adjustRightInd w:val="0"/>
              <w:snapToGrid w:val="0"/>
              <w:jc w:val="center"/>
              <w:rPr>
                <w:rFonts w:hint="default" w:eastAsia="宋体"/>
                <w:color w:val="000000"/>
                <w:sz w:val="21"/>
                <w:szCs w:val="21"/>
                <w:lang w:val="en-US" w:eastAsia="zh-CN"/>
              </w:rPr>
            </w:pPr>
            <w:r>
              <w:rPr>
                <w:rFonts w:hint="eastAsia" w:eastAsia="宋体"/>
                <w:color w:val="000000"/>
                <w:sz w:val="21"/>
                <w:szCs w:val="21"/>
                <w:lang w:val="en-US" w:eastAsia="zh-CN"/>
              </w:rPr>
              <w:t>92000</w:t>
            </w:r>
          </w:p>
        </w:tc>
        <w:tc>
          <w:tcPr>
            <w:tcW w:w="834" w:type="pct"/>
            <w:shd w:val="clear" w:color="auto" w:fill="FFFFFF"/>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814"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19.64</w:t>
            </w:r>
          </w:p>
        </w:tc>
        <w:tc>
          <w:tcPr>
            <w:tcW w:w="738"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1.807</w:t>
            </w:r>
          </w:p>
        </w:tc>
        <w:tc>
          <w:tcPr>
            <w:tcW w:w="746"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1.381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FFFFFF"/>
            <w:vAlign w:val="center"/>
          </w:tcPr>
          <w:p>
            <w:pPr>
              <w:pStyle w:val="142"/>
              <w:adjustRightInd w:val="0"/>
              <w:snapToGrid w:val="0"/>
              <w:rPr>
                <w:rFonts w:hint="default" w:ascii="Times New Roman" w:hAnsi="Times New Roman" w:cs="Times New Roman"/>
                <w:color w:val="000000"/>
                <w:sz w:val="21"/>
                <w:szCs w:val="21"/>
                <w:lang w:val="en-US" w:eastAsia="zh-CN"/>
              </w:rPr>
            </w:pPr>
          </w:p>
        </w:tc>
        <w:tc>
          <w:tcPr>
            <w:tcW w:w="1041" w:type="pct"/>
            <w:vMerge w:val="continue"/>
            <w:shd w:val="clear" w:color="auto" w:fill="FFFFFF"/>
            <w:vAlign w:val="center"/>
          </w:tcPr>
          <w:p>
            <w:pPr>
              <w:adjustRightInd w:val="0"/>
              <w:snapToGrid w:val="0"/>
              <w:jc w:val="center"/>
              <w:rPr>
                <w:rFonts w:hint="eastAsia" w:eastAsia="宋体"/>
                <w:color w:val="000000"/>
                <w:sz w:val="21"/>
                <w:szCs w:val="21"/>
                <w:lang w:val="en-US" w:eastAsia="zh-CN"/>
              </w:rPr>
            </w:pPr>
          </w:p>
        </w:tc>
        <w:tc>
          <w:tcPr>
            <w:tcW w:w="834"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814" w:type="pct"/>
            <w:shd w:val="clear" w:color="auto" w:fill="auto"/>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11.18</w:t>
            </w:r>
          </w:p>
        </w:tc>
        <w:tc>
          <w:tcPr>
            <w:tcW w:w="738" w:type="pct"/>
            <w:shd w:val="clear" w:color="auto" w:fill="auto"/>
            <w:vAlign w:val="center"/>
          </w:tcPr>
          <w:p>
            <w:pPr>
              <w:pStyle w:val="142"/>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1.029</w:t>
            </w:r>
          </w:p>
        </w:tc>
        <w:tc>
          <w:tcPr>
            <w:tcW w:w="746" w:type="pct"/>
            <w:shd w:val="clear" w:color="auto" w:fill="auto"/>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0.7601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restart"/>
            <w:shd w:val="clear" w:color="auto" w:fill="FFFFFF"/>
            <w:vAlign w:val="center"/>
          </w:tcPr>
          <w:p>
            <w:pPr>
              <w:pStyle w:val="142"/>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7</w:t>
            </w:r>
            <w:r>
              <w:rPr>
                <w:rFonts w:hint="eastAsia" w:ascii="Times New Roman" w:hAnsi="Times New Roman" w:cs="Times New Roman"/>
                <w:color w:val="000000"/>
                <w:sz w:val="21"/>
                <w:szCs w:val="21"/>
              </w:rPr>
              <w:t>#排气筒</w:t>
            </w:r>
          </w:p>
        </w:tc>
        <w:tc>
          <w:tcPr>
            <w:tcW w:w="1041" w:type="pct"/>
            <w:vMerge w:val="restart"/>
            <w:shd w:val="clear" w:color="auto" w:fill="FFFFFF"/>
            <w:vAlign w:val="center"/>
          </w:tcPr>
          <w:p>
            <w:pPr>
              <w:adjustRightInd w:val="0"/>
              <w:snapToGrid w:val="0"/>
              <w:jc w:val="center"/>
              <w:rPr>
                <w:rFonts w:eastAsia="宋体"/>
                <w:color w:val="000000"/>
                <w:sz w:val="21"/>
                <w:szCs w:val="21"/>
              </w:rPr>
            </w:pPr>
            <w:r>
              <w:rPr>
                <w:rFonts w:hint="eastAsia" w:eastAsia="宋体"/>
                <w:color w:val="000000"/>
                <w:sz w:val="21"/>
                <w:szCs w:val="21"/>
                <w:lang w:val="en-US" w:eastAsia="zh-CN"/>
              </w:rPr>
              <w:t>80000</w:t>
            </w:r>
          </w:p>
        </w:tc>
        <w:tc>
          <w:tcPr>
            <w:tcW w:w="834" w:type="pct"/>
            <w:shd w:val="clear" w:color="auto" w:fill="FFFFFF"/>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814"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22.36</w:t>
            </w:r>
          </w:p>
        </w:tc>
        <w:tc>
          <w:tcPr>
            <w:tcW w:w="738"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1.789</w:t>
            </w:r>
          </w:p>
        </w:tc>
        <w:tc>
          <w:tcPr>
            <w:tcW w:w="746"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1.1271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FFFFFF"/>
            <w:vAlign w:val="center"/>
          </w:tcPr>
          <w:p>
            <w:pPr>
              <w:pStyle w:val="142"/>
              <w:adjustRightInd w:val="0"/>
              <w:snapToGrid w:val="0"/>
              <w:rPr>
                <w:rFonts w:ascii="Times New Roman" w:hAnsi="Times New Roman" w:cs="Times New Roman"/>
                <w:color w:val="000000"/>
                <w:sz w:val="21"/>
                <w:szCs w:val="21"/>
              </w:rPr>
            </w:pPr>
          </w:p>
        </w:tc>
        <w:tc>
          <w:tcPr>
            <w:tcW w:w="1041" w:type="pct"/>
            <w:vMerge w:val="continue"/>
            <w:shd w:val="clear" w:color="auto" w:fill="FFFFFF"/>
            <w:vAlign w:val="center"/>
          </w:tcPr>
          <w:p>
            <w:pPr>
              <w:adjustRightInd w:val="0"/>
              <w:snapToGrid w:val="0"/>
              <w:jc w:val="center"/>
              <w:rPr>
                <w:rFonts w:eastAsia="宋体"/>
                <w:color w:val="000000"/>
                <w:sz w:val="21"/>
                <w:szCs w:val="21"/>
              </w:rPr>
            </w:pPr>
          </w:p>
        </w:tc>
        <w:tc>
          <w:tcPr>
            <w:tcW w:w="834" w:type="pct"/>
            <w:shd w:val="clear" w:color="auto" w:fill="FFFFFF"/>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TVOC</w:t>
            </w:r>
          </w:p>
        </w:tc>
        <w:tc>
          <w:tcPr>
            <w:tcW w:w="814"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14.75</w:t>
            </w:r>
          </w:p>
        </w:tc>
        <w:tc>
          <w:tcPr>
            <w:tcW w:w="738"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1.18</w:t>
            </w:r>
          </w:p>
        </w:tc>
        <w:tc>
          <w:tcPr>
            <w:tcW w:w="746"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0.9173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restart"/>
            <w:shd w:val="clear" w:color="auto" w:fill="FFFFFF"/>
            <w:vAlign w:val="center"/>
          </w:tcPr>
          <w:p>
            <w:pPr>
              <w:pStyle w:val="142"/>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8</w:t>
            </w:r>
            <w:r>
              <w:rPr>
                <w:rFonts w:hint="eastAsia" w:ascii="Times New Roman" w:hAnsi="Times New Roman" w:cs="Times New Roman"/>
                <w:color w:val="000000"/>
                <w:sz w:val="21"/>
                <w:szCs w:val="21"/>
              </w:rPr>
              <w:t>#排气筒</w:t>
            </w:r>
          </w:p>
        </w:tc>
        <w:tc>
          <w:tcPr>
            <w:tcW w:w="1041" w:type="pct"/>
            <w:vMerge w:val="restart"/>
            <w:shd w:val="clear" w:color="auto" w:fill="FFFFFF"/>
            <w:vAlign w:val="center"/>
          </w:tcPr>
          <w:p>
            <w:pPr>
              <w:adjustRightInd w:val="0"/>
              <w:snapToGrid w:val="0"/>
              <w:jc w:val="center"/>
              <w:rPr>
                <w:rFonts w:eastAsia="宋体"/>
                <w:color w:val="000000"/>
                <w:sz w:val="21"/>
                <w:szCs w:val="21"/>
              </w:rPr>
            </w:pPr>
            <w:r>
              <w:rPr>
                <w:rFonts w:hint="eastAsia" w:eastAsia="宋体"/>
                <w:color w:val="000000"/>
                <w:sz w:val="21"/>
                <w:szCs w:val="21"/>
                <w:lang w:val="en-US" w:eastAsia="zh-CN"/>
              </w:rPr>
              <w:t>94000</w:t>
            </w:r>
          </w:p>
        </w:tc>
        <w:tc>
          <w:tcPr>
            <w:tcW w:w="834"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814"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21.22</w:t>
            </w:r>
          </w:p>
        </w:tc>
        <w:tc>
          <w:tcPr>
            <w:tcW w:w="738"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1.698</w:t>
            </w:r>
          </w:p>
        </w:tc>
        <w:tc>
          <w:tcPr>
            <w:tcW w:w="746"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0.4075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FFFFFF"/>
            <w:vAlign w:val="center"/>
          </w:tcPr>
          <w:p>
            <w:pPr>
              <w:pStyle w:val="142"/>
              <w:adjustRightInd w:val="0"/>
              <w:snapToGrid w:val="0"/>
              <w:rPr>
                <w:rFonts w:ascii="Times New Roman" w:hAnsi="Times New Roman" w:cs="Times New Roman"/>
                <w:color w:val="000000"/>
                <w:sz w:val="21"/>
                <w:szCs w:val="21"/>
              </w:rPr>
            </w:pPr>
          </w:p>
        </w:tc>
        <w:tc>
          <w:tcPr>
            <w:tcW w:w="1041" w:type="pct"/>
            <w:vMerge w:val="continue"/>
            <w:shd w:val="clear" w:color="auto" w:fill="FFFFFF"/>
            <w:vAlign w:val="center"/>
          </w:tcPr>
          <w:p>
            <w:pPr>
              <w:adjustRightInd w:val="0"/>
              <w:snapToGrid w:val="0"/>
              <w:jc w:val="center"/>
              <w:rPr>
                <w:rFonts w:eastAsia="宋体"/>
                <w:color w:val="000000"/>
                <w:sz w:val="21"/>
                <w:szCs w:val="21"/>
              </w:rPr>
            </w:pPr>
          </w:p>
        </w:tc>
        <w:tc>
          <w:tcPr>
            <w:tcW w:w="834"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814"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8.33</w:t>
            </w:r>
          </w:p>
        </w:tc>
        <w:tc>
          <w:tcPr>
            <w:tcW w:w="738"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0.783</w:t>
            </w:r>
          </w:p>
        </w:tc>
        <w:tc>
          <w:tcPr>
            <w:tcW w:w="746"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0.2686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restart"/>
            <w:shd w:val="clear" w:color="auto" w:fill="FFFFFF"/>
            <w:vAlign w:val="center"/>
          </w:tcPr>
          <w:p>
            <w:pPr>
              <w:pStyle w:val="142"/>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9</w:t>
            </w:r>
            <w:r>
              <w:rPr>
                <w:rFonts w:hint="eastAsia" w:ascii="Times New Roman" w:hAnsi="Times New Roman" w:cs="Times New Roman"/>
                <w:color w:val="000000"/>
                <w:sz w:val="21"/>
                <w:szCs w:val="21"/>
              </w:rPr>
              <w:t>#排气筒</w:t>
            </w:r>
          </w:p>
        </w:tc>
        <w:tc>
          <w:tcPr>
            <w:tcW w:w="1041" w:type="pct"/>
            <w:vMerge w:val="restart"/>
            <w:shd w:val="clear" w:color="auto" w:fill="FFFFFF"/>
            <w:vAlign w:val="center"/>
          </w:tcPr>
          <w:p>
            <w:pPr>
              <w:adjustRightInd w:val="0"/>
              <w:snapToGrid w:val="0"/>
              <w:jc w:val="center"/>
              <w:rPr>
                <w:rFonts w:eastAsia="宋体"/>
                <w:color w:val="000000"/>
                <w:sz w:val="21"/>
                <w:szCs w:val="21"/>
              </w:rPr>
            </w:pPr>
            <w:r>
              <w:rPr>
                <w:rFonts w:hint="eastAsia" w:eastAsia="宋体"/>
                <w:color w:val="000000"/>
                <w:sz w:val="21"/>
                <w:szCs w:val="21"/>
                <w:lang w:val="en-US" w:eastAsia="zh-CN"/>
              </w:rPr>
              <w:t>90000</w:t>
            </w:r>
          </w:p>
        </w:tc>
        <w:tc>
          <w:tcPr>
            <w:tcW w:w="834"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814"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18.56</w:t>
            </w:r>
          </w:p>
        </w:tc>
        <w:tc>
          <w:tcPr>
            <w:tcW w:w="738"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1.671</w:t>
            </w:r>
          </w:p>
        </w:tc>
        <w:tc>
          <w:tcPr>
            <w:tcW w:w="746"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0.401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FFFFFF"/>
            <w:vAlign w:val="center"/>
          </w:tcPr>
          <w:p>
            <w:pPr>
              <w:pStyle w:val="142"/>
              <w:adjustRightInd w:val="0"/>
              <w:snapToGrid w:val="0"/>
              <w:rPr>
                <w:rFonts w:ascii="Times New Roman" w:hAnsi="Times New Roman" w:cs="Times New Roman"/>
                <w:color w:val="000000"/>
                <w:sz w:val="21"/>
                <w:szCs w:val="21"/>
              </w:rPr>
            </w:pPr>
          </w:p>
        </w:tc>
        <w:tc>
          <w:tcPr>
            <w:tcW w:w="1041" w:type="pct"/>
            <w:vMerge w:val="continue"/>
            <w:shd w:val="clear" w:color="auto" w:fill="FFFFFF"/>
            <w:vAlign w:val="center"/>
          </w:tcPr>
          <w:p>
            <w:pPr>
              <w:adjustRightInd w:val="0"/>
              <w:snapToGrid w:val="0"/>
              <w:jc w:val="center"/>
              <w:rPr>
                <w:rFonts w:eastAsia="宋体"/>
                <w:color w:val="000000"/>
                <w:sz w:val="21"/>
                <w:szCs w:val="21"/>
              </w:rPr>
            </w:pPr>
          </w:p>
        </w:tc>
        <w:tc>
          <w:tcPr>
            <w:tcW w:w="834"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814"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12.74</w:t>
            </w:r>
          </w:p>
        </w:tc>
        <w:tc>
          <w:tcPr>
            <w:tcW w:w="738"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1.147</w:t>
            </w:r>
          </w:p>
        </w:tc>
        <w:tc>
          <w:tcPr>
            <w:tcW w:w="746" w:type="pct"/>
            <w:shd w:val="clear" w:color="auto" w:fill="auto"/>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0.393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FFFFFF"/>
            <w:vAlign w:val="center"/>
          </w:tcPr>
          <w:p>
            <w:pPr>
              <w:pStyle w:val="142"/>
              <w:adjustRightInd w:val="0"/>
              <w:snapToGrid w:val="0"/>
              <w:rPr>
                <w:rFonts w:ascii="Times New Roman" w:hAnsi="Times New Roman" w:cs="Times New Roman"/>
                <w:color w:val="000000"/>
                <w:sz w:val="21"/>
                <w:szCs w:val="21"/>
              </w:rPr>
            </w:pPr>
          </w:p>
        </w:tc>
        <w:tc>
          <w:tcPr>
            <w:tcW w:w="1041" w:type="pct"/>
            <w:vMerge w:val="continue"/>
            <w:shd w:val="clear" w:color="auto" w:fill="FFFFFF"/>
            <w:vAlign w:val="center"/>
          </w:tcPr>
          <w:p>
            <w:pPr>
              <w:adjustRightInd w:val="0"/>
              <w:snapToGrid w:val="0"/>
              <w:jc w:val="center"/>
              <w:rPr>
                <w:rFonts w:eastAsia="宋体"/>
                <w:color w:val="000000"/>
                <w:sz w:val="21"/>
                <w:szCs w:val="21"/>
              </w:rPr>
            </w:pPr>
          </w:p>
        </w:tc>
        <w:tc>
          <w:tcPr>
            <w:tcW w:w="834" w:type="pct"/>
            <w:shd w:val="clear" w:color="auto" w:fill="FFFFFF"/>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甲醛</w:t>
            </w:r>
          </w:p>
        </w:tc>
        <w:tc>
          <w:tcPr>
            <w:tcW w:w="814" w:type="pct"/>
            <w:shd w:val="clear" w:color="auto" w:fill="auto"/>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2.63</w:t>
            </w:r>
          </w:p>
        </w:tc>
        <w:tc>
          <w:tcPr>
            <w:tcW w:w="738" w:type="pct"/>
            <w:shd w:val="clear" w:color="auto" w:fill="auto"/>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0.237</w:t>
            </w:r>
          </w:p>
        </w:tc>
        <w:tc>
          <w:tcPr>
            <w:tcW w:w="746" w:type="pct"/>
            <w:shd w:val="clear" w:color="auto" w:fill="auto"/>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0.0812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restart"/>
            <w:shd w:val="clear" w:color="auto" w:fill="FFFFFF"/>
            <w:vAlign w:val="center"/>
          </w:tcPr>
          <w:p>
            <w:pPr>
              <w:pStyle w:val="142"/>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11</w:t>
            </w:r>
            <w:r>
              <w:rPr>
                <w:rFonts w:hint="eastAsia" w:ascii="Times New Roman" w:hAnsi="Times New Roman" w:cs="Times New Roman"/>
                <w:color w:val="000000"/>
                <w:sz w:val="21"/>
                <w:szCs w:val="21"/>
              </w:rPr>
              <w:t>#排气筒</w:t>
            </w:r>
          </w:p>
        </w:tc>
        <w:tc>
          <w:tcPr>
            <w:tcW w:w="1041" w:type="pct"/>
            <w:vMerge w:val="restart"/>
            <w:shd w:val="clear" w:color="auto" w:fill="FFFFFF"/>
            <w:vAlign w:val="center"/>
          </w:tcPr>
          <w:p>
            <w:pPr>
              <w:adjustRightInd w:val="0"/>
              <w:snapToGrid w:val="0"/>
              <w:jc w:val="center"/>
              <w:rPr>
                <w:rFonts w:eastAsia="宋体"/>
                <w:color w:val="000000"/>
                <w:sz w:val="21"/>
                <w:szCs w:val="21"/>
              </w:rPr>
            </w:pPr>
            <w:r>
              <w:rPr>
                <w:rFonts w:hint="eastAsia" w:eastAsia="宋体"/>
                <w:color w:val="000000"/>
                <w:sz w:val="21"/>
                <w:szCs w:val="21"/>
                <w:lang w:val="en-US" w:eastAsia="zh-CN"/>
              </w:rPr>
              <w:t>25000</w:t>
            </w:r>
          </w:p>
        </w:tc>
        <w:tc>
          <w:tcPr>
            <w:tcW w:w="834"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814" w:type="pct"/>
            <w:shd w:val="clear" w:color="auto" w:fill="auto"/>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1.25</w:t>
            </w:r>
          </w:p>
        </w:tc>
        <w:tc>
          <w:tcPr>
            <w:tcW w:w="738" w:type="pct"/>
            <w:shd w:val="clear" w:color="auto" w:fill="auto"/>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0.031</w:t>
            </w:r>
          </w:p>
        </w:tc>
        <w:tc>
          <w:tcPr>
            <w:tcW w:w="746" w:type="pct"/>
            <w:shd w:val="clear" w:color="auto" w:fill="auto"/>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0.0094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FFFFFF"/>
            <w:vAlign w:val="center"/>
          </w:tcPr>
          <w:p>
            <w:pPr>
              <w:pStyle w:val="142"/>
              <w:adjustRightInd w:val="0"/>
              <w:snapToGrid w:val="0"/>
              <w:rPr>
                <w:rFonts w:hint="eastAsia" w:ascii="Times New Roman" w:hAnsi="Times New Roman" w:cs="Times New Roman"/>
                <w:color w:val="000000"/>
                <w:sz w:val="21"/>
                <w:szCs w:val="21"/>
                <w:lang w:val="en-US" w:eastAsia="zh-CN"/>
              </w:rPr>
            </w:pPr>
          </w:p>
        </w:tc>
        <w:tc>
          <w:tcPr>
            <w:tcW w:w="1041" w:type="pct"/>
            <w:vMerge w:val="continue"/>
            <w:shd w:val="clear" w:color="auto" w:fill="FFFFFF"/>
            <w:vAlign w:val="center"/>
          </w:tcPr>
          <w:p>
            <w:pPr>
              <w:adjustRightInd w:val="0"/>
              <w:snapToGrid w:val="0"/>
              <w:jc w:val="center"/>
              <w:rPr>
                <w:rFonts w:eastAsia="宋体"/>
                <w:color w:val="000000"/>
                <w:sz w:val="21"/>
                <w:szCs w:val="21"/>
              </w:rPr>
            </w:pPr>
          </w:p>
        </w:tc>
        <w:tc>
          <w:tcPr>
            <w:tcW w:w="834"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814" w:type="pct"/>
            <w:shd w:val="clear" w:color="auto" w:fill="auto"/>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2.35</w:t>
            </w:r>
          </w:p>
        </w:tc>
        <w:tc>
          <w:tcPr>
            <w:tcW w:w="738" w:type="pct"/>
            <w:shd w:val="clear" w:color="auto" w:fill="auto"/>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0.059</w:t>
            </w:r>
          </w:p>
        </w:tc>
        <w:tc>
          <w:tcPr>
            <w:tcW w:w="746" w:type="pct"/>
            <w:shd w:val="clear" w:color="auto" w:fill="auto"/>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0.0176</w:t>
            </w:r>
          </w:p>
        </w:tc>
      </w:tr>
    </w:tbl>
    <w:p>
      <w:pPr>
        <w:adjustRightInd w:val="0"/>
        <w:snapToGrid w:val="0"/>
        <w:spacing w:line="500" w:lineRule="exact"/>
        <w:ind w:firstLine="480" w:firstLineChars="200"/>
        <w:rPr>
          <w:rFonts w:ascii="宋体" w:hAnsi="宋体" w:eastAsia="宋体" w:cs="宋体"/>
          <w:color w:val="0000FF"/>
          <w:szCs w:val="28"/>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员工发现超标事故至关闭生产设备时间为</w:t>
      </w:r>
      <w:r>
        <w:rPr>
          <w:rFonts w:eastAsia="宋体"/>
          <w:color w:val="000000" w:themeColor="text1"/>
          <w:szCs w:val="28"/>
          <w14:textFill>
            <w14:solidFill>
              <w14:schemeClr w14:val="tx1"/>
            </w14:solidFill>
          </w14:textFill>
        </w:rPr>
        <w:t>15分钟，即超标排放时间为15分钟，</w:t>
      </w:r>
      <w:r>
        <w:rPr>
          <w:rFonts w:eastAsia="宋体"/>
          <w:color w:val="000000" w:themeColor="text1"/>
          <w14:textFill>
            <w14:solidFill>
              <w14:schemeClr w14:val="tx1"/>
            </w14:solidFill>
          </w14:textFill>
        </w:rPr>
        <w:t>各类污染物</w:t>
      </w:r>
      <w:r>
        <w:rPr>
          <w:rFonts w:eastAsia="宋体"/>
          <w:color w:val="000000" w:themeColor="text1"/>
          <w:szCs w:val="28"/>
          <w14:textFill>
            <w14:solidFill>
              <w14:schemeClr w14:val="tx1"/>
            </w14:solidFill>
          </w14:textFill>
        </w:rPr>
        <w:t>的泄漏源强见表</w:t>
      </w:r>
      <w:r>
        <w:rPr>
          <w:rFonts w:hint="eastAsia" w:eastAsia="宋体"/>
          <w:color w:val="000000" w:themeColor="text1"/>
          <w:szCs w:val="28"/>
          <w14:textFill>
            <w14:solidFill>
              <w14:schemeClr w14:val="tx1"/>
            </w14:solidFill>
          </w14:textFill>
        </w:rPr>
        <w:t>4-</w:t>
      </w:r>
      <w:r>
        <w:rPr>
          <w:rFonts w:hint="eastAsia" w:eastAsia="宋体"/>
          <w:color w:val="000000" w:themeColor="text1"/>
          <w:szCs w:val="28"/>
          <w:lang w:val="en-US" w:eastAsia="zh-CN"/>
          <w14:textFill>
            <w14:solidFill>
              <w14:schemeClr w14:val="tx1"/>
            </w14:solidFill>
          </w14:textFill>
        </w:rPr>
        <w:t>6</w:t>
      </w:r>
      <w:r>
        <w:rPr>
          <w:rFonts w:hint="eastAsia" w:eastAsia="宋体"/>
          <w:color w:val="000000" w:themeColor="text1"/>
          <w:szCs w:val="28"/>
          <w14:textFill>
            <w14:solidFill>
              <w14:schemeClr w14:val="tx1"/>
            </w14:solidFill>
          </w14:textFill>
        </w:rPr>
        <w:t>。</w:t>
      </w:r>
    </w:p>
    <w:p>
      <w:pPr>
        <w:adjustRightInd w:val="0"/>
        <w:snapToGrid w:val="0"/>
        <w:spacing w:line="500" w:lineRule="exact"/>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表</w:t>
      </w:r>
      <w:r>
        <w:rPr>
          <w:rFonts w:hint="eastAsia" w:eastAsia="宋体"/>
          <w:b/>
          <w:bCs/>
          <w:color w:val="000000" w:themeColor="text1"/>
          <w14:textFill>
            <w14:solidFill>
              <w14:schemeClr w14:val="tx1"/>
            </w14:solidFill>
          </w14:textFill>
        </w:rPr>
        <w:t>4-</w:t>
      </w:r>
      <w:r>
        <w:rPr>
          <w:rFonts w:hint="eastAsia" w:eastAsia="宋体"/>
          <w:b/>
          <w:bCs/>
          <w:color w:val="000000" w:themeColor="text1"/>
          <w:lang w:val="en-US" w:eastAsia="zh-CN"/>
          <w14:textFill>
            <w14:solidFill>
              <w14:schemeClr w14:val="tx1"/>
            </w14:solidFill>
          </w14:textFill>
        </w:rPr>
        <w:t>6</w:t>
      </w:r>
      <w:r>
        <w:rPr>
          <w:rFonts w:hint="eastAsia" w:eastAsia="宋体"/>
          <w:b/>
          <w:bCs/>
          <w:color w:val="000000" w:themeColor="text1"/>
          <w14:textFill>
            <w14:solidFill>
              <w14:schemeClr w14:val="tx1"/>
            </w14:solidFill>
          </w14:textFill>
        </w:rPr>
        <w:t xml:space="preserve"> </w:t>
      </w:r>
      <w:r>
        <w:rPr>
          <w:rFonts w:eastAsia="宋体"/>
          <w:b/>
          <w:bCs/>
          <w:color w:val="000000" w:themeColor="text1"/>
          <w:szCs w:val="28"/>
          <w14:textFill>
            <w14:solidFill>
              <w14:schemeClr w14:val="tx1"/>
            </w14:solidFill>
          </w14:textFill>
        </w:rPr>
        <w:t>15分钟</w:t>
      </w:r>
      <w:r>
        <w:rPr>
          <w:rFonts w:hint="eastAsia" w:eastAsia="宋体"/>
          <w:b/>
          <w:bCs/>
          <w:color w:val="000000" w:themeColor="text1"/>
          <w:szCs w:val="28"/>
          <w14:textFill>
            <w14:solidFill>
              <w14:schemeClr w14:val="tx1"/>
            </w14:solidFill>
          </w14:textFill>
        </w:rPr>
        <w:t>内废气产生情况一览表</w:t>
      </w:r>
    </w:p>
    <w:tbl>
      <w:tblPr>
        <w:tblStyle w:val="3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2"/>
        <w:gridCol w:w="1846"/>
        <w:gridCol w:w="1986"/>
        <w:gridCol w:w="1938"/>
        <w:gridCol w:w="17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21" w:type="pct"/>
            <w:vMerge w:val="restar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排放源</w:t>
            </w:r>
          </w:p>
        </w:tc>
        <w:tc>
          <w:tcPr>
            <w:tcW w:w="999" w:type="pct"/>
            <w:vMerge w:val="restar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废气量</w:t>
            </w:r>
          </w:p>
          <w:p>
            <w:pPr>
              <w:adjustRightInd w:val="0"/>
              <w:snapToGrid w:val="0"/>
              <w:jc w:val="center"/>
              <w:rPr>
                <w:rFonts w:eastAsia="宋体"/>
                <w:color w:val="000000"/>
                <w:kern w:val="0"/>
                <w:sz w:val="21"/>
                <w:szCs w:val="21"/>
              </w:rPr>
            </w:pPr>
            <w:r>
              <w:rPr>
                <w:rFonts w:eastAsia="宋体"/>
                <w:color w:val="000000"/>
                <w:kern w:val="0"/>
                <w:sz w:val="21"/>
                <w:szCs w:val="21"/>
              </w:rPr>
              <w:t>m</w:t>
            </w:r>
            <w:r>
              <w:rPr>
                <w:rFonts w:eastAsia="宋体"/>
                <w:color w:val="000000"/>
                <w:kern w:val="0"/>
                <w:sz w:val="21"/>
                <w:szCs w:val="21"/>
                <w:vertAlign w:val="superscript"/>
              </w:rPr>
              <w:t>3</w:t>
            </w:r>
            <w:r>
              <w:rPr>
                <w:rFonts w:eastAsia="宋体"/>
                <w:color w:val="000000"/>
                <w:kern w:val="0"/>
                <w:sz w:val="21"/>
                <w:szCs w:val="21"/>
              </w:rPr>
              <w:t>/h</w:t>
            </w:r>
          </w:p>
        </w:tc>
        <w:tc>
          <w:tcPr>
            <w:tcW w:w="1075" w:type="pct"/>
            <w:vMerge w:val="restar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污染物</w:t>
            </w:r>
          </w:p>
          <w:p>
            <w:pPr>
              <w:adjustRightInd w:val="0"/>
              <w:snapToGrid w:val="0"/>
              <w:jc w:val="center"/>
              <w:rPr>
                <w:rFonts w:eastAsia="宋体"/>
                <w:color w:val="000000"/>
                <w:kern w:val="0"/>
                <w:sz w:val="21"/>
                <w:szCs w:val="21"/>
              </w:rPr>
            </w:pPr>
            <w:r>
              <w:rPr>
                <w:rFonts w:eastAsia="宋体"/>
                <w:color w:val="000000"/>
                <w:kern w:val="0"/>
                <w:sz w:val="21"/>
                <w:szCs w:val="21"/>
              </w:rPr>
              <w:t>名称</w:t>
            </w:r>
          </w:p>
        </w:tc>
        <w:tc>
          <w:tcPr>
            <w:tcW w:w="2003" w:type="pct"/>
            <w:gridSpan w:val="2"/>
            <w:shd w:val="clear" w:color="auto" w:fill="auto"/>
            <w:vAlign w:val="center"/>
          </w:tcPr>
          <w:p>
            <w:pPr>
              <w:adjustRightInd w:val="0"/>
              <w:snapToGrid w:val="0"/>
              <w:jc w:val="center"/>
              <w:rPr>
                <w:rFonts w:eastAsia="宋体"/>
                <w:color w:val="000000"/>
                <w:kern w:val="0"/>
                <w:sz w:val="21"/>
                <w:szCs w:val="21"/>
              </w:rPr>
            </w:pPr>
            <w:r>
              <w:rPr>
                <w:rFonts w:hint="eastAsia" w:eastAsia="宋体"/>
                <w:color w:val="000000"/>
                <w:kern w:val="0"/>
                <w:sz w:val="21"/>
                <w:szCs w:val="21"/>
              </w:rPr>
              <w:t>15分钟内</w:t>
            </w:r>
            <w:r>
              <w:rPr>
                <w:rFonts w:eastAsia="宋体"/>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vAlign w:val="center"/>
          </w:tcPr>
          <w:p>
            <w:pPr>
              <w:adjustRightInd w:val="0"/>
              <w:snapToGrid w:val="0"/>
              <w:jc w:val="center"/>
              <w:rPr>
                <w:rFonts w:eastAsia="宋体"/>
                <w:color w:val="000000"/>
                <w:kern w:val="0"/>
                <w:sz w:val="21"/>
                <w:szCs w:val="21"/>
              </w:rPr>
            </w:pPr>
          </w:p>
        </w:tc>
        <w:tc>
          <w:tcPr>
            <w:tcW w:w="999" w:type="pct"/>
            <w:vMerge w:val="continue"/>
            <w:shd w:val="clear" w:color="auto" w:fill="auto"/>
            <w:vAlign w:val="center"/>
          </w:tcPr>
          <w:p>
            <w:pPr>
              <w:adjustRightInd w:val="0"/>
              <w:snapToGrid w:val="0"/>
              <w:jc w:val="center"/>
              <w:rPr>
                <w:rFonts w:eastAsia="宋体"/>
                <w:color w:val="000000"/>
                <w:kern w:val="0"/>
                <w:sz w:val="21"/>
                <w:szCs w:val="21"/>
              </w:rPr>
            </w:pPr>
          </w:p>
        </w:tc>
        <w:tc>
          <w:tcPr>
            <w:tcW w:w="1075" w:type="pct"/>
            <w:vMerge w:val="continue"/>
            <w:shd w:val="clear" w:color="auto" w:fill="auto"/>
            <w:vAlign w:val="center"/>
          </w:tcPr>
          <w:p>
            <w:pPr>
              <w:adjustRightInd w:val="0"/>
              <w:snapToGrid w:val="0"/>
              <w:jc w:val="center"/>
              <w:rPr>
                <w:rFonts w:eastAsia="宋体"/>
                <w:color w:val="000000"/>
                <w:kern w:val="0"/>
                <w:sz w:val="21"/>
                <w:szCs w:val="21"/>
              </w:rPr>
            </w:pPr>
          </w:p>
        </w:tc>
        <w:tc>
          <w:tcPr>
            <w:tcW w:w="1049" w:type="pc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速率</w:t>
            </w:r>
          </w:p>
        </w:tc>
        <w:tc>
          <w:tcPr>
            <w:tcW w:w="954" w:type="pc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vAlign w:val="center"/>
          </w:tcPr>
          <w:p>
            <w:pPr>
              <w:adjustRightInd w:val="0"/>
              <w:snapToGrid w:val="0"/>
              <w:jc w:val="center"/>
              <w:rPr>
                <w:rFonts w:eastAsia="宋体"/>
                <w:color w:val="000000"/>
                <w:kern w:val="0"/>
                <w:sz w:val="21"/>
                <w:szCs w:val="21"/>
              </w:rPr>
            </w:pPr>
          </w:p>
        </w:tc>
        <w:tc>
          <w:tcPr>
            <w:tcW w:w="999" w:type="pct"/>
            <w:vMerge w:val="continue"/>
            <w:shd w:val="clear" w:color="auto" w:fill="auto"/>
            <w:vAlign w:val="center"/>
          </w:tcPr>
          <w:p>
            <w:pPr>
              <w:adjustRightInd w:val="0"/>
              <w:snapToGrid w:val="0"/>
              <w:jc w:val="center"/>
              <w:rPr>
                <w:rFonts w:eastAsia="宋体"/>
                <w:color w:val="000000"/>
                <w:kern w:val="0"/>
                <w:sz w:val="21"/>
                <w:szCs w:val="21"/>
              </w:rPr>
            </w:pPr>
          </w:p>
        </w:tc>
        <w:tc>
          <w:tcPr>
            <w:tcW w:w="1075" w:type="pct"/>
            <w:vMerge w:val="continue"/>
            <w:shd w:val="clear" w:color="auto" w:fill="auto"/>
            <w:vAlign w:val="center"/>
          </w:tcPr>
          <w:p>
            <w:pPr>
              <w:adjustRightInd w:val="0"/>
              <w:snapToGrid w:val="0"/>
              <w:jc w:val="center"/>
              <w:rPr>
                <w:rFonts w:eastAsia="宋体"/>
                <w:color w:val="000000"/>
                <w:kern w:val="0"/>
                <w:sz w:val="21"/>
                <w:szCs w:val="21"/>
              </w:rPr>
            </w:pPr>
          </w:p>
        </w:tc>
        <w:tc>
          <w:tcPr>
            <w:tcW w:w="1049" w:type="pct"/>
            <w:shd w:val="clear" w:color="auto" w:fill="auto"/>
            <w:vAlign w:val="center"/>
          </w:tcPr>
          <w:p>
            <w:pPr>
              <w:adjustRightInd w:val="0"/>
              <w:snapToGrid w:val="0"/>
              <w:jc w:val="center"/>
              <w:rPr>
                <w:rFonts w:eastAsia="宋体"/>
                <w:color w:val="000000"/>
                <w:kern w:val="0"/>
                <w:sz w:val="21"/>
                <w:szCs w:val="21"/>
              </w:rPr>
            </w:pPr>
            <w:r>
              <w:rPr>
                <w:rFonts w:eastAsia="宋体"/>
                <w:color w:val="000000"/>
                <w:kern w:val="0"/>
                <w:sz w:val="21"/>
                <w:szCs w:val="21"/>
              </w:rPr>
              <w:t>kg/h</w:t>
            </w:r>
          </w:p>
        </w:tc>
        <w:tc>
          <w:tcPr>
            <w:tcW w:w="954" w:type="pct"/>
            <w:shd w:val="clear" w:color="auto" w:fill="auto"/>
            <w:vAlign w:val="center"/>
          </w:tcPr>
          <w:p>
            <w:pPr>
              <w:adjustRightInd w:val="0"/>
              <w:snapToGrid w:val="0"/>
              <w:jc w:val="center"/>
              <w:rPr>
                <w:rFonts w:eastAsia="宋体"/>
                <w:color w:val="000000"/>
                <w:kern w:val="0"/>
                <w:sz w:val="21"/>
                <w:szCs w:val="21"/>
              </w:rPr>
            </w:pPr>
            <w:r>
              <w:rPr>
                <w:rFonts w:hint="eastAsia" w:eastAsia="宋体"/>
                <w:color w:val="000000"/>
                <w:kern w:val="0"/>
                <w:sz w:val="21"/>
                <w:szCs w:val="21"/>
              </w:rPr>
              <w:t>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shd w:val="clear" w:color="auto" w:fill="FFFFFF"/>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1#排气筒</w:t>
            </w:r>
          </w:p>
        </w:tc>
        <w:tc>
          <w:tcPr>
            <w:tcW w:w="999" w:type="pct"/>
            <w:shd w:val="clear" w:color="auto" w:fill="FFFFFF"/>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15000</w:t>
            </w:r>
          </w:p>
        </w:tc>
        <w:tc>
          <w:tcPr>
            <w:tcW w:w="1075" w:type="pct"/>
            <w:shd w:val="clear" w:color="auto" w:fill="FFFFFF"/>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0.360</w:t>
            </w:r>
          </w:p>
        </w:tc>
        <w:tc>
          <w:tcPr>
            <w:tcW w:w="954"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shd w:val="clear" w:color="auto" w:fill="FFFFFF"/>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2#排气筒</w:t>
            </w:r>
          </w:p>
        </w:tc>
        <w:tc>
          <w:tcPr>
            <w:tcW w:w="999" w:type="pct"/>
            <w:shd w:val="clear" w:color="auto" w:fill="FFFFFF"/>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25000</w:t>
            </w:r>
          </w:p>
        </w:tc>
        <w:tc>
          <w:tcPr>
            <w:tcW w:w="1075" w:type="pct"/>
            <w:shd w:val="clear" w:color="auto" w:fill="FFFFFF"/>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0.540</w:t>
            </w:r>
          </w:p>
        </w:tc>
        <w:tc>
          <w:tcPr>
            <w:tcW w:w="954"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0.135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shd w:val="clear" w:color="auto" w:fill="FFFFFF"/>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#排气筒</w:t>
            </w:r>
          </w:p>
        </w:tc>
        <w:tc>
          <w:tcPr>
            <w:tcW w:w="999" w:type="pct"/>
            <w:shd w:val="clear" w:color="auto" w:fill="FFFFFF"/>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35000</w:t>
            </w:r>
          </w:p>
        </w:tc>
        <w:tc>
          <w:tcPr>
            <w:tcW w:w="1075" w:type="pct"/>
            <w:shd w:val="clear" w:color="auto" w:fill="FFFFFF"/>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0.441</w:t>
            </w:r>
          </w:p>
        </w:tc>
        <w:tc>
          <w:tcPr>
            <w:tcW w:w="954"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0.11025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shd w:val="clear" w:color="auto" w:fill="FFFFFF"/>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color w:val="000000"/>
                <w:sz w:val="21"/>
                <w:szCs w:val="21"/>
                <w:lang w:val="en-US" w:eastAsia="zh-CN"/>
              </w:rPr>
              <w:t>4</w:t>
            </w:r>
            <w:r>
              <w:rPr>
                <w:rFonts w:hint="eastAsia" w:ascii="Times New Roman" w:hAnsi="Times New Roman" w:cs="Times New Roman"/>
                <w:color w:val="000000"/>
                <w:sz w:val="21"/>
                <w:szCs w:val="21"/>
              </w:rPr>
              <w:t>#排气筒</w:t>
            </w:r>
          </w:p>
        </w:tc>
        <w:tc>
          <w:tcPr>
            <w:tcW w:w="999" w:type="pct"/>
            <w:shd w:val="clear" w:color="auto" w:fill="FFFFFF"/>
            <w:vAlign w:val="center"/>
          </w:tcPr>
          <w:p>
            <w:pPr>
              <w:pStyle w:val="142"/>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35000</w:t>
            </w:r>
          </w:p>
        </w:tc>
        <w:tc>
          <w:tcPr>
            <w:tcW w:w="1075" w:type="pct"/>
            <w:shd w:val="clear" w:color="auto" w:fill="FFFFFF"/>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0.075</w:t>
            </w:r>
          </w:p>
        </w:tc>
        <w:tc>
          <w:tcPr>
            <w:tcW w:w="954"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0.01875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shd w:val="clear" w:color="auto" w:fill="FFFFFF"/>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5</w:t>
            </w:r>
            <w:r>
              <w:rPr>
                <w:rFonts w:hint="eastAsia" w:ascii="Times New Roman" w:hAnsi="Times New Roman" w:cs="Times New Roman"/>
                <w:color w:val="000000"/>
                <w:sz w:val="21"/>
                <w:szCs w:val="21"/>
              </w:rPr>
              <w:t>#排气筒</w:t>
            </w:r>
          </w:p>
        </w:tc>
        <w:tc>
          <w:tcPr>
            <w:tcW w:w="999" w:type="pct"/>
            <w:shd w:val="clear" w:color="auto" w:fill="FFFFFF"/>
            <w:vAlign w:val="center"/>
          </w:tcPr>
          <w:p>
            <w:pPr>
              <w:adjustRightInd w:val="0"/>
              <w:snapToGrid w:val="0"/>
              <w:jc w:val="center"/>
              <w:rPr>
                <w:rFonts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35000</w:t>
            </w:r>
          </w:p>
        </w:tc>
        <w:tc>
          <w:tcPr>
            <w:tcW w:w="1075" w:type="pct"/>
            <w:shd w:val="clear" w:color="auto" w:fill="FFFFFF"/>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0.074</w:t>
            </w:r>
          </w:p>
        </w:tc>
        <w:tc>
          <w:tcPr>
            <w:tcW w:w="954"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0.0185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restart"/>
            <w:shd w:val="clear" w:color="auto" w:fill="FFFFFF"/>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6</w:t>
            </w:r>
            <w:r>
              <w:rPr>
                <w:rFonts w:hint="eastAsia" w:ascii="Times New Roman" w:hAnsi="Times New Roman" w:cs="Times New Roman"/>
                <w:color w:val="000000"/>
                <w:sz w:val="21"/>
                <w:szCs w:val="21"/>
              </w:rPr>
              <w:t>#排气筒</w:t>
            </w:r>
          </w:p>
        </w:tc>
        <w:tc>
          <w:tcPr>
            <w:tcW w:w="999" w:type="pct"/>
            <w:vMerge w:val="restart"/>
            <w:shd w:val="clear" w:color="auto" w:fill="FFFFFF"/>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92000</w:t>
            </w:r>
          </w:p>
        </w:tc>
        <w:tc>
          <w:tcPr>
            <w:tcW w:w="1075" w:type="pct"/>
            <w:shd w:val="clear" w:color="auto" w:fill="FFFFFF"/>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1.807</w:t>
            </w:r>
          </w:p>
        </w:tc>
        <w:tc>
          <w:tcPr>
            <w:tcW w:w="954"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0.045175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FFFFFF"/>
            <w:vAlign w:val="center"/>
          </w:tcPr>
          <w:p>
            <w:pPr>
              <w:pStyle w:val="142"/>
              <w:adjustRightInd w:val="0"/>
              <w:snapToGrid w:val="0"/>
              <w:rPr>
                <w:rFonts w:hint="default" w:ascii="Times New Roman" w:hAnsi="Times New Roman" w:cs="Times New Roman"/>
                <w:color w:val="000000"/>
                <w:sz w:val="21"/>
                <w:szCs w:val="21"/>
                <w:lang w:val="en-US" w:eastAsia="zh-CN"/>
              </w:rPr>
            </w:pPr>
          </w:p>
        </w:tc>
        <w:tc>
          <w:tcPr>
            <w:tcW w:w="999" w:type="pct"/>
            <w:vMerge w:val="continue"/>
            <w:shd w:val="clear" w:color="auto" w:fill="FFFFFF"/>
            <w:vAlign w:val="center"/>
          </w:tcPr>
          <w:p>
            <w:pPr>
              <w:adjustRightInd w:val="0"/>
              <w:snapToGrid w:val="0"/>
              <w:jc w:val="center"/>
              <w:rPr>
                <w:rFonts w:hint="eastAsia" w:eastAsia="宋体"/>
                <w:color w:val="000000"/>
                <w:sz w:val="21"/>
                <w:szCs w:val="21"/>
                <w:lang w:val="en-US" w:eastAsia="zh-CN"/>
              </w:rPr>
            </w:pPr>
          </w:p>
        </w:tc>
        <w:tc>
          <w:tcPr>
            <w:tcW w:w="1075"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049" w:type="pct"/>
            <w:shd w:val="clear" w:color="auto" w:fill="auto"/>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1.029</w:t>
            </w:r>
          </w:p>
        </w:tc>
        <w:tc>
          <w:tcPr>
            <w:tcW w:w="954" w:type="pct"/>
            <w:shd w:val="clear" w:color="auto" w:fill="auto"/>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0.25725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restart"/>
            <w:shd w:val="clear" w:color="auto" w:fill="FFFFFF"/>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7</w:t>
            </w:r>
            <w:r>
              <w:rPr>
                <w:rFonts w:hint="eastAsia" w:ascii="Times New Roman" w:hAnsi="Times New Roman" w:cs="Times New Roman"/>
                <w:color w:val="000000"/>
                <w:sz w:val="21"/>
                <w:szCs w:val="21"/>
              </w:rPr>
              <w:t>#排气筒</w:t>
            </w:r>
          </w:p>
        </w:tc>
        <w:tc>
          <w:tcPr>
            <w:tcW w:w="999" w:type="pct"/>
            <w:vMerge w:val="restart"/>
            <w:shd w:val="clear" w:color="auto" w:fill="FFFFFF"/>
            <w:vAlign w:val="center"/>
          </w:tcPr>
          <w:p>
            <w:pPr>
              <w:adjustRightInd w:val="0"/>
              <w:snapToGrid w:val="0"/>
              <w:jc w:val="center"/>
              <w:rPr>
                <w:rFonts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80000</w:t>
            </w:r>
          </w:p>
        </w:tc>
        <w:tc>
          <w:tcPr>
            <w:tcW w:w="1075" w:type="pct"/>
            <w:shd w:val="clear" w:color="auto" w:fill="FFFFFF"/>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1.789</w:t>
            </w:r>
          </w:p>
        </w:tc>
        <w:tc>
          <w:tcPr>
            <w:tcW w:w="954" w:type="pct"/>
            <w:shd w:val="clear" w:color="auto" w:fill="auto"/>
            <w:vAlign w:val="center"/>
          </w:tcPr>
          <w:p>
            <w:pPr>
              <w:pStyle w:val="142"/>
              <w:rPr>
                <w:rFonts w:ascii="Times New Roman" w:hAnsi="Times New Roman" w:cs="Times New Roman"/>
                <w:sz w:val="21"/>
              </w:rPr>
            </w:pPr>
            <w:r>
              <w:rPr>
                <w:rFonts w:hint="eastAsia" w:ascii="Times New Roman" w:hAnsi="Times New Roman" w:cs="Times New Roman"/>
                <w:sz w:val="21"/>
                <w:lang w:val="en-US" w:eastAsia="zh-CN"/>
              </w:rPr>
              <w:t>0.44725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FFFFFF"/>
            <w:vAlign w:val="center"/>
          </w:tcPr>
          <w:p>
            <w:pPr>
              <w:pStyle w:val="142"/>
              <w:adjustRightInd w:val="0"/>
              <w:snapToGrid w:val="0"/>
              <w:rPr>
                <w:rFonts w:ascii="Times New Roman" w:hAnsi="Times New Roman" w:cs="Times New Roman"/>
                <w:color w:val="000000"/>
                <w:sz w:val="21"/>
                <w:szCs w:val="21"/>
              </w:rPr>
            </w:pPr>
          </w:p>
        </w:tc>
        <w:tc>
          <w:tcPr>
            <w:tcW w:w="999" w:type="pct"/>
            <w:vMerge w:val="continue"/>
            <w:shd w:val="clear" w:color="auto" w:fill="FFFFFF"/>
            <w:vAlign w:val="center"/>
          </w:tcPr>
          <w:p>
            <w:pPr>
              <w:adjustRightInd w:val="0"/>
              <w:snapToGrid w:val="0"/>
              <w:jc w:val="center"/>
              <w:rPr>
                <w:rFonts w:eastAsia="宋体"/>
                <w:color w:val="000000"/>
                <w:sz w:val="21"/>
                <w:szCs w:val="21"/>
              </w:rPr>
            </w:pPr>
          </w:p>
        </w:tc>
        <w:tc>
          <w:tcPr>
            <w:tcW w:w="1075" w:type="pct"/>
            <w:shd w:val="clear" w:color="auto" w:fill="FFFFFF"/>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049" w:type="pct"/>
            <w:shd w:val="clear" w:color="auto" w:fill="auto"/>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1.18</w:t>
            </w:r>
          </w:p>
        </w:tc>
        <w:tc>
          <w:tcPr>
            <w:tcW w:w="954" w:type="pct"/>
            <w:shd w:val="clear" w:color="auto" w:fill="auto"/>
            <w:vAlign w:val="center"/>
          </w:tcPr>
          <w:p>
            <w:pPr>
              <w:adjustRightInd w:val="0"/>
              <w:snapToGrid w:val="0"/>
              <w:jc w:val="center"/>
              <w:rPr>
                <w:rFonts w:eastAsia="宋体"/>
                <w:sz w:val="21"/>
                <w:szCs w:val="21"/>
              </w:rPr>
            </w:pPr>
            <w:r>
              <w:rPr>
                <w:rFonts w:hint="eastAsia" w:eastAsia="宋体"/>
                <w:sz w:val="21"/>
                <w:szCs w:val="21"/>
                <w:lang w:val="en-US" w:eastAsia="zh-CN"/>
              </w:rPr>
              <w:t>0.295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restart"/>
            <w:shd w:val="clear" w:color="auto" w:fill="FFFFFF"/>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8</w:t>
            </w:r>
            <w:r>
              <w:rPr>
                <w:rFonts w:hint="eastAsia" w:ascii="Times New Roman" w:hAnsi="Times New Roman" w:cs="Times New Roman"/>
                <w:color w:val="000000"/>
                <w:sz w:val="21"/>
                <w:szCs w:val="21"/>
              </w:rPr>
              <w:t>#排气筒</w:t>
            </w:r>
          </w:p>
        </w:tc>
        <w:tc>
          <w:tcPr>
            <w:tcW w:w="999" w:type="pct"/>
            <w:vMerge w:val="restart"/>
            <w:shd w:val="clear" w:color="auto" w:fill="FFFFFF"/>
            <w:vAlign w:val="center"/>
          </w:tcPr>
          <w:p>
            <w:pPr>
              <w:adjustRightInd w:val="0"/>
              <w:snapToGrid w:val="0"/>
              <w:jc w:val="center"/>
              <w:rPr>
                <w:rFonts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94000</w:t>
            </w:r>
          </w:p>
        </w:tc>
        <w:tc>
          <w:tcPr>
            <w:tcW w:w="1075"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1.698</w:t>
            </w:r>
          </w:p>
        </w:tc>
        <w:tc>
          <w:tcPr>
            <w:tcW w:w="954" w:type="pct"/>
            <w:shd w:val="clear" w:color="auto" w:fill="auto"/>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0.4245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FFFFFF"/>
            <w:vAlign w:val="center"/>
          </w:tcPr>
          <w:p>
            <w:pPr>
              <w:pStyle w:val="142"/>
              <w:adjustRightInd w:val="0"/>
              <w:snapToGrid w:val="0"/>
              <w:rPr>
                <w:rFonts w:ascii="Times New Roman" w:hAnsi="Times New Roman" w:cs="Times New Roman"/>
                <w:color w:val="000000"/>
                <w:sz w:val="21"/>
                <w:szCs w:val="21"/>
              </w:rPr>
            </w:pPr>
          </w:p>
        </w:tc>
        <w:tc>
          <w:tcPr>
            <w:tcW w:w="999" w:type="pct"/>
            <w:vMerge w:val="continue"/>
            <w:shd w:val="clear" w:color="auto" w:fill="FFFFFF"/>
            <w:vAlign w:val="center"/>
          </w:tcPr>
          <w:p>
            <w:pPr>
              <w:adjustRightInd w:val="0"/>
              <w:snapToGrid w:val="0"/>
              <w:jc w:val="center"/>
              <w:rPr>
                <w:rFonts w:eastAsia="宋体"/>
                <w:color w:val="000000"/>
                <w:sz w:val="21"/>
                <w:szCs w:val="21"/>
              </w:rPr>
            </w:pPr>
          </w:p>
        </w:tc>
        <w:tc>
          <w:tcPr>
            <w:tcW w:w="1075"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049" w:type="pct"/>
            <w:shd w:val="clear" w:color="auto" w:fill="auto"/>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0.783</w:t>
            </w:r>
          </w:p>
        </w:tc>
        <w:tc>
          <w:tcPr>
            <w:tcW w:w="954" w:type="pct"/>
            <w:shd w:val="clear" w:color="auto" w:fill="auto"/>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0.19575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restart"/>
            <w:shd w:val="clear" w:color="auto" w:fill="FFFFFF"/>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9</w:t>
            </w:r>
            <w:r>
              <w:rPr>
                <w:rFonts w:hint="eastAsia" w:ascii="Times New Roman" w:hAnsi="Times New Roman" w:cs="Times New Roman"/>
                <w:color w:val="000000"/>
                <w:sz w:val="21"/>
                <w:szCs w:val="21"/>
              </w:rPr>
              <w:t>#排气筒</w:t>
            </w:r>
          </w:p>
        </w:tc>
        <w:tc>
          <w:tcPr>
            <w:tcW w:w="999" w:type="pct"/>
            <w:vMerge w:val="restart"/>
            <w:shd w:val="clear" w:color="auto" w:fill="FFFFFF"/>
            <w:vAlign w:val="center"/>
          </w:tcPr>
          <w:p>
            <w:pPr>
              <w:adjustRightInd w:val="0"/>
              <w:snapToGrid w:val="0"/>
              <w:jc w:val="center"/>
              <w:rPr>
                <w:rFonts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90000</w:t>
            </w:r>
          </w:p>
        </w:tc>
        <w:tc>
          <w:tcPr>
            <w:tcW w:w="1075"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1.671</w:t>
            </w:r>
          </w:p>
        </w:tc>
        <w:tc>
          <w:tcPr>
            <w:tcW w:w="954" w:type="pct"/>
            <w:shd w:val="clear" w:color="auto" w:fill="auto"/>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0.41775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FFFFFF"/>
            <w:vAlign w:val="center"/>
          </w:tcPr>
          <w:p>
            <w:pPr>
              <w:pStyle w:val="142"/>
              <w:adjustRightInd w:val="0"/>
              <w:snapToGrid w:val="0"/>
              <w:rPr>
                <w:rFonts w:ascii="Times New Roman" w:hAnsi="Times New Roman" w:cs="Times New Roman"/>
                <w:color w:val="000000"/>
                <w:sz w:val="21"/>
                <w:szCs w:val="21"/>
              </w:rPr>
            </w:pPr>
          </w:p>
        </w:tc>
        <w:tc>
          <w:tcPr>
            <w:tcW w:w="999" w:type="pct"/>
            <w:vMerge w:val="continue"/>
            <w:shd w:val="clear" w:color="auto" w:fill="FFFFFF"/>
            <w:vAlign w:val="center"/>
          </w:tcPr>
          <w:p>
            <w:pPr>
              <w:adjustRightInd w:val="0"/>
              <w:snapToGrid w:val="0"/>
              <w:jc w:val="center"/>
              <w:rPr>
                <w:rFonts w:eastAsia="宋体"/>
                <w:color w:val="000000"/>
                <w:sz w:val="21"/>
                <w:szCs w:val="21"/>
              </w:rPr>
            </w:pPr>
          </w:p>
        </w:tc>
        <w:tc>
          <w:tcPr>
            <w:tcW w:w="1075"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049" w:type="pct"/>
            <w:shd w:val="clear" w:color="auto" w:fill="auto"/>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1.147</w:t>
            </w:r>
          </w:p>
        </w:tc>
        <w:tc>
          <w:tcPr>
            <w:tcW w:w="954" w:type="pct"/>
            <w:shd w:val="clear" w:color="auto" w:fill="auto"/>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0.28675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FFFFFF"/>
            <w:vAlign w:val="center"/>
          </w:tcPr>
          <w:p>
            <w:pPr>
              <w:pStyle w:val="142"/>
              <w:adjustRightInd w:val="0"/>
              <w:snapToGrid w:val="0"/>
              <w:rPr>
                <w:rFonts w:ascii="Times New Roman" w:hAnsi="Times New Roman" w:cs="Times New Roman"/>
                <w:color w:val="000000"/>
                <w:sz w:val="21"/>
                <w:szCs w:val="21"/>
              </w:rPr>
            </w:pPr>
          </w:p>
        </w:tc>
        <w:tc>
          <w:tcPr>
            <w:tcW w:w="999" w:type="pct"/>
            <w:vMerge w:val="continue"/>
            <w:shd w:val="clear" w:color="auto" w:fill="FFFFFF"/>
            <w:vAlign w:val="center"/>
          </w:tcPr>
          <w:p>
            <w:pPr>
              <w:adjustRightInd w:val="0"/>
              <w:snapToGrid w:val="0"/>
              <w:jc w:val="center"/>
              <w:rPr>
                <w:rFonts w:eastAsia="宋体"/>
                <w:color w:val="000000"/>
                <w:sz w:val="21"/>
                <w:szCs w:val="21"/>
              </w:rPr>
            </w:pPr>
          </w:p>
        </w:tc>
        <w:tc>
          <w:tcPr>
            <w:tcW w:w="1075" w:type="pct"/>
            <w:shd w:val="clear" w:color="auto" w:fill="FFFFFF"/>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甲醛</w:t>
            </w:r>
          </w:p>
        </w:tc>
        <w:tc>
          <w:tcPr>
            <w:tcW w:w="1049" w:type="pct"/>
            <w:shd w:val="clear" w:color="auto" w:fill="auto"/>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0.237</w:t>
            </w:r>
          </w:p>
        </w:tc>
        <w:tc>
          <w:tcPr>
            <w:tcW w:w="954" w:type="pct"/>
            <w:shd w:val="clear" w:color="auto" w:fill="auto"/>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0.05925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restart"/>
            <w:shd w:val="clear" w:color="auto" w:fill="FFFFFF"/>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11</w:t>
            </w:r>
            <w:r>
              <w:rPr>
                <w:rFonts w:hint="eastAsia" w:ascii="Times New Roman" w:hAnsi="Times New Roman" w:cs="Times New Roman"/>
                <w:color w:val="000000"/>
                <w:sz w:val="21"/>
                <w:szCs w:val="21"/>
              </w:rPr>
              <w:t>#排气筒</w:t>
            </w:r>
          </w:p>
        </w:tc>
        <w:tc>
          <w:tcPr>
            <w:tcW w:w="999" w:type="pct"/>
            <w:vMerge w:val="restart"/>
            <w:shd w:val="clear" w:color="auto" w:fill="FFFFFF"/>
            <w:vAlign w:val="center"/>
          </w:tcPr>
          <w:p>
            <w:pPr>
              <w:adjustRightInd w:val="0"/>
              <w:snapToGrid w:val="0"/>
              <w:jc w:val="center"/>
              <w:rPr>
                <w:rFonts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25000</w:t>
            </w:r>
          </w:p>
        </w:tc>
        <w:tc>
          <w:tcPr>
            <w:tcW w:w="1075"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0.031</w:t>
            </w:r>
          </w:p>
        </w:tc>
        <w:tc>
          <w:tcPr>
            <w:tcW w:w="954" w:type="pct"/>
            <w:shd w:val="clear" w:color="auto" w:fill="auto"/>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0.00775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FFFFFF"/>
            <w:vAlign w:val="center"/>
          </w:tcPr>
          <w:p>
            <w:pPr>
              <w:pStyle w:val="142"/>
              <w:adjustRightInd w:val="0"/>
              <w:snapToGrid w:val="0"/>
              <w:rPr>
                <w:rFonts w:ascii="Times New Roman" w:hAnsi="Times New Roman" w:cs="Times New Roman"/>
                <w:color w:val="000000"/>
                <w:sz w:val="21"/>
                <w:szCs w:val="21"/>
              </w:rPr>
            </w:pPr>
          </w:p>
        </w:tc>
        <w:tc>
          <w:tcPr>
            <w:tcW w:w="999" w:type="pct"/>
            <w:vMerge w:val="continue"/>
            <w:shd w:val="clear" w:color="auto" w:fill="FFFFFF"/>
            <w:vAlign w:val="center"/>
          </w:tcPr>
          <w:p>
            <w:pPr>
              <w:adjustRightInd w:val="0"/>
              <w:snapToGrid w:val="0"/>
              <w:jc w:val="center"/>
              <w:rPr>
                <w:rFonts w:eastAsia="宋体"/>
                <w:color w:val="000000"/>
                <w:sz w:val="21"/>
                <w:szCs w:val="21"/>
              </w:rPr>
            </w:pPr>
          </w:p>
        </w:tc>
        <w:tc>
          <w:tcPr>
            <w:tcW w:w="1075" w:type="pct"/>
            <w:shd w:val="clear" w:color="auto" w:fill="FFFFFF"/>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049" w:type="pct"/>
            <w:shd w:val="clear" w:color="auto" w:fill="auto"/>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0.059</w:t>
            </w:r>
          </w:p>
        </w:tc>
        <w:tc>
          <w:tcPr>
            <w:tcW w:w="954" w:type="pct"/>
            <w:shd w:val="clear" w:color="auto" w:fill="auto"/>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0.01475</w:t>
            </w:r>
          </w:p>
        </w:tc>
      </w:tr>
    </w:tbl>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eastAsia="宋体"/>
          <w:color w:val="000000" w:themeColor="text1"/>
          <w14:textFill>
            <w14:solidFill>
              <w14:schemeClr w14:val="tx1"/>
            </w14:solidFill>
          </w14:textFill>
        </w:rPr>
        <w:t>综上，</w:t>
      </w:r>
      <w:r>
        <w:rPr>
          <w:rFonts w:hint="eastAsia" w:eastAsia="宋体"/>
          <w:color w:val="000000" w:themeColor="text1"/>
          <w14:textFill>
            <w14:solidFill>
              <w14:schemeClr w14:val="tx1"/>
            </w14:solidFill>
          </w14:textFill>
        </w:rPr>
        <w:t>1#排气筒产生的颗粒物泄漏源强为</w:t>
      </w:r>
      <w:r>
        <w:rPr>
          <w:rFonts w:hint="eastAsia" w:eastAsia="宋体"/>
          <w:color w:val="000000" w:themeColor="text1"/>
          <w:lang w:val="en-US" w:eastAsia="zh-CN"/>
          <w14:textFill>
            <w14:solidFill>
              <w14:schemeClr w14:val="tx1"/>
            </w14:solidFill>
          </w14:textFill>
        </w:rPr>
        <w:t>0.360</w:t>
      </w:r>
      <w:r>
        <w:rPr>
          <w:rFonts w:hint="eastAsia" w:eastAsia="宋体"/>
          <w:color w:val="000000" w:themeColor="text1"/>
          <w14:textFill>
            <w14:solidFill>
              <w14:schemeClr w14:val="tx1"/>
            </w14:solidFill>
          </w14:textFill>
        </w:rPr>
        <w:t>kg/h，2#排气筒产生的颗粒物泄漏源强分别为</w:t>
      </w:r>
      <w:r>
        <w:rPr>
          <w:rFonts w:hint="eastAsia" w:eastAsia="宋体"/>
          <w:color w:val="000000" w:themeColor="text1"/>
          <w:lang w:val="en-US" w:eastAsia="zh-CN"/>
          <w14:textFill>
            <w14:solidFill>
              <w14:schemeClr w14:val="tx1"/>
            </w14:solidFill>
          </w14:textFill>
        </w:rPr>
        <w:t>0.540</w:t>
      </w:r>
      <w:r>
        <w:rPr>
          <w:rFonts w:hint="eastAsia" w:eastAsia="宋体"/>
          <w:color w:val="000000" w:themeColor="text1"/>
          <w14:textFill>
            <w14:solidFill>
              <w14:schemeClr w14:val="tx1"/>
            </w14:solidFill>
          </w14:textFill>
        </w:rPr>
        <w:t>kg/h，</w:t>
      </w:r>
      <w:r>
        <w:rPr>
          <w:rFonts w:hint="eastAsia" w:eastAsia="宋体"/>
          <w:color w:val="000000" w:themeColor="text1"/>
          <w:lang w:val="en-US" w:eastAsia="zh-CN"/>
          <w14:textFill>
            <w14:solidFill>
              <w14:schemeClr w14:val="tx1"/>
            </w14:solidFill>
          </w14:textFill>
        </w:rPr>
        <w:t>3</w:t>
      </w:r>
      <w:r>
        <w:rPr>
          <w:rFonts w:hint="eastAsia" w:eastAsia="宋体"/>
          <w:color w:val="000000" w:themeColor="text1"/>
          <w14:textFill>
            <w14:solidFill>
              <w14:schemeClr w14:val="tx1"/>
            </w14:solidFill>
          </w14:textFill>
        </w:rPr>
        <w:t>#排气筒产生的颗粒物泄漏源强为</w:t>
      </w:r>
      <w:r>
        <w:rPr>
          <w:rFonts w:hint="eastAsia" w:eastAsia="宋体"/>
          <w:color w:val="000000" w:themeColor="text1"/>
          <w:lang w:val="en-US" w:eastAsia="zh-CN"/>
          <w14:textFill>
            <w14:solidFill>
              <w14:schemeClr w14:val="tx1"/>
            </w14:solidFill>
          </w14:textFill>
        </w:rPr>
        <w:t>0.441</w:t>
      </w:r>
      <w:r>
        <w:rPr>
          <w:rFonts w:hint="eastAsia" w:eastAsia="宋体"/>
          <w:color w:val="000000" w:themeColor="text1"/>
          <w14:textFill>
            <w14:solidFill>
              <w14:schemeClr w14:val="tx1"/>
            </w14:solidFill>
          </w14:textFill>
        </w:rPr>
        <w:t>kg/h，</w:t>
      </w:r>
      <w:r>
        <w:rPr>
          <w:rFonts w:hint="eastAsia" w:eastAsia="宋体"/>
          <w:color w:val="000000" w:themeColor="text1"/>
          <w:lang w:val="en-US" w:eastAsia="zh-CN"/>
          <w14:textFill>
            <w14:solidFill>
              <w14:schemeClr w14:val="tx1"/>
            </w14:solidFill>
          </w14:textFill>
        </w:rPr>
        <w:t>4</w:t>
      </w:r>
      <w:r>
        <w:rPr>
          <w:rFonts w:hint="eastAsia" w:eastAsia="宋体"/>
          <w:color w:val="000000" w:themeColor="text1"/>
          <w14:textFill>
            <w14:solidFill>
              <w14:schemeClr w14:val="tx1"/>
            </w14:solidFill>
          </w14:textFill>
        </w:rPr>
        <w:t>#排气筒产生的颗粒物泄漏源强为</w:t>
      </w:r>
      <w:r>
        <w:rPr>
          <w:rFonts w:hint="eastAsia" w:eastAsia="宋体"/>
          <w:color w:val="000000" w:themeColor="text1"/>
          <w:lang w:val="en-US" w:eastAsia="zh-CN"/>
          <w14:textFill>
            <w14:solidFill>
              <w14:schemeClr w14:val="tx1"/>
            </w14:solidFill>
          </w14:textFill>
        </w:rPr>
        <w:t>0.075</w:t>
      </w:r>
      <w:r>
        <w:rPr>
          <w:rFonts w:hint="eastAsia" w:eastAsia="宋体"/>
          <w:color w:val="000000" w:themeColor="text1"/>
          <w14:textFill>
            <w14:solidFill>
              <w14:schemeClr w14:val="tx1"/>
            </w14:solidFill>
          </w14:textFill>
        </w:rPr>
        <w:t>kg/h，</w:t>
      </w:r>
      <w:r>
        <w:rPr>
          <w:rFonts w:hint="eastAsia" w:eastAsia="宋体"/>
          <w:color w:val="000000" w:themeColor="text1"/>
          <w:lang w:val="en-US" w:eastAsia="zh-CN"/>
          <w14:textFill>
            <w14:solidFill>
              <w14:schemeClr w14:val="tx1"/>
            </w14:solidFill>
          </w14:textFill>
        </w:rPr>
        <w:t>5</w:t>
      </w:r>
      <w:r>
        <w:rPr>
          <w:rFonts w:hint="eastAsia" w:eastAsia="宋体"/>
          <w:color w:val="000000" w:themeColor="text1"/>
          <w14:textFill>
            <w14:solidFill>
              <w14:schemeClr w14:val="tx1"/>
            </w14:solidFill>
          </w14:textFill>
        </w:rPr>
        <w:t>#排气筒产生的颗粒物泄漏源强为</w:t>
      </w:r>
      <w:r>
        <w:rPr>
          <w:rFonts w:hint="eastAsia" w:eastAsia="宋体"/>
          <w:color w:val="000000" w:themeColor="text1"/>
          <w:lang w:val="en-US" w:eastAsia="zh-CN"/>
          <w14:textFill>
            <w14:solidFill>
              <w14:schemeClr w14:val="tx1"/>
            </w14:solidFill>
          </w14:textFill>
        </w:rPr>
        <w:t>0.074</w:t>
      </w:r>
      <w:r>
        <w:rPr>
          <w:rFonts w:hint="eastAsia" w:eastAsia="宋体"/>
          <w:color w:val="000000" w:themeColor="text1"/>
          <w14:textFill>
            <w14:solidFill>
              <w14:schemeClr w14:val="tx1"/>
            </w14:solidFill>
          </w14:textFill>
        </w:rPr>
        <w:t>kg/h</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6</w:t>
      </w:r>
      <w:r>
        <w:rPr>
          <w:rFonts w:hint="eastAsia" w:eastAsia="宋体"/>
          <w:color w:val="000000" w:themeColor="text1"/>
          <w14:textFill>
            <w14:solidFill>
              <w14:schemeClr w14:val="tx1"/>
            </w14:solidFill>
          </w14:textFill>
        </w:rPr>
        <w:t>#排气筒产生的</w:t>
      </w:r>
      <w:r>
        <w:rPr>
          <w:rFonts w:hint="eastAsia" w:eastAsia="宋体"/>
          <w:color w:val="000000" w:themeColor="text1"/>
          <w:lang w:val="en-US" w:eastAsia="zh-CN"/>
          <w14:textFill>
            <w14:solidFill>
              <w14:schemeClr w14:val="tx1"/>
            </w14:solidFill>
          </w14:textFill>
        </w:rPr>
        <w:t>颗粒物、T</w:t>
      </w:r>
      <w:r>
        <w:rPr>
          <w:rFonts w:hint="eastAsia" w:eastAsia="宋体"/>
          <w:color w:val="000000" w:themeColor="text1"/>
          <w14:textFill>
            <w14:solidFill>
              <w14:schemeClr w14:val="tx1"/>
            </w14:solidFill>
          </w14:textFill>
        </w:rPr>
        <w:t>VOC的泄漏源强为</w:t>
      </w:r>
      <w:r>
        <w:rPr>
          <w:rFonts w:hint="eastAsia" w:eastAsia="宋体"/>
          <w:color w:val="000000" w:themeColor="text1"/>
          <w:lang w:val="en-US" w:eastAsia="zh-CN"/>
          <w14:textFill>
            <w14:solidFill>
              <w14:schemeClr w14:val="tx1"/>
            </w14:solidFill>
          </w14:textFill>
        </w:rPr>
        <w:t>1.807、1.029</w:t>
      </w:r>
      <w:r>
        <w:rPr>
          <w:rFonts w:hint="eastAsia" w:eastAsia="宋体"/>
          <w:color w:val="000000" w:themeColor="text1"/>
          <w14:textFill>
            <w14:solidFill>
              <w14:schemeClr w14:val="tx1"/>
            </w14:solidFill>
          </w14:textFill>
        </w:rPr>
        <w:t>kg/h</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7</w:t>
      </w:r>
      <w:r>
        <w:rPr>
          <w:rFonts w:hint="eastAsia" w:eastAsia="宋体"/>
          <w:color w:val="000000" w:themeColor="text1"/>
          <w14:textFill>
            <w14:solidFill>
              <w14:schemeClr w14:val="tx1"/>
            </w14:solidFill>
          </w14:textFill>
        </w:rPr>
        <w:t>#排气筒产生的颗粒物、</w:t>
      </w:r>
      <w:r>
        <w:rPr>
          <w:rFonts w:hint="eastAsia" w:eastAsia="宋体"/>
          <w:color w:val="000000" w:themeColor="text1"/>
          <w:lang w:val="en-US" w:eastAsia="zh-CN"/>
          <w14:textFill>
            <w14:solidFill>
              <w14:schemeClr w14:val="tx1"/>
            </w14:solidFill>
          </w14:textFill>
        </w:rPr>
        <w:t>T</w:t>
      </w:r>
      <w:r>
        <w:rPr>
          <w:rFonts w:hint="eastAsia" w:eastAsia="宋体"/>
          <w:color w:val="000000" w:themeColor="text1"/>
          <w14:textFill>
            <w14:solidFill>
              <w14:schemeClr w14:val="tx1"/>
            </w14:solidFill>
          </w14:textFill>
        </w:rPr>
        <w:t>VOC的泄漏源强为</w:t>
      </w:r>
      <w:r>
        <w:rPr>
          <w:rFonts w:hint="eastAsia" w:eastAsia="宋体"/>
          <w:color w:val="000000" w:themeColor="text1"/>
          <w:lang w:val="en-US" w:eastAsia="zh-CN"/>
          <w14:textFill>
            <w14:solidFill>
              <w14:schemeClr w14:val="tx1"/>
            </w14:solidFill>
          </w14:textFill>
        </w:rPr>
        <w:t>1.789、1.18</w:t>
      </w:r>
      <w:r>
        <w:rPr>
          <w:rFonts w:hint="eastAsia" w:eastAsia="宋体"/>
          <w:color w:val="000000" w:themeColor="text1"/>
          <w14:textFill>
            <w14:solidFill>
              <w14:schemeClr w14:val="tx1"/>
            </w14:solidFill>
          </w14:textFill>
        </w:rPr>
        <w:t>kg/h</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8</w:t>
      </w:r>
      <w:r>
        <w:rPr>
          <w:rFonts w:hint="eastAsia" w:eastAsia="宋体"/>
          <w:color w:val="000000" w:themeColor="text1"/>
          <w14:textFill>
            <w14:solidFill>
              <w14:schemeClr w14:val="tx1"/>
            </w14:solidFill>
          </w14:textFill>
        </w:rPr>
        <w:t>#排气筒产生的颗粒物、</w:t>
      </w:r>
      <w:r>
        <w:rPr>
          <w:rFonts w:hint="eastAsia" w:eastAsia="宋体"/>
          <w:color w:val="000000" w:themeColor="text1"/>
          <w:lang w:val="en-US" w:eastAsia="zh-CN"/>
          <w14:textFill>
            <w14:solidFill>
              <w14:schemeClr w14:val="tx1"/>
            </w14:solidFill>
          </w14:textFill>
        </w:rPr>
        <w:t>T</w:t>
      </w:r>
      <w:r>
        <w:rPr>
          <w:rFonts w:hint="eastAsia" w:eastAsia="宋体"/>
          <w:color w:val="000000" w:themeColor="text1"/>
          <w14:textFill>
            <w14:solidFill>
              <w14:schemeClr w14:val="tx1"/>
            </w14:solidFill>
          </w14:textFill>
        </w:rPr>
        <w:t>VOC的泄漏源强为</w:t>
      </w:r>
      <w:r>
        <w:rPr>
          <w:rFonts w:hint="eastAsia" w:eastAsia="宋体"/>
          <w:color w:val="000000" w:themeColor="text1"/>
          <w:lang w:val="en-US" w:eastAsia="zh-CN"/>
          <w14:textFill>
            <w14:solidFill>
              <w14:schemeClr w14:val="tx1"/>
            </w14:solidFill>
          </w14:textFill>
        </w:rPr>
        <w:t>1.698、0.783</w:t>
      </w:r>
      <w:r>
        <w:rPr>
          <w:rFonts w:hint="eastAsia" w:eastAsia="宋体"/>
          <w:color w:val="000000" w:themeColor="text1"/>
          <w14:textFill>
            <w14:solidFill>
              <w14:schemeClr w14:val="tx1"/>
            </w14:solidFill>
          </w14:textFill>
        </w:rPr>
        <w:t>kg/h</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9</w:t>
      </w:r>
      <w:r>
        <w:rPr>
          <w:rFonts w:hint="eastAsia" w:eastAsia="宋体"/>
          <w:color w:val="000000" w:themeColor="text1"/>
          <w14:textFill>
            <w14:solidFill>
              <w14:schemeClr w14:val="tx1"/>
            </w14:solidFill>
          </w14:textFill>
        </w:rPr>
        <w:t>#排气筒产生的颗粒物、</w:t>
      </w:r>
      <w:r>
        <w:rPr>
          <w:rFonts w:hint="eastAsia" w:eastAsia="宋体"/>
          <w:color w:val="000000" w:themeColor="text1"/>
          <w:lang w:val="en-US" w:eastAsia="zh-CN"/>
          <w14:textFill>
            <w14:solidFill>
              <w14:schemeClr w14:val="tx1"/>
            </w14:solidFill>
          </w14:textFill>
        </w:rPr>
        <w:t>T</w:t>
      </w:r>
      <w:r>
        <w:rPr>
          <w:rFonts w:hint="eastAsia" w:eastAsia="宋体"/>
          <w:color w:val="000000" w:themeColor="text1"/>
          <w14:textFill>
            <w14:solidFill>
              <w14:schemeClr w14:val="tx1"/>
            </w14:solidFill>
          </w14:textFill>
        </w:rPr>
        <w:t>VOC</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甲醛</w:t>
      </w:r>
      <w:r>
        <w:rPr>
          <w:rFonts w:hint="eastAsia" w:eastAsia="宋体"/>
          <w:color w:val="000000" w:themeColor="text1"/>
          <w14:textFill>
            <w14:solidFill>
              <w14:schemeClr w14:val="tx1"/>
            </w14:solidFill>
          </w14:textFill>
        </w:rPr>
        <w:t>的泄漏源强为</w:t>
      </w:r>
      <w:r>
        <w:rPr>
          <w:rFonts w:hint="eastAsia" w:eastAsia="宋体"/>
          <w:color w:val="000000" w:themeColor="text1"/>
          <w:lang w:val="en-US" w:eastAsia="zh-CN"/>
          <w14:textFill>
            <w14:solidFill>
              <w14:schemeClr w14:val="tx1"/>
            </w14:solidFill>
          </w14:textFill>
        </w:rPr>
        <w:t>1.671、1.147、0.237</w:t>
      </w:r>
      <w:r>
        <w:rPr>
          <w:rFonts w:hint="eastAsia" w:eastAsia="宋体"/>
          <w:color w:val="000000" w:themeColor="text1"/>
          <w14:textFill>
            <w14:solidFill>
              <w14:schemeClr w14:val="tx1"/>
            </w14:solidFill>
          </w14:textFill>
        </w:rPr>
        <w:t>kg/h</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11</w:t>
      </w:r>
      <w:r>
        <w:rPr>
          <w:rFonts w:hint="eastAsia" w:eastAsia="宋体"/>
          <w:color w:val="000000" w:themeColor="text1"/>
          <w14:textFill>
            <w14:solidFill>
              <w14:schemeClr w14:val="tx1"/>
            </w14:solidFill>
          </w14:textFill>
        </w:rPr>
        <w:t>#排气筒产生的颗粒物、</w:t>
      </w:r>
      <w:r>
        <w:rPr>
          <w:rFonts w:hint="eastAsia" w:eastAsia="宋体"/>
          <w:color w:val="000000" w:themeColor="text1"/>
          <w:lang w:val="en-US" w:eastAsia="zh-CN"/>
          <w14:textFill>
            <w14:solidFill>
              <w14:schemeClr w14:val="tx1"/>
            </w14:solidFill>
          </w14:textFill>
        </w:rPr>
        <w:t>T</w:t>
      </w:r>
      <w:r>
        <w:rPr>
          <w:rFonts w:hint="eastAsia" w:eastAsia="宋体"/>
          <w:color w:val="000000" w:themeColor="text1"/>
          <w14:textFill>
            <w14:solidFill>
              <w14:schemeClr w14:val="tx1"/>
            </w14:solidFill>
          </w14:textFill>
        </w:rPr>
        <w:t>VOC的泄漏源强为</w:t>
      </w:r>
      <w:r>
        <w:rPr>
          <w:rFonts w:hint="eastAsia" w:eastAsia="宋体"/>
          <w:color w:val="000000" w:themeColor="text1"/>
          <w:lang w:val="en-US" w:eastAsia="zh-CN"/>
          <w14:textFill>
            <w14:solidFill>
              <w14:schemeClr w14:val="tx1"/>
            </w14:solidFill>
          </w14:textFill>
        </w:rPr>
        <w:t>0.031、0.059</w:t>
      </w:r>
      <w:r>
        <w:rPr>
          <w:rFonts w:hint="eastAsia" w:eastAsia="宋体"/>
          <w:color w:val="000000" w:themeColor="text1"/>
          <w14:textFill>
            <w14:solidFill>
              <w14:schemeClr w14:val="tx1"/>
            </w14:solidFill>
          </w14:textFill>
        </w:rPr>
        <w:t>kg/h</w:t>
      </w:r>
      <w:r>
        <w:rPr>
          <w:rFonts w:eastAsia="宋体"/>
          <w:color w:val="000000" w:themeColor="text1"/>
          <w14:textFill>
            <w14:solidFill>
              <w14:schemeClr w14:val="tx1"/>
            </w14:solidFill>
          </w14:textFill>
        </w:rPr>
        <w:t>。</w:t>
      </w:r>
    </w:p>
    <w:p>
      <w:pPr>
        <w:pStyle w:val="4"/>
        <w:adjustRightInd w:val="0"/>
        <w:snapToGrid w:val="0"/>
        <w:spacing w:line="500" w:lineRule="exact"/>
        <w:rPr>
          <w:rFonts w:eastAsia="宋体"/>
          <w:color w:val="000000" w:themeColor="text1"/>
          <w:sz w:val="24"/>
          <w:szCs w:val="24"/>
          <w14:textFill>
            <w14:solidFill>
              <w14:schemeClr w14:val="tx1"/>
            </w14:solidFill>
          </w14:textFill>
        </w:rPr>
      </w:pPr>
      <w:bookmarkStart w:id="209" w:name="_Toc24510"/>
      <w:bookmarkStart w:id="210" w:name="_Toc10865"/>
      <w:bookmarkStart w:id="211" w:name="_Toc19941"/>
      <w:bookmarkStart w:id="212" w:name="_Toc5652"/>
      <w:r>
        <w:rPr>
          <w:rFonts w:eastAsia="宋体"/>
          <w:color w:val="000000" w:themeColor="text1"/>
          <w:sz w:val="24"/>
          <w:szCs w:val="24"/>
          <w14:textFill>
            <w14:solidFill>
              <w14:schemeClr w14:val="tx1"/>
            </w14:solidFill>
          </w14:textFill>
        </w:rPr>
        <w:t>4.3 释放环境风险物质的扩散途径、涉及环境风险防控与应急措施、应急资源情况分析</w:t>
      </w:r>
      <w:bookmarkEnd w:id="209"/>
      <w:bookmarkEnd w:id="210"/>
      <w:bookmarkEnd w:id="211"/>
      <w:bookmarkEnd w:id="212"/>
    </w:p>
    <w:p>
      <w:pPr>
        <w:pStyle w:val="2"/>
        <w:adjustRightInd w:val="0"/>
        <w:snapToGrid w:val="0"/>
        <w:spacing w:line="500" w:lineRule="exact"/>
        <w:jc w:val="left"/>
        <w:rPr>
          <w:rFonts w:eastAsia="宋体"/>
          <w:color w:val="000000" w:themeColor="text1"/>
          <w14:textFill>
            <w14:solidFill>
              <w14:schemeClr w14:val="tx1"/>
            </w14:solidFill>
          </w14:textFill>
        </w:rPr>
      </w:pPr>
      <w:bookmarkStart w:id="213" w:name="_Toc14674"/>
      <w:bookmarkStart w:id="214" w:name="_Toc20607"/>
      <w:bookmarkStart w:id="215" w:name="_Toc1477"/>
      <w:bookmarkStart w:id="216" w:name="_Toc641"/>
      <w:r>
        <w:rPr>
          <w:rFonts w:eastAsia="宋体"/>
          <w:color w:val="000000" w:themeColor="text1"/>
          <w14:textFill>
            <w14:solidFill>
              <w14:schemeClr w14:val="tx1"/>
            </w14:solidFill>
          </w14:textFill>
        </w:rPr>
        <w:t>4.3.1事件情景1</w:t>
      </w:r>
      <w:bookmarkEnd w:id="213"/>
      <w:bookmarkEnd w:id="214"/>
      <w:bookmarkEnd w:id="215"/>
      <w:bookmarkEnd w:id="216"/>
    </w:p>
    <w:p>
      <w:pPr>
        <w:adjustRightInd w:val="0"/>
        <w:snapToGrid w:val="0"/>
        <w:spacing w:line="500" w:lineRule="exact"/>
        <w:ind w:firstLine="482" w:firstLineChars="200"/>
        <w:rPr>
          <w:rFonts w:eastAsia="宋体"/>
          <w:b/>
          <w:color w:val="000000" w:themeColor="text1"/>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w:t>
      </w:r>
      <w:r>
        <w:rPr>
          <w:rFonts w:eastAsia="宋体"/>
          <w:b/>
          <w:color w:val="000000" w:themeColor="text1"/>
          <w14:textFill>
            <w14:solidFill>
              <w14:schemeClr w14:val="tx1"/>
            </w14:solidFill>
          </w14:textFill>
        </w:rPr>
        <w:t>风险物质的扩散途径</w:t>
      </w:r>
    </w:p>
    <w:p>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火灾爆炸对周边以热辐射及冲击波形式产</w:t>
      </w:r>
      <w:r>
        <w:rPr>
          <w:rFonts w:eastAsia="宋体"/>
          <w:color w:val="000000" w:themeColor="text1"/>
          <w14:textFill>
            <w14:solidFill>
              <w14:schemeClr w14:val="tx1"/>
            </w14:solidFill>
          </w14:textFill>
        </w:rPr>
        <w:t>生影响，燃烧过程中会产生CO</w:t>
      </w:r>
      <w:r>
        <w:rPr>
          <w:rFonts w:hint="eastAsia" w:eastAsia="宋体"/>
          <w:color w:val="000000" w:themeColor="text1"/>
          <w14:textFill>
            <w14:solidFill>
              <w14:schemeClr w14:val="tx1"/>
            </w14:solidFill>
          </w14:textFill>
        </w:rPr>
        <w:t>等</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产生大量烟尘，</w:t>
      </w:r>
      <w:r>
        <w:rPr>
          <w:rFonts w:eastAsia="宋体"/>
          <w:color w:val="000000" w:themeColor="text1"/>
          <w14:textFill>
            <w14:solidFill>
              <w14:schemeClr w14:val="tx1"/>
            </w14:solidFill>
          </w14:textFill>
        </w:rPr>
        <w:t>对大气环境有一定影响。</w:t>
      </w:r>
    </w:p>
    <w:p>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adjustRightInd w:val="0"/>
        <w:snapToGrid w:val="0"/>
        <w:spacing w:line="500" w:lineRule="exact"/>
        <w:ind w:firstLine="480" w:firstLineChars="200"/>
        <w:rPr>
          <w:rFonts w:eastAsiaTheme="minorEastAsia"/>
        </w:rPr>
      </w:pPr>
      <w:r>
        <w:rPr>
          <w:rFonts w:eastAsiaTheme="minorEastAsia"/>
          <w:color w:val="000000" w:themeColor="text1"/>
          <w14:textFill>
            <w14:solidFill>
              <w14:schemeClr w14:val="tx1"/>
            </w14:solidFill>
          </w14:textFill>
        </w:rPr>
        <w:t>①假如发现发生火情，最早发现者应立即报告当班调度或公司领导。公司领导接报后，立即通知公司各应急小组成员赶赴现场。</w:t>
      </w:r>
      <w:r>
        <w:rPr>
          <w:rFonts w:hint="eastAsia" w:eastAsiaTheme="minorEastAsia"/>
          <w:color w:val="000000" w:themeColor="text1"/>
          <w14:textFill>
            <w14:solidFill>
              <w14:schemeClr w14:val="tx1"/>
            </w14:solidFill>
          </w14:textFill>
        </w:rPr>
        <w:t>现场处置组</w:t>
      </w:r>
      <w:r>
        <w:rPr>
          <w:rFonts w:eastAsiaTheme="minorEastAsia"/>
          <w:color w:val="000000" w:themeColor="text1"/>
          <w14:textFill>
            <w14:solidFill>
              <w14:schemeClr w14:val="tx1"/>
            </w14:solidFill>
          </w14:textFill>
        </w:rPr>
        <w:t>成员到达现场后，进行火情侦查，确定有无人员被困，灭火前做好</w:t>
      </w:r>
      <w:r>
        <w:rPr>
          <w:rFonts w:hint="eastAsia" w:eastAsiaTheme="minorEastAsia"/>
          <w:color w:val="000000" w:themeColor="text1"/>
          <w14:textFill>
            <w14:solidFill>
              <w14:schemeClr w14:val="tx1"/>
            </w14:solidFill>
          </w14:textFill>
        </w:rPr>
        <w:t>关闭雨水闸控，开启事故应急池闸控</w:t>
      </w:r>
      <w:r>
        <w:rPr>
          <w:rFonts w:eastAsiaTheme="minorEastAsia"/>
          <w:color w:val="000000" w:themeColor="text1"/>
          <w14:textFill>
            <w14:solidFill>
              <w14:schemeClr w14:val="tx1"/>
            </w14:solidFill>
          </w14:textFill>
        </w:rPr>
        <w:t>工作。</w:t>
      </w:r>
      <w:r>
        <w:rPr>
          <w:rFonts w:hint="eastAsia" w:eastAsiaTheme="minorEastAsia"/>
          <w:color w:val="000000" w:themeColor="text1"/>
          <w14:textFill>
            <w14:solidFill>
              <w14:schemeClr w14:val="tx1"/>
            </w14:solidFill>
          </w14:textFill>
        </w:rPr>
        <w:t>现场处置组</w:t>
      </w:r>
      <w:r>
        <w:rPr>
          <w:rFonts w:eastAsiaTheme="minorEastAsia"/>
          <w:color w:val="000000" w:themeColor="text1"/>
          <w14:textFill>
            <w14:solidFill>
              <w14:schemeClr w14:val="tx1"/>
            </w14:solidFill>
          </w14:textFill>
        </w:rPr>
        <w:t>人员戴</w:t>
      </w:r>
      <w:r>
        <w:rPr>
          <w:rFonts w:hint="eastAsia" w:eastAsiaTheme="minorEastAsia"/>
          <w:color w:val="000000" w:themeColor="text1"/>
          <w14:textFill>
            <w14:solidFill>
              <w14:schemeClr w14:val="tx1"/>
            </w14:solidFill>
          </w14:textFill>
        </w:rPr>
        <w:t>防毒面具</w:t>
      </w:r>
      <w:r>
        <w:rPr>
          <w:rFonts w:eastAsiaTheme="minorEastAsia"/>
          <w:color w:val="000000" w:themeColor="text1"/>
          <w14:textFill>
            <w14:solidFill>
              <w14:schemeClr w14:val="tx1"/>
            </w14:solidFill>
          </w14:textFill>
        </w:rPr>
        <w:t>，戴安全防护眼镜，穿</w:t>
      </w:r>
      <w:r>
        <w:rPr>
          <w:rFonts w:hint="eastAsia" w:eastAsiaTheme="minorEastAsia"/>
          <w:color w:val="000000" w:themeColor="text1"/>
          <w14:textFill>
            <w14:solidFill>
              <w14:schemeClr w14:val="tx1"/>
            </w14:solidFill>
          </w14:textFill>
        </w:rPr>
        <w:t>消防服</w:t>
      </w:r>
      <w:r>
        <w:rPr>
          <w:rFonts w:eastAsiaTheme="minorEastAsia"/>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防护手套</w:t>
      </w:r>
      <w:r>
        <w:rPr>
          <w:rFonts w:eastAsiaTheme="minorEastAsia"/>
          <w:color w:val="000000" w:themeColor="text1"/>
          <w14:textFill>
            <w14:solidFill>
              <w14:schemeClr w14:val="tx1"/>
            </w14:solidFill>
          </w14:textFill>
        </w:rPr>
        <w:t>，使用生产现场配置的灭火设备，扑灭初期火灾；为防止火势蔓延，在保证生产安全情况下，关停生产设备，拉下电闸。</w:t>
      </w:r>
    </w:p>
    <w:p>
      <w:pPr>
        <w:adjustRightInd w:val="0"/>
        <w:snapToGrid w:val="0"/>
        <w:spacing w:line="500" w:lineRule="exact"/>
        <w:ind w:firstLine="480" w:firstLineChars="200"/>
        <w:rPr>
          <w:rFonts w:eastAsiaTheme="minorEastAsia"/>
        </w:rPr>
      </w:pPr>
      <w:r>
        <w:rPr>
          <w:rFonts w:eastAsiaTheme="minorEastAsia"/>
        </w:rPr>
        <w:t>②现场管理人员要立即指挥员工搬离火场附近的可燃物，避免火灾区域扩大。</w:t>
      </w:r>
      <w:r>
        <w:rPr>
          <w:rFonts w:hint="eastAsia" w:eastAsiaTheme="minorEastAsia"/>
        </w:rPr>
        <w:t>应急保障组</w:t>
      </w:r>
      <w:r>
        <w:rPr>
          <w:rFonts w:eastAsiaTheme="minorEastAsia"/>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adjustRightInd w:val="0"/>
        <w:snapToGrid w:val="0"/>
        <w:spacing w:line="500" w:lineRule="exact"/>
        <w:ind w:firstLine="480" w:firstLineChars="200"/>
        <w:rPr>
          <w:rFonts w:eastAsiaTheme="minorEastAsia"/>
        </w:rPr>
      </w:pPr>
      <w:r>
        <w:rPr>
          <w:rFonts w:eastAsiaTheme="minorEastAsia"/>
        </w:rPr>
        <w:t>③如火势有可能蔓延，提高预警级别，按本预案程序对周围单位和政府发出预警信息。一旦本公司力量不足以控制火势时，</w:t>
      </w:r>
      <w:r>
        <w:rPr>
          <w:rFonts w:hint="eastAsia" w:eastAsiaTheme="minorEastAsia"/>
        </w:rPr>
        <w:t>总经理</w:t>
      </w:r>
      <w:r>
        <w:rPr>
          <w:rFonts w:eastAsiaTheme="minorEastAsia"/>
        </w:rPr>
        <w:t>下令全公司全部停止，将所有人员疏散到厂区外安全地带，并进行隔离，严格限制出入，等待救援。当事件已经或可能对</w:t>
      </w:r>
      <w:r>
        <w:rPr>
          <w:rFonts w:hint="eastAsia" w:eastAsiaTheme="minorEastAsia"/>
        </w:rPr>
        <w:t>公司</w:t>
      </w:r>
      <w:r>
        <w:rPr>
          <w:rFonts w:eastAsiaTheme="minorEastAsia"/>
        </w:rPr>
        <w:t xml:space="preserve">外环境造成影响时，应经上级政府批准后由有权部门向环境突发事件可能影响的区域通报突发事件的情况，包括事件的产生、处理情况，对周围群众可能造成的影响，并给出合适的建议来确保周围群众的安全。 </w:t>
      </w:r>
    </w:p>
    <w:p>
      <w:pPr>
        <w:adjustRightInd w:val="0"/>
        <w:snapToGrid w:val="0"/>
        <w:spacing w:line="500" w:lineRule="exact"/>
        <w:ind w:firstLine="480" w:firstLineChars="200"/>
        <w:rPr>
          <w:rFonts w:eastAsiaTheme="minorEastAsia"/>
        </w:rPr>
      </w:pPr>
      <w:r>
        <w:rPr>
          <w:rFonts w:eastAsiaTheme="minorEastAsia"/>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adjustRightInd w:val="0"/>
        <w:snapToGrid w:val="0"/>
        <w:spacing w:line="500" w:lineRule="exact"/>
        <w:ind w:firstLine="480" w:firstLineChars="200"/>
        <w:rPr>
          <w:rFonts w:eastAsiaTheme="minorEastAsia"/>
        </w:rPr>
      </w:pPr>
      <w:r>
        <w:rPr>
          <w:rFonts w:eastAsiaTheme="minorEastAsia"/>
        </w:rPr>
        <w:t>⑤灭火过程产生的废物，如受污染的砂土等应收集送资质单位处置。</w:t>
      </w:r>
      <w:r>
        <w:rPr>
          <w:rFonts w:hint="eastAsia" w:eastAsiaTheme="minorEastAsia"/>
        </w:rPr>
        <w:t>消防水</w:t>
      </w:r>
      <w:r>
        <w:rPr>
          <w:rFonts w:eastAsiaTheme="minorEastAsia"/>
        </w:rPr>
        <w:t>经雨水管网</w:t>
      </w:r>
      <w:r>
        <w:rPr>
          <w:rFonts w:hint="eastAsia" w:eastAsiaTheme="minorEastAsia"/>
        </w:rPr>
        <w:t>排入</w:t>
      </w:r>
      <w:r>
        <w:rPr>
          <w:rFonts w:eastAsiaTheme="minorEastAsia"/>
        </w:rPr>
        <w:t>厂内事故应急池，再分批进行处置。</w:t>
      </w:r>
    </w:p>
    <w:p>
      <w:pPr>
        <w:spacing w:line="500" w:lineRule="exact"/>
        <w:ind w:firstLine="480" w:firstLineChars="200"/>
        <w:rPr>
          <w:color w:val="000000" w:themeColor="text1"/>
          <w14:textFill>
            <w14:solidFill>
              <w14:schemeClr w14:val="tx1"/>
            </w14:solidFill>
          </w14:textFill>
        </w:rPr>
      </w:pPr>
      <w:r>
        <w:rPr>
          <w:rFonts w:eastAsiaTheme="minorEastAsia"/>
        </w:rPr>
        <w:t>⑥灭火工作应采取“先控制、后消灭”的原则，集中力量切断火势蔓延途径，将火势控制在一定的范围内，防止火势向主生产区、主生产设备、易燃易爆物品、人员集中场所</w:t>
      </w:r>
      <w:r>
        <w:rPr>
          <w:rFonts w:eastAsiaTheme="minorEastAsia"/>
          <w:color w:val="000000" w:themeColor="text1"/>
          <w14:textFill>
            <w14:solidFill>
              <w14:schemeClr w14:val="tx1"/>
            </w14:solidFill>
          </w14:textFill>
        </w:rPr>
        <w:t>、重要建筑等蔓延。</w:t>
      </w:r>
    </w:p>
    <w:p>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adjustRightInd w:val="0"/>
        <w:snapToGrid w:val="0"/>
        <w:spacing w:line="500" w:lineRule="exact"/>
        <w:ind w:firstLine="480" w:firstLineChars="200"/>
        <w:rPr>
          <w:rFonts w:eastAsiaTheme="minorEastAsia"/>
        </w:rPr>
      </w:pPr>
      <w:bookmarkStart w:id="217" w:name="_Toc2270"/>
      <w:r>
        <w:rPr>
          <w:rFonts w:hint="eastAsia" w:eastAsiaTheme="minorEastAsia"/>
        </w:rPr>
        <w:t>防毒面具</w:t>
      </w:r>
      <w:r>
        <w:rPr>
          <w:rFonts w:eastAsiaTheme="minorEastAsia"/>
        </w:rPr>
        <w:t>，</w:t>
      </w:r>
      <w:r>
        <w:rPr>
          <w:rFonts w:hint="eastAsia" w:eastAsiaTheme="minorEastAsia"/>
        </w:rPr>
        <w:t>消防服</w:t>
      </w:r>
      <w:r>
        <w:rPr>
          <w:rFonts w:eastAsiaTheme="minorEastAsia"/>
        </w:rPr>
        <w:t>，</w:t>
      </w:r>
      <w:r>
        <w:rPr>
          <w:rFonts w:hint="eastAsia" w:eastAsiaTheme="minorEastAsia"/>
        </w:rPr>
        <w:t>挖土工具如铁锹，</w:t>
      </w:r>
      <w:r>
        <w:rPr>
          <w:rFonts w:eastAsiaTheme="minorEastAsia"/>
        </w:rPr>
        <w:t>砂土、灭火器等。</w:t>
      </w:r>
      <w:bookmarkEnd w:id="217"/>
    </w:p>
    <w:p>
      <w:pPr>
        <w:pStyle w:val="2"/>
        <w:adjustRightInd w:val="0"/>
        <w:snapToGrid w:val="0"/>
        <w:spacing w:line="500" w:lineRule="exact"/>
        <w:jc w:val="left"/>
        <w:rPr>
          <w:rFonts w:eastAsia="宋体"/>
          <w:color w:val="000000" w:themeColor="text1"/>
          <w14:textFill>
            <w14:solidFill>
              <w14:schemeClr w14:val="tx1"/>
            </w14:solidFill>
          </w14:textFill>
        </w:rPr>
      </w:pPr>
      <w:bookmarkStart w:id="218" w:name="_Toc28688"/>
      <w:bookmarkStart w:id="219" w:name="_Toc10339"/>
      <w:bookmarkStart w:id="220" w:name="_Toc18972"/>
      <w:bookmarkStart w:id="221" w:name="_Toc5056"/>
      <w:r>
        <w:rPr>
          <w:rFonts w:eastAsia="宋体"/>
          <w:color w:val="000000" w:themeColor="text1"/>
          <w14:textFill>
            <w14:solidFill>
              <w14:schemeClr w14:val="tx1"/>
            </w14:solidFill>
          </w14:textFill>
        </w:rPr>
        <w:t>4.3.2事件情景</w:t>
      </w:r>
      <w:bookmarkEnd w:id="218"/>
      <w:r>
        <w:rPr>
          <w:rFonts w:hint="eastAsia" w:eastAsia="宋体"/>
          <w:color w:val="000000" w:themeColor="text1"/>
          <w14:textFill>
            <w14:solidFill>
              <w14:schemeClr w14:val="tx1"/>
            </w14:solidFill>
          </w14:textFill>
        </w:rPr>
        <w:t>3、6</w:t>
      </w:r>
      <w:bookmarkEnd w:id="219"/>
      <w:bookmarkEnd w:id="220"/>
      <w:bookmarkEnd w:id="221"/>
    </w:p>
    <w:p>
      <w:pPr>
        <w:adjustRightInd w:val="0"/>
        <w:snapToGrid w:val="0"/>
        <w:spacing w:line="500" w:lineRule="exact"/>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A.废水外排事故</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（1）风险物质的扩散途径</w:t>
      </w:r>
    </w:p>
    <w:p>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因污水处理设施故障、应急事故池引流措施失败、未及时关闭雨水排口阀门等原因导致的污水、泄漏的化学物质通过雨水管道进入</w:t>
      </w:r>
      <w:r>
        <w:rPr>
          <w:rFonts w:hint="eastAsia" w:ascii="宋体" w:hAnsi="宋体" w:eastAsia="宋体" w:cs="宋体"/>
          <w:color w:val="000000" w:themeColor="text1"/>
          <w:lang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，将对</w:t>
      </w:r>
      <w:r>
        <w:rPr>
          <w:rFonts w:hint="eastAsia" w:ascii="宋体" w:hAnsi="宋体" w:eastAsia="宋体" w:cs="宋体"/>
          <w:color w:val="000000" w:themeColor="text1"/>
          <w:lang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断面产生不良影响。</w:t>
      </w:r>
    </w:p>
    <w:p>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adjustRightInd w:val="0"/>
        <w:snapToGrid w:val="0"/>
        <w:spacing w:line="500" w:lineRule="exact"/>
        <w:ind w:firstLine="480"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一旦发生消防废水进入</w:t>
      </w:r>
      <w:r>
        <w:rPr>
          <w:rFonts w:hint="eastAsia" w:ascii="宋体" w:hAnsi="宋体" w:eastAsia="宋体" w:cs="宋体"/>
          <w:color w:val="000000" w:themeColor="text1"/>
          <w:lang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水质情况，视污染程度决定是否启动开发区级环境突发事件应急预案。</w:t>
      </w:r>
    </w:p>
    <w:p>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pPr>
        <w:adjustRightInd w:val="0"/>
        <w:snapToGrid w:val="0"/>
        <w:spacing w:line="500" w:lineRule="exact"/>
        <w:ind w:firstLine="482" w:firstLineChars="200"/>
        <w:rPr>
          <w:rFonts w:eastAsia="宋体"/>
          <w:b/>
          <w:color w:val="000000" w:themeColor="text1"/>
          <w:szCs w:val="28"/>
          <w14:textFill>
            <w14:solidFill>
              <w14:schemeClr w14:val="tx1"/>
            </w14:solidFill>
          </w14:textFill>
        </w:rPr>
      </w:pPr>
      <w:r>
        <w:rPr>
          <w:rFonts w:eastAsia="宋体"/>
          <w:b/>
          <w:color w:val="000000" w:themeColor="text1"/>
          <w:szCs w:val="28"/>
          <w14:textFill>
            <w14:solidFill>
              <w14:schemeClr w14:val="tx1"/>
            </w14:solidFill>
          </w14:textFill>
        </w:rPr>
        <w:t>B、污染土壤、地下水事故</w:t>
      </w:r>
    </w:p>
    <w:p>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白乳胶、固化剂等</w:t>
      </w:r>
      <w:r>
        <w:rPr>
          <w:rFonts w:hint="eastAsia" w:ascii="宋体" w:hAnsi="宋体" w:eastAsia="宋体" w:cs="宋体"/>
          <w:color w:val="000000" w:themeColor="text1"/>
          <w14:textFill>
            <w14:solidFill>
              <w14:schemeClr w14:val="tx1"/>
            </w14:solidFill>
          </w14:textFill>
        </w:rPr>
        <w:t>泄漏，渗漏的污染物将以渗透、吸收等方式污染土壤及地下水。</w:t>
      </w:r>
    </w:p>
    <w:p>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p>
    <w:p>
      <w:pPr>
        <w:adjustRightInd w:val="0"/>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公司内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pPr>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pPr>
        <w:adjustRightInd w:val="0"/>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eastAsia="宋体"/>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w:t>
      </w:r>
      <w:r>
        <w:rPr>
          <w:rFonts w:hint="eastAsia" w:eastAsia="宋体"/>
          <w:color w:val="000000" w:themeColor="text1"/>
          <w:szCs w:val="28"/>
          <w14:textFill>
            <w14:solidFill>
              <w14:schemeClr w14:val="tx1"/>
            </w14:solidFill>
          </w14:textFill>
        </w:rPr>
        <w:t xml:space="preserve"> </w:t>
      </w:r>
      <w:r>
        <w:rPr>
          <w:rFonts w:eastAsia="宋体"/>
          <w:color w:val="000000" w:themeColor="text1"/>
          <w:szCs w:val="28"/>
          <w14:textFill>
            <w14:solidFill>
              <w14:schemeClr w14:val="tx1"/>
            </w14:solidFill>
          </w14:textFill>
        </w:rPr>
        <w:t>18598-20</w:t>
      </w:r>
      <w:r>
        <w:rPr>
          <w:rFonts w:hint="eastAsia" w:eastAsia="宋体"/>
          <w:color w:val="000000" w:themeColor="text1"/>
          <w:szCs w:val="28"/>
          <w14:textFill>
            <w14:solidFill>
              <w14:schemeClr w14:val="tx1"/>
            </w14:solidFill>
          </w14:textFill>
        </w:rPr>
        <w:t>19</w:t>
      </w:r>
      <w:r>
        <w:rPr>
          <w:rFonts w:eastAsia="宋体"/>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pPr>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w:t>
      </w:r>
      <w:r>
        <w:rPr>
          <w:rFonts w:hint="eastAsia" w:ascii="宋体" w:hAnsi="宋体" w:eastAsia="宋体" w:cs="宋体"/>
          <w:color w:val="000000" w:themeColor="text1"/>
          <w:szCs w:val="28"/>
          <w:lang w:eastAsia="zh-CN"/>
          <w14:textFill>
            <w14:solidFill>
              <w14:schemeClr w14:val="tx1"/>
            </w14:solidFill>
          </w14:textFill>
        </w:rPr>
        <w:t>一般工业固体废物贮存和填埋污染控制标准</w:t>
      </w:r>
      <w:r>
        <w:rPr>
          <w:rFonts w:hint="eastAsia" w:ascii="宋体" w:hAnsi="宋体" w:eastAsia="宋体" w:cs="宋体"/>
          <w:color w:val="000000" w:themeColor="text1"/>
          <w:szCs w:val="28"/>
          <w14:textFill>
            <w14:solidFill>
              <w14:schemeClr w14:val="tx1"/>
            </w14:solidFill>
          </w14:textFill>
        </w:rPr>
        <w:t>》（GB18599－2020）及其修改单制定防渗设计方案。</w:t>
      </w:r>
    </w:p>
    <w:p>
      <w:pPr>
        <w:adjustRightInd w:val="0"/>
        <w:snapToGrid w:val="0"/>
        <w:spacing w:line="500" w:lineRule="exact"/>
        <w:ind w:firstLine="480" w:firstLineChars="200"/>
        <w:rPr>
          <w:rFonts w:eastAsiaTheme="minor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w:t>
      </w:r>
      <w:r>
        <w:rPr>
          <w:rFonts w:hint="eastAsia" w:eastAsiaTheme="minorEastAsia"/>
          <w:color w:val="000000" w:themeColor="text1"/>
          <w14:textFill>
            <w14:solidFill>
              <w14:schemeClr w14:val="tx1"/>
            </w14:solidFill>
          </w14:textFill>
        </w:rPr>
        <w:t>小量泄漏：优先选用砂土混合。</w:t>
      </w:r>
    </w:p>
    <w:p>
      <w:pPr>
        <w:spacing w:line="500" w:lineRule="exact"/>
        <w:ind w:firstLine="480" w:firstLineChars="200"/>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⑥</w:t>
      </w:r>
      <w:r>
        <w:rPr>
          <w:rFonts w:hint="eastAsia" w:eastAsiaTheme="minorEastAsia"/>
          <w:color w:val="000000" w:themeColor="text1"/>
          <w14:textFill>
            <w14:solidFill>
              <w14:schemeClr w14:val="tx1"/>
            </w14:solidFill>
          </w14:textFill>
        </w:rPr>
        <w:t>大量泄漏：构筑围堤或挖坑收容，</w:t>
      </w:r>
      <w:r>
        <w:rPr>
          <w:rFonts w:eastAsiaTheme="minorEastAsia"/>
          <w:color w:val="000000" w:themeColor="text1"/>
          <w14:textFill>
            <w14:solidFill>
              <w14:schemeClr w14:val="tx1"/>
            </w14:solidFill>
          </w14:textFill>
        </w:rPr>
        <w:t>用防爆泵转移至移动专用收集容器中回收利用或作危废处理。泄漏场地用水冲洗，经稀释的洗水收集至事故应急池</w:t>
      </w:r>
      <w:r>
        <w:rPr>
          <w:rFonts w:hint="eastAsia" w:eastAsiaTheme="minorEastAsia"/>
          <w:color w:val="000000" w:themeColor="text1"/>
          <w14:textFill>
            <w14:solidFill>
              <w14:schemeClr w14:val="tx1"/>
            </w14:solidFill>
          </w14:textFill>
        </w:rPr>
        <w:t>。若流入外环境，</w:t>
      </w:r>
      <w:r>
        <w:rPr>
          <w:rFonts w:eastAsiaTheme="minorEastAsia"/>
          <w:color w:val="000000" w:themeColor="text1"/>
          <w14:textFill>
            <w14:solidFill>
              <w14:schemeClr w14:val="tx1"/>
            </w14:solidFill>
          </w14:textFill>
        </w:rPr>
        <w:t>在雨水排口下游迅速筑坝，切断受污染水体的流动，采取有效措施处理排入水体的污染物</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故障排除后，应联系</w:t>
      </w:r>
      <w:r>
        <w:rPr>
          <w:rFonts w:hint="eastAsia" w:eastAsiaTheme="minorEastAsia"/>
          <w:color w:val="000000" w:themeColor="text1"/>
          <w14:textFill>
            <w14:solidFill>
              <w14:schemeClr w14:val="tx1"/>
            </w14:solidFill>
          </w14:textFill>
        </w:rPr>
        <w:t>江苏裕和检测技术有限公司</w:t>
      </w:r>
      <w:r>
        <w:rPr>
          <w:rFonts w:eastAsiaTheme="minorEastAsia"/>
          <w:color w:val="000000" w:themeColor="text1"/>
          <w14:textFill>
            <w14:solidFill>
              <w14:schemeClr w14:val="tx1"/>
            </w14:solidFill>
          </w14:textFill>
        </w:rPr>
        <w:t>对受污染的下游水体及时进行监测，实时掌握水质情况</w:t>
      </w:r>
      <w:r>
        <w:rPr>
          <w:rFonts w:hint="eastAsia" w:eastAsiaTheme="minorEastAsia"/>
          <w:color w:val="000000" w:themeColor="text1"/>
          <w14:textFill>
            <w14:solidFill>
              <w14:schemeClr w14:val="tx1"/>
            </w14:solidFill>
          </w14:textFill>
        </w:rPr>
        <w:t>。</w:t>
      </w:r>
    </w:p>
    <w:p>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keepLines/>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Theme="minorEastAsia"/>
          <w:color w:val="000000" w:themeColor="text1"/>
          <w14:textFill>
            <w14:solidFill>
              <w14:schemeClr w14:val="tx1"/>
            </w14:solidFill>
          </w14:textFill>
        </w:rPr>
        <w:t>砂土、移动式专用收集容器、沙包、应急泵等。</w:t>
      </w:r>
      <w:bookmarkStart w:id="222" w:name="_Toc299"/>
    </w:p>
    <w:p>
      <w:pPr>
        <w:pStyle w:val="2"/>
        <w:adjustRightInd w:val="0"/>
        <w:snapToGrid w:val="0"/>
        <w:spacing w:line="500" w:lineRule="exact"/>
        <w:jc w:val="left"/>
        <w:rPr>
          <w:rFonts w:eastAsia="宋体"/>
          <w:color w:val="000000" w:themeColor="text1"/>
          <w14:textFill>
            <w14:solidFill>
              <w14:schemeClr w14:val="tx1"/>
            </w14:solidFill>
          </w14:textFill>
        </w:rPr>
      </w:pPr>
      <w:bookmarkStart w:id="223" w:name="_Toc19174"/>
      <w:bookmarkStart w:id="224" w:name="_Toc20452"/>
      <w:bookmarkStart w:id="225" w:name="_Toc19933"/>
      <w:r>
        <w:rPr>
          <w:rFonts w:eastAsia="宋体"/>
          <w:color w:val="000000" w:themeColor="text1"/>
          <w14:textFill>
            <w14:solidFill>
              <w14:schemeClr w14:val="tx1"/>
            </w14:solidFill>
          </w14:textFill>
        </w:rPr>
        <w:t>4.3.</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事件情景</w:t>
      </w:r>
      <w:bookmarkEnd w:id="222"/>
      <w:r>
        <w:rPr>
          <w:rFonts w:hint="eastAsia" w:eastAsia="宋体"/>
          <w:color w:val="000000" w:themeColor="text1"/>
          <w14:textFill>
            <w14:solidFill>
              <w14:schemeClr w14:val="tx1"/>
            </w14:solidFill>
          </w14:textFill>
        </w:rPr>
        <w:t>4、5</w:t>
      </w:r>
      <w:bookmarkEnd w:id="223"/>
      <w:bookmarkEnd w:id="224"/>
      <w:bookmarkEnd w:id="225"/>
    </w:p>
    <w:p>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spacing w:line="500" w:lineRule="exact"/>
        <w:ind w:firstLine="48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①假如发现废气超标排放（</w:t>
      </w:r>
      <w:r>
        <w:rPr>
          <w:rFonts w:hint="eastAsia" w:eastAsiaTheme="minorEastAsia"/>
          <w:color w:val="000000" w:themeColor="text1"/>
          <w14:textFill>
            <w14:solidFill>
              <w14:schemeClr w14:val="tx1"/>
            </w14:solidFill>
          </w14:textFill>
        </w:rPr>
        <w:t>废气处理设备故障、</w:t>
      </w:r>
      <w:r>
        <w:rPr>
          <w:rFonts w:eastAsiaTheme="minorEastAsia"/>
          <w:color w:val="000000" w:themeColor="text1"/>
          <w14:textFill>
            <w14:solidFill>
              <w14:schemeClr w14:val="tx1"/>
            </w14:solidFill>
          </w14:textFill>
        </w:rPr>
        <w:t>车间味道明显增大，员工因环境污染导致身体不适等），最早发现事故者应立即报告</w:t>
      </w:r>
      <w:r>
        <w:rPr>
          <w:rFonts w:hint="eastAsia" w:eastAsiaTheme="minorEastAsia"/>
          <w:color w:val="000000" w:themeColor="text1"/>
          <w14:textFill>
            <w14:solidFill>
              <w14:schemeClr w14:val="tx1"/>
            </w14:solidFill>
          </w14:textFill>
        </w:rPr>
        <w:t>应急救援指挥组</w:t>
      </w:r>
      <w:r>
        <w:rPr>
          <w:rFonts w:eastAsiaTheme="minorEastAsia"/>
          <w:color w:val="000000" w:themeColor="text1"/>
          <w14:textFill>
            <w14:solidFill>
              <w14:schemeClr w14:val="tx1"/>
            </w14:solidFill>
          </w14:textFill>
        </w:rPr>
        <w:t>。</w:t>
      </w:r>
    </w:p>
    <w:p>
      <w:pPr>
        <w:spacing w:line="500" w:lineRule="exact"/>
        <w:ind w:firstLine="480" w:firstLineChars="200"/>
        <w:rPr>
          <w:rFonts w:eastAsiaTheme="minorEastAsia"/>
        </w:rPr>
      </w:pPr>
      <w:r>
        <w:rPr>
          <w:rFonts w:eastAsiaTheme="minorEastAsia"/>
          <w:color w:val="000000" w:themeColor="text1"/>
          <w14:textFill>
            <w14:solidFill>
              <w14:schemeClr w14:val="tx1"/>
            </w14:solidFill>
          </w14:textFill>
        </w:rPr>
        <w:t>②各应急救援队伍接到</w:t>
      </w:r>
      <w:r>
        <w:rPr>
          <w:rFonts w:eastAsiaTheme="minorEastAsia"/>
        </w:rPr>
        <w:t>通知，应迅速携带相关器材赶往事故现场。</w:t>
      </w:r>
    </w:p>
    <w:p>
      <w:pPr>
        <w:spacing w:line="500" w:lineRule="exact"/>
        <w:ind w:firstLine="480" w:firstLineChars="200"/>
        <w:rPr>
          <w:rFonts w:eastAsiaTheme="minorEastAsia"/>
        </w:rPr>
      </w:pPr>
      <w:r>
        <w:rPr>
          <w:rFonts w:eastAsiaTheme="minorEastAsia"/>
        </w:rPr>
        <w:t>③检查设备情况，若废气超标在短时间内不能有效控制，现场应急处置指挥部视情况严重程度，下达生产线全线停产指令。</w:t>
      </w:r>
    </w:p>
    <w:p>
      <w:pPr>
        <w:spacing w:line="500" w:lineRule="exact"/>
        <w:ind w:firstLine="480" w:firstLineChars="200"/>
        <w:rPr>
          <w:rFonts w:eastAsiaTheme="minorEastAsia"/>
        </w:rPr>
      </w:pPr>
      <w:r>
        <w:rPr>
          <w:rFonts w:eastAsiaTheme="minorEastAsia"/>
        </w:rPr>
        <w:t>④若废气管道泄漏，</w:t>
      </w:r>
      <w:r>
        <w:rPr>
          <w:rFonts w:hint="eastAsia" w:eastAsiaTheme="minorEastAsia"/>
        </w:rPr>
        <w:t>应急小组</w:t>
      </w:r>
      <w:r>
        <w:rPr>
          <w:rFonts w:eastAsiaTheme="minorEastAsia"/>
        </w:rPr>
        <w:t>到达现场后，应首先穿戴</w:t>
      </w:r>
      <w:r>
        <w:rPr>
          <w:rFonts w:hint="eastAsia" w:eastAsiaTheme="minorEastAsia"/>
          <w:lang w:val="en-US" w:eastAsia="zh-CN"/>
        </w:rPr>
        <w:t>消防服</w:t>
      </w:r>
      <w:r>
        <w:rPr>
          <w:rFonts w:eastAsiaTheme="minorEastAsia"/>
        </w:rPr>
        <w:t>、佩戴</w:t>
      </w:r>
      <w:r>
        <w:rPr>
          <w:rFonts w:hint="eastAsia" w:eastAsiaTheme="minorEastAsia"/>
        </w:rPr>
        <w:t>防毒面具</w:t>
      </w:r>
      <w:r>
        <w:rPr>
          <w:rFonts w:eastAsiaTheme="minorEastAsia"/>
        </w:rPr>
        <w:t>，</w:t>
      </w:r>
      <w:r>
        <w:rPr>
          <w:rFonts w:hint="eastAsia" w:eastAsiaTheme="minorEastAsia"/>
        </w:rPr>
        <w:t>停止生产后</w:t>
      </w:r>
      <w:r>
        <w:rPr>
          <w:rFonts w:eastAsiaTheme="minorEastAsia"/>
        </w:rPr>
        <w:t>关闭废气处理设施、修补泄漏管道，阻止有毒有害气体继续外泄。</w:t>
      </w:r>
    </w:p>
    <w:p>
      <w:pPr>
        <w:spacing w:line="500" w:lineRule="exact"/>
        <w:ind w:firstLine="480" w:firstLineChars="200"/>
        <w:rPr>
          <w:rFonts w:eastAsiaTheme="minorEastAsia"/>
        </w:rPr>
      </w:pPr>
      <w:r>
        <w:rPr>
          <w:rFonts w:eastAsiaTheme="minorEastAsia"/>
        </w:rPr>
        <w:t>⑤</w:t>
      </w:r>
      <w:r>
        <w:rPr>
          <w:rFonts w:hint="eastAsia" w:eastAsiaTheme="minorEastAsia"/>
        </w:rPr>
        <w:t>应急救援指挥组</w:t>
      </w:r>
      <w:r>
        <w:rPr>
          <w:rFonts w:eastAsiaTheme="minorEastAsia"/>
        </w:rPr>
        <w:t>调查废气</w:t>
      </w:r>
      <w:r>
        <w:rPr>
          <w:rFonts w:hint="eastAsia" w:eastAsiaTheme="minorEastAsia"/>
        </w:rPr>
        <w:t>超标排放</w:t>
      </w:r>
      <w:r>
        <w:rPr>
          <w:rFonts w:eastAsiaTheme="minorEastAsia"/>
        </w:rPr>
        <w:t>的原因、已造成的污染范围、影响程度、影响后果等，并立即采取相应的对策措施，如</w:t>
      </w:r>
      <w:r>
        <w:rPr>
          <w:rFonts w:hint="eastAsia" w:eastAsiaTheme="minorEastAsia"/>
        </w:rPr>
        <w:t>停止生产</w:t>
      </w:r>
      <w:r>
        <w:rPr>
          <w:rFonts w:eastAsiaTheme="minorEastAsia"/>
        </w:rPr>
        <w:t>更换故障设备等。</w:t>
      </w:r>
    </w:p>
    <w:p>
      <w:pPr>
        <w:spacing w:line="500" w:lineRule="exact"/>
        <w:ind w:firstLine="480" w:firstLineChars="200"/>
        <w:rPr>
          <w:rFonts w:eastAsiaTheme="minorEastAsia"/>
        </w:rPr>
      </w:pPr>
      <w:r>
        <w:rPr>
          <w:rFonts w:eastAsiaTheme="minorEastAsia"/>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pPr>
        <w:spacing w:line="500" w:lineRule="exact"/>
        <w:ind w:firstLine="48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⑦故障排除后，应联系</w:t>
      </w:r>
      <w:r>
        <w:rPr>
          <w:rFonts w:hint="eastAsia" w:eastAsiaTheme="minorEastAsia"/>
          <w:color w:val="000000" w:themeColor="text1"/>
          <w14:textFill>
            <w14:solidFill>
              <w14:schemeClr w14:val="tx1"/>
            </w14:solidFill>
          </w14:textFill>
        </w:rPr>
        <w:t>江苏裕和检测技术有限公司</w:t>
      </w:r>
      <w:r>
        <w:rPr>
          <w:rFonts w:eastAsiaTheme="minorEastAsia"/>
          <w:color w:val="000000" w:themeColor="text1"/>
          <w14:textFill>
            <w14:solidFill>
              <w14:schemeClr w14:val="tx1"/>
            </w14:solidFill>
          </w14:textFill>
        </w:rPr>
        <w:t>对废气进行检测，废气排放达标后，恢复相关生产。</w:t>
      </w:r>
    </w:p>
    <w:p>
      <w:pPr>
        <w:spacing w:line="500" w:lineRule="exact"/>
        <w:ind w:firstLine="480" w:firstLineChars="20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⑧事故后向南通市海安生态环境局汇报废气处理设施的异常情况。</w:t>
      </w:r>
    </w:p>
    <w:p>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spacing w:line="500" w:lineRule="exact"/>
        <w:ind w:firstLine="480" w:firstLineChars="20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防毒面具</w:t>
      </w:r>
      <w:r>
        <w:rPr>
          <w:rFonts w:eastAsiaTheme="minorEastAsia"/>
          <w:color w:val="000000" w:themeColor="text1"/>
          <w14:textFill>
            <w14:solidFill>
              <w14:schemeClr w14:val="tx1"/>
            </w14:solidFill>
          </w14:textFill>
        </w:rPr>
        <w:t>、防护服等。</w:t>
      </w:r>
    </w:p>
    <w:p>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26" w:name="_Toc5392"/>
      <w:bookmarkStart w:id="227" w:name="_Toc26102"/>
      <w:bookmarkStart w:id="228" w:name="_Toc3234"/>
      <w:bookmarkStart w:id="229" w:name="_Toc30305"/>
      <w:r>
        <w:rPr>
          <w:rFonts w:eastAsia="宋体"/>
          <w:color w:val="000000" w:themeColor="text1"/>
          <w:sz w:val="24"/>
          <w:szCs w:val="24"/>
          <w14:textFill>
            <w14:solidFill>
              <w14:schemeClr w14:val="tx1"/>
            </w14:solidFill>
          </w14:textFill>
        </w:rPr>
        <w:t>4.4 突发环境事件危害后果分析</w:t>
      </w:r>
      <w:bookmarkEnd w:id="226"/>
      <w:bookmarkEnd w:id="227"/>
      <w:bookmarkEnd w:id="228"/>
      <w:bookmarkEnd w:id="229"/>
    </w:p>
    <w:p>
      <w:pPr>
        <w:pStyle w:val="2"/>
        <w:adjustRightInd w:val="0"/>
        <w:snapToGrid w:val="0"/>
        <w:spacing w:line="500" w:lineRule="exact"/>
        <w:jc w:val="left"/>
        <w:rPr>
          <w:rFonts w:eastAsia="宋体"/>
          <w:color w:val="000000" w:themeColor="text1"/>
          <w14:textFill>
            <w14:solidFill>
              <w14:schemeClr w14:val="tx1"/>
            </w14:solidFill>
          </w14:textFill>
        </w:rPr>
      </w:pPr>
      <w:bookmarkStart w:id="230" w:name="_Toc30977"/>
      <w:bookmarkStart w:id="231" w:name="_Toc31396"/>
      <w:bookmarkStart w:id="232" w:name="_Toc24961"/>
      <w:bookmarkStart w:id="233" w:name="_Toc26602"/>
      <w:bookmarkStart w:id="234" w:name="_Toc5010"/>
      <w:r>
        <w:rPr>
          <w:rFonts w:eastAsia="宋体"/>
          <w:color w:val="000000" w:themeColor="text1"/>
          <w14:textFill>
            <w14:solidFill>
              <w14:schemeClr w14:val="tx1"/>
            </w14:solidFill>
          </w14:textFill>
        </w:rPr>
        <w:t>4.4.1</w:t>
      </w:r>
      <w:bookmarkEnd w:id="230"/>
      <w:bookmarkEnd w:id="231"/>
      <w:r>
        <w:rPr>
          <w:rFonts w:hint="eastAsia" w:eastAsia="宋体"/>
          <w:color w:val="000000" w:themeColor="text1"/>
          <w14:textFill>
            <w14:solidFill>
              <w14:schemeClr w14:val="tx1"/>
            </w14:solidFill>
          </w14:textFill>
        </w:rPr>
        <w:t>事件情景1</w:t>
      </w:r>
      <w:bookmarkEnd w:id="232"/>
      <w:bookmarkEnd w:id="233"/>
    </w:p>
    <w:p>
      <w:pPr>
        <w:adjustRightInd w:val="0"/>
        <w:snapToGrid w:val="0"/>
        <w:spacing w:line="500" w:lineRule="exact"/>
        <w:ind w:firstLine="482" w:firstLineChars="200"/>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表4-</w:t>
      </w:r>
      <w:r>
        <w:rPr>
          <w:rFonts w:hint="eastAsia" w:eastAsia="宋体"/>
          <w:b/>
          <w:bCs/>
          <w:color w:val="000000" w:themeColor="text1"/>
          <w:lang w:val="en-US" w:eastAsia="zh-CN"/>
          <w14:textFill>
            <w14:solidFill>
              <w14:schemeClr w14:val="tx1"/>
            </w14:solidFill>
          </w14:textFill>
        </w:rPr>
        <w:t>7</w:t>
      </w:r>
      <w:r>
        <w:rPr>
          <w:rFonts w:eastAsia="宋体"/>
          <w:b/>
          <w:bCs/>
          <w:color w:val="000000" w:themeColor="text1"/>
          <w14:textFill>
            <w14:solidFill>
              <w14:schemeClr w14:val="tx1"/>
            </w14:solidFill>
          </w14:textFill>
        </w:rPr>
        <w:t xml:space="preserve"> </w:t>
      </w:r>
      <w:r>
        <w:rPr>
          <w:rFonts w:hint="eastAsia" w:eastAsia="宋体"/>
          <w:b/>
          <w:bCs/>
          <w:color w:val="000000" w:themeColor="text1"/>
          <w14:textFill>
            <w14:solidFill>
              <w14:schemeClr w14:val="tx1"/>
            </w14:solidFill>
          </w14:textFill>
        </w:rPr>
        <w:t xml:space="preserve"> </w:t>
      </w:r>
      <w:r>
        <w:rPr>
          <w:rFonts w:eastAsia="宋体"/>
          <w:b/>
          <w:bCs/>
          <w:color w:val="000000" w:themeColor="text1"/>
          <w14:textFill>
            <w14:solidFill>
              <w14:schemeClr w14:val="tx1"/>
            </w14:solidFill>
          </w14:textFill>
        </w:rPr>
        <w:t>CO影响范围预测结果</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毒性终点浓度2</w:t>
            </w:r>
          </w:p>
        </w:tc>
        <w:tc>
          <w:tcPr>
            <w:tcW w:w="6390" w:type="dxa"/>
            <w:gridSpan w:val="4"/>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95mg/m</w:t>
            </w:r>
            <w:r>
              <w:rPr>
                <w:rFonts w:eastAsia="宋体"/>
                <w:color w:val="000000" w:themeColor="text1"/>
                <w:sz w:val="21"/>
                <w:szCs w:val="21"/>
                <w:vertAlign w:val="superscript"/>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c>
          <w:tcPr>
            <w:tcW w:w="2130"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144.79</w:t>
            </w:r>
          </w:p>
        </w:tc>
        <w:tc>
          <w:tcPr>
            <w:tcW w:w="2130"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300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137.01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25</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204.00</w:t>
            </w:r>
          </w:p>
        </w:tc>
        <w:tc>
          <w:tcPr>
            <w:tcW w:w="2130"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350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127.59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267.62</w:t>
            </w:r>
          </w:p>
        </w:tc>
        <w:tc>
          <w:tcPr>
            <w:tcW w:w="2130"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400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116.05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75</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296.53</w:t>
            </w:r>
          </w:p>
        </w:tc>
        <w:tc>
          <w:tcPr>
            <w:tcW w:w="2130"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450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106.76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278.23</w:t>
            </w:r>
          </w:p>
        </w:tc>
        <w:tc>
          <w:tcPr>
            <w:tcW w:w="2130"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500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125</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245.06</w:t>
            </w:r>
          </w:p>
        </w:tc>
        <w:tc>
          <w:tcPr>
            <w:tcW w:w="2130"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550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150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215.81</w:t>
            </w:r>
          </w:p>
        </w:tc>
        <w:tc>
          <w:tcPr>
            <w:tcW w:w="2130"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600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95.62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175</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194.26</w:t>
            </w:r>
          </w:p>
        </w:tc>
        <w:tc>
          <w:tcPr>
            <w:tcW w:w="2130"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625</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94.46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178.18</w:t>
            </w:r>
          </w:p>
        </w:tc>
        <w:tc>
          <w:tcPr>
            <w:tcW w:w="2130"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250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154.38</w:t>
            </w:r>
          </w:p>
        </w:tc>
        <w:tc>
          <w:tcPr>
            <w:tcW w:w="2130"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毒性终点浓度1</w:t>
            </w:r>
          </w:p>
        </w:tc>
        <w:tc>
          <w:tcPr>
            <w:tcW w:w="6390" w:type="dxa"/>
            <w:gridSpan w:val="4"/>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380</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c>
          <w:tcPr>
            <w:tcW w:w="2115"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45"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144.79</w:t>
            </w:r>
          </w:p>
        </w:tc>
        <w:tc>
          <w:tcPr>
            <w:tcW w:w="2115"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w:t>
            </w:r>
          </w:p>
        </w:tc>
        <w:tc>
          <w:tcPr>
            <w:tcW w:w="2145"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278.23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25</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204.00</w:t>
            </w:r>
          </w:p>
        </w:tc>
        <w:tc>
          <w:tcPr>
            <w:tcW w:w="2115"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125</w:t>
            </w:r>
          </w:p>
        </w:tc>
        <w:tc>
          <w:tcPr>
            <w:tcW w:w="2145"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245.06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50</w:t>
            </w:r>
          </w:p>
        </w:tc>
        <w:tc>
          <w:tcPr>
            <w:tcW w:w="2130"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267.62</w:t>
            </w:r>
          </w:p>
        </w:tc>
        <w:tc>
          <w:tcPr>
            <w:tcW w:w="2115" w:type="dxa"/>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150</w:t>
            </w:r>
          </w:p>
        </w:tc>
        <w:tc>
          <w:tcPr>
            <w:tcW w:w="2145" w:type="dxa"/>
            <w:gridSpan w:val="2"/>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215.81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75</w:t>
            </w:r>
          </w:p>
        </w:tc>
        <w:tc>
          <w:tcPr>
            <w:tcW w:w="2130" w:type="dxa"/>
            <w:tcBorders>
              <w:bottom w:val="single" w:color="auto" w:sz="12" w:space="0"/>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296.53</w:t>
            </w:r>
          </w:p>
        </w:tc>
        <w:tc>
          <w:tcPr>
            <w:tcW w:w="2115" w:type="dxa"/>
            <w:tcBorders>
              <w:bottom w:val="single" w:color="auto" w:sz="12" w:space="0"/>
            </w:tcBorders>
            <w:vAlign w:val="center"/>
          </w:tcPr>
          <w:p>
            <w:pPr>
              <w:adjustRightInd w:val="0"/>
              <w:snapToGrid w:val="0"/>
              <w:jc w:val="center"/>
              <w:rPr>
                <w:rFonts w:eastAsia="宋体"/>
                <w:color w:val="000000" w:themeColor="text1"/>
                <w:sz w:val="21"/>
                <w:szCs w:val="21"/>
                <w14:textFill>
                  <w14:solidFill>
                    <w14:schemeClr w14:val="tx1"/>
                  </w14:solidFill>
                </w14:textFill>
              </w:rPr>
            </w:pPr>
          </w:p>
        </w:tc>
        <w:tc>
          <w:tcPr>
            <w:tcW w:w="2145" w:type="dxa"/>
            <w:gridSpan w:val="2"/>
            <w:tcBorders>
              <w:bottom w:val="single" w:color="auto" w:sz="12" w:space="0"/>
            </w:tcBorders>
            <w:vAlign w:val="center"/>
          </w:tcPr>
          <w:p>
            <w:pPr>
              <w:adjustRightInd w:val="0"/>
              <w:snapToGrid w:val="0"/>
              <w:jc w:val="center"/>
              <w:rPr>
                <w:rFonts w:eastAsia="宋体"/>
                <w:color w:val="000000" w:themeColor="text1"/>
                <w:sz w:val="21"/>
                <w:szCs w:val="21"/>
                <w14:textFill>
                  <w14:solidFill>
                    <w14:schemeClr w14:val="tx1"/>
                  </w14:solidFill>
                </w14:textFill>
              </w:rPr>
            </w:pPr>
          </w:p>
        </w:tc>
      </w:tr>
    </w:tbl>
    <w:p>
      <w:pPr>
        <w:spacing w:line="500" w:lineRule="exact"/>
        <w:ind w:firstLine="480" w:firstLineChars="200"/>
        <w:rPr>
          <w:rFonts w:eastAsia="宋体"/>
        </w:rPr>
      </w:pPr>
      <w:r>
        <w:rPr>
          <w:rFonts w:eastAsia="宋体"/>
          <w:color w:val="000000" w:themeColor="text1"/>
          <w14:textFill>
            <w14:solidFill>
              <w14:schemeClr w14:val="tx1"/>
            </w14:solidFill>
          </w14:textFill>
        </w:rPr>
        <w:t>由预测结果可知，发生火灾时CO扩散的最大影响</w:t>
      </w:r>
      <w:r>
        <w:rPr>
          <w:rFonts w:eastAsia="宋体"/>
        </w:rPr>
        <w:t>范围为周边</w:t>
      </w:r>
      <w:r>
        <w:rPr>
          <w:rFonts w:hint="eastAsia" w:eastAsia="宋体"/>
        </w:rPr>
        <w:t>800</w:t>
      </w:r>
      <w:r>
        <w:rPr>
          <w:rFonts w:eastAsia="宋体"/>
        </w:rPr>
        <w:t>米内。</w:t>
      </w:r>
    </w:p>
    <w:p>
      <w:pPr>
        <w:pStyle w:val="2"/>
        <w:adjustRightInd w:val="0"/>
        <w:snapToGrid w:val="0"/>
        <w:spacing w:line="500" w:lineRule="exact"/>
        <w:jc w:val="left"/>
        <w:rPr>
          <w:rFonts w:eastAsia="宋体"/>
          <w:color w:val="000000" w:themeColor="text1"/>
          <w14:textFill>
            <w14:solidFill>
              <w14:schemeClr w14:val="tx1"/>
            </w14:solidFill>
          </w14:textFill>
        </w:rPr>
      </w:pPr>
      <w:bookmarkStart w:id="235" w:name="_Toc11612"/>
      <w:bookmarkStart w:id="236" w:name="_Toc2498"/>
      <w:bookmarkStart w:id="237" w:name="_Toc6104"/>
      <w:r>
        <w:rPr>
          <w:rFonts w:eastAsia="宋体"/>
          <w:color w:val="000000" w:themeColor="text1"/>
          <w14:textFill>
            <w14:solidFill>
              <w14:schemeClr w14:val="tx1"/>
            </w14:solidFill>
          </w14:textFill>
        </w:rPr>
        <w:t>4.4.</w:t>
      </w:r>
      <w:r>
        <w:rPr>
          <w:rFonts w:hint="eastAsia" w:eastAsia="宋体"/>
          <w:color w:val="000000" w:themeColor="text1"/>
          <w14:textFill>
            <w14:solidFill>
              <w14:schemeClr w14:val="tx1"/>
            </w14:solidFill>
          </w14:textFill>
        </w:rPr>
        <w:t>2</w:t>
      </w:r>
      <w:bookmarkEnd w:id="234"/>
      <w:bookmarkEnd w:id="235"/>
      <w:r>
        <w:rPr>
          <w:rFonts w:hint="eastAsia" w:eastAsia="宋体"/>
          <w:color w:val="000000" w:themeColor="text1"/>
          <w14:textFill>
            <w14:solidFill>
              <w14:schemeClr w14:val="tx1"/>
            </w14:solidFill>
          </w14:textFill>
        </w:rPr>
        <w:t>事件情景3、6</w:t>
      </w:r>
      <w:bookmarkEnd w:id="236"/>
      <w:bookmarkEnd w:id="237"/>
    </w:p>
    <w:p>
      <w:pPr>
        <w:pStyle w:val="6"/>
        <w:adjustRightInd w:val="0"/>
        <w:snapToGrid w:val="0"/>
        <w:spacing w:before="0" w:after="0" w:line="500" w:lineRule="exact"/>
        <w:jc w:val="left"/>
        <w:rPr>
          <w:rFonts w:ascii="Times New Roman" w:hAnsi="Times New Roman" w:eastAsia="宋体"/>
          <w:color w:val="000000" w:themeColor="text1"/>
          <w:sz w:val="24"/>
          <w:szCs w:val="32"/>
          <w14:textFill>
            <w14:solidFill>
              <w14:schemeClr w14:val="tx1"/>
            </w14:solidFill>
          </w14:textFill>
        </w:rPr>
      </w:pPr>
      <w:r>
        <w:rPr>
          <w:rFonts w:ascii="Times New Roman" w:hAnsi="Times New Roman" w:eastAsia="宋体"/>
          <w:color w:val="000000" w:themeColor="text1"/>
          <w:sz w:val="24"/>
          <w:szCs w:val="32"/>
          <w14:textFill>
            <w14:solidFill>
              <w14:schemeClr w14:val="tx1"/>
            </w14:solidFill>
          </w14:textFill>
        </w:rPr>
        <w:t>4.4.2</w:t>
      </w:r>
      <w:r>
        <w:rPr>
          <w:rFonts w:hint="eastAsia" w:ascii="Times New Roman" w:hAnsi="Times New Roman" w:eastAsia="宋体"/>
          <w:color w:val="000000" w:themeColor="text1"/>
          <w:sz w:val="24"/>
          <w:szCs w:val="32"/>
          <w14:textFill>
            <w14:solidFill>
              <w14:schemeClr w14:val="tx1"/>
            </w14:solidFill>
          </w14:textFill>
        </w:rPr>
        <w:t>.1水性漆泄漏</w:t>
      </w:r>
      <w:r>
        <w:rPr>
          <w:rFonts w:ascii="Times New Roman" w:hAnsi="Times New Roman" w:eastAsia="宋体"/>
          <w:color w:val="000000" w:themeColor="text1"/>
          <w:sz w:val="24"/>
          <w:szCs w:val="32"/>
          <w14:textFill>
            <w14:solidFill>
              <w14:schemeClr w14:val="tx1"/>
            </w14:solidFill>
          </w14:textFill>
        </w:rPr>
        <w:t>事</w:t>
      </w:r>
      <w:r>
        <w:rPr>
          <w:rFonts w:hint="eastAsia" w:ascii="Times New Roman" w:hAnsi="Times New Roman" w:eastAsia="宋体"/>
          <w:color w:val="000000" w:themeColor="text1"/>
          <w:sz w:val="24"/>
          <w:szCs w:val="32"/>
          <w14:textFill>
            <w14:solidFill>
              <w14:schemeClr w14:val="tx1"/>
            </w14:solidFill>
          </w14:textFill>
        </w:rPr>
        <w:t>件</w:t>
      </w:r>
    </w:p>
    <w:p>
      <w:pPr>
        <w:spacing w:line="500" w:lineRule="exact"/>
        <w:ind w:firstLine="480" w:firstLineChars="200"/>
        <w:rPr>
          <w:rFonts w:eastAsia="宋体"/>
          <w:bCs/>
        </w:rPr>
      </w:pPr>
      <w:bookmarkStart w:id="238" w:name="_Toc1731"/>
      <w:r>
        <w:rPr>
          <w:rFonts w:hint="eastAsia" w:eastAsia="宋体"/>
          <w:bCs/>
          <w:lang w:val="en-US" w:eastAsia="zh-CN"/>
        </w:rPr>
        <w:t>水性漆</w:t>
      </w:r>
      <w:r>
        <w:rPr>
          <w:rFonts w:eastAsia="宋体"/>
          <w:bCs/>
        </w:rPr>
        <w:t>泄漏为液体泄漏，液体泄漏按《建设项目环境风险评价技术导则》（HJ 169-2018）附录F.1.1公式计算：</w:t>
      </w:r>
    </w:p>
    <w:p>
      <w:pPr>
        <w:adjustRightInd w:val="0"/>
        <w:snapToGrid w:val="0"/>
        <w:spacing w:line="500" w:lineRule="exact"/>
        <w:ind w:firstLine="480" w:firstLineChars="200"/>
        <w:jc w:val="center"/>
        <w:rPr>
          <w:rFonts w:eastAsia="宋体"/>
        </w:rPr>
      </w:pPr>
      <m:oMathPara>
        <m:oMath>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w:rPr>
                  <w:rFonts w:ascii="Cambria Math" w:hAnsi="Cambria Math" w:eastAsia="宋体"/>
                </w:rPr>
                <m:t>L</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d</m:t>
              </m:r>
              <m:ctrlPr>
                <w:rPr>
                  <w:rFonts w:ascii="Cambria Math" w:hAnsi="Cambria Math" w:eastAsia="宋体"/>
                  <w:i/>
                </w:rPr>
              </m:ctrlPr>
            </m:sub>
          </m:sSub>
          <m:r>
            <m:rPr/>
            <w:rPr>
              <w:rFonts w:ascii="Cambria Math" w:hAnsi="Cambria Math" w:eastAsia="宋体"/>
            </w:rPr>
            <m:t>Aρ</m:t>
          </m:r>
          <m:rad>
            <m:radPr>
              <m:degHide m:val="1"/>
              <m:ctrlPr>
                <w:rPr>
                  <w:rFonts w:ascii="Cambria Math" w:hAnsi="Cambria Math" w:eastAsia="宋体"/>
                  <w:i/>
                </w:rPr>
              </m:ctrlPr>
            </m:radPr>
            <m:deg>
              <m:ctrlPr>
                <w:rPr>
                  <w:rFonts w:ascii="Cambria Math" w:hAnsi="Cambria Math" w:eastAsia="宋体"/>
                  <w:i/>
                </w:rPr>
              </m:ctrlPr>
            </m:deg>
            <m:e>
              <m:f>
                <m:fPr>
                  <m:ctrlPr>
                    <w:rPr>
                      <w:rFonts w:ascii="Cambria Math" w:hAnsi="Cambria Math" w:eastAsia="宋体"/>
                      <w:i/>
                    </w:rPr>
                  </m:ctrlPr>
                </m:fPr>
                <m:num>
                  <m:r>
                    <m:rPr/>
                    <w:rPr>
                      <w:rFonts w:ascii="Cambria Math" w:hAnsi="Cambria Math" w:eastAsia="宋体"/>
                    </w:rPr>
                    <m:t>2(P−</m:t>
                  </m:r>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ctrlPr>
                    <w:rPr>
                      <w:rFonts w:ascii="Cambria Math" w:hAnsi="Cambria Math" w:eastAsia="宋体"/>
                      <w:i/>
                    </w:rPr>
                  </m:ctrlPr>
                </m:num>
                <m:den>
                  <m:r>
                    <m:rPr/>
                    <w:rPr>
                      <w:rFonts w:ascii="Cambria Math" w:hAnsi="Cambria Math" w:eastAsia="宋体"/>
                    </w:rPr>
                    <m:t>ρ</m:t>
                  </m:r>
                  <m:ctrlPr>
                    <w:rPr>
                      <w:rFonts w:ascii="Cambria Math" w:hAnsi="Cambria Math" w:eastAsia="宋体"/>
                      <w:i/>
                    </w:rPr>
                  </m:ctrlPr>
                </m:den>
              </m:f>
              <m:r>
                <m:rPr/>
                <w:rPr>
                  <w:rFonts w:ascii="Cambria Math" w:hAnsi="Cambria Math" w:eastAsia="宋体"/>
                </w:rPr>
                <m:t>+2gℎ</m:t>
              </m:r>
              <m:ctrlPr>
                <w:rPr>
                  <w:rFonts w:ascii="Cambria Math" w:hAnsi="Cambria Math" w:eastAsia="宋体"/>
                  <w:i/>
                </w:rPr>
              </m:ctrlPr>
            </m:e>
          </m:rad>
        </m:oMath>
      </m:oMathPara>
    </w:p>
    <w:p>
      <w:pPr>
        <w:adjustRightInd w:val="0"/>
        <w:snapToGrid w:val="0"/>
        <w:spacing w:line="500" w:lineRule="exact"/>
        <w:ind w:firstLine="480" w:firstLineChars="200"/>
        <w:rPr>
          <w:rFonts w:eastAsia="宋体"/>
        </w:rPr>
      </w:pPr>
      <w:r>
        <w:rPr>
          <w:rFonts w:eastAsia="宋体"/>
        </w:rPr>
        <w:t>式中：</w:t>
      </w:r>
    </w:p>
    <w:p>
      <w:pPr>
        <w:adjustRightInd w:val="0"/>
        <w:snapToGrid w:val="0"/>
        <w:spacing w:line="500" w:lineRule="exact"/>
        <w:ind w:firstLine="480" w:firstLineChars="200"/>
        <w:rPr>
          <w:rFonts w:eastAsia="宋体"/>
        </w:rPr>
      </w:pPr>
      <w:r>
        <w:rPr>
          <w:rFonts w:eastAsia="宋体"/>
        </w:rPr>
        <w:t>Q</w:t>
      </w:r>
      <w:r>
        <w:rPr>
          <w:rFonts w:eastAsia="宋体"/>
          <w:vertAlign w:val="subscript"/>
        </w:rPr>
        <w:t>L</w:t>
      </w:r>
      <w:r>
        <w:rPr>
          <w:rFonts w:eastAsia="宋体"/>
        </w:rPr>
        <w:t>——液体泄漏速度，kg/s；</w:t>
      </w:r>
    </w:p>
    <w:p>
      <w:pPr>
        <w:adjustRightInd w:val="0"/>
        <w:snapToGrid w:val="0"/>
        <w:spacing w:line="500" w:lineRule="exact"/>
        <w:ind w:firstLine="480" w:firstLineChars="200"/>
        <w:rPr>
          <w:rFonts w:eastAsia="宋体"/>
        </w:rPr>
      </w:pPr>
      <w:r>
        <w:rPr>
          <w:rFonts w:eastAsia="宋体"/>
        </w:rPr>
        <w:t>P——容器内介质压力，Pa；</w:t>
      </w:r>
    </w:p>
    <w:p>
      <w:pPr>
        <w:adjustRightInd w:val="0"/>
        <w:snapToGrid w:val="0"/>
        <w:spacing w:line="500" w:lineRule="exact"/>
        <w:ind w:firstLine="480" w:firstLineChars="200"/>
        <w:rPr>
          <w:rFonts w:eastAsia="宋体"/>
        </w:rPr>
      </w:pPr>
      <w:r>
        <w:rPr>
          <w:rFonts w:eastAsia="宋体"/>
        </w:rPr>
        <w:t>P</w:t>
      </w:r>
      <w:r>
        <w:rPr>
          <w:rFonts w:eastAsia="宋体"/>
          <w:vertAlign w:val="subscript"/>
        </w:rPr>
        <w:t>0</w:t>
      </w:r>
      <w:r>
        <w:rPr>
          <w:rFonts w:eastAsia="宋体"/>
        </w:rPr>
        <w:t>——环境压力，Pa；</w:t>
      </w:r>
    </w:p>
    <w:p>
      <w:pPr>
        <w:adjustRightInd w:val="0"/>
        <w:snapToGrid w:val="0"/>
        <w:spacing w:line="500" w:lineRule="exact"/>
        <w:ind w:firstLine="480" w:firstLineChars="200"/>
        <w:rPr>
          <w:rFonts w:eastAsia="宋体"/>
        </w:rPr>
      </w:pPr>
      <w:r>
        <w:rPr>
          <w:rFonts w:eastAsia="宋体"/>
        </w:rPr>
        <w:t>ρ——泄漏液体密度，kg/m</w:t>
      </w:r>
      <w:r>
        <w:rPr>
          <w:rFonts w:eastAsia="宋体"/>
          <w:vertAlign w:val="superscript"/>
        </w:rPr>
        <w:t>3</w:t>
      </w:r>
      <w:r>
        <w:rPr>
          <w:rFonts w:eastAsia="宋体"/>
        </w:rPr>
        <w:t>，</w:t>
      </w:r>
      <w:r>
        <w:rPr>
          <w:rFonts w:hint="eastAsia" w:eastAsia="宋体"/>
        </w:rPr>
        <w:t>水性漆</w:t>
      </w:r>
      <w:r>
        <w:rPr>
          <w:rFonts w:eastAsia="宋体"/>
        </w:rPr>
        <w:t>密度取</w:t>
      </w:r>
      <w:r>
        <w:rPr>
          <w:rFonts w:hint="eastAsia" w:eastAsia="宋体"/>
        </w:rPr>
        <w:t>1100</w:t>
      </w:r>
      <w:r>
        <w:rPr>
          <w:rFonts w:eastAsia="宋体"/>
        </w:rPr>
        <w:t>kg/m</w:t>
      </w:r>
      <w:r>
        <w:rPr>
          <w:rFonts w:eastAsia="宋体"/>
          <w:vertAlign w:val="superscript"/>
        </w:rPr>
        <w:t>3</w:t>
      </w:r>
      <w:r>
        <w:rPr>
          <w:rFonts w:eastAsia="宋体"/>
        </w:rPr>
        <w:t>；</w:t>
      </w:r>
    </w:p>
    <w:p>
      <w:pPr>
        <w:adjustRightInd w:val="0"/>
        <w:snapToGrid w:val="0"/>
        <w:spacing w:line="500" w:lineRule="exact"/>
        <w:ind w:firstLine="480" w:firstLineChars="200"/>
        <w:rPr>
          <w:rFonts w:eastAsia="宋体"/>
        </w:rPr>
      </w:pPr>
      <w:r>
        <w:rPr>
          <w:rFonts w:eastAsia="宋体"/>
        </w:rPr>
        <w:t>g——重力加速度，9.8m/s</w:t>
      </w:r>
      <w:r>
        <w:rPr>
          <w:rFonts w:eastAsia="宋体"/>
          <w:vertAlign w:val="superscript"/>
        </w:rPr>
        <w:t>2</w:t>
      </w:r>
      <w:r>
        <w:rPr>
          <w:rFonts w:eastAsia="宋体"/>
        </w:rPr>
        <w:t>；</w:t>
      </w:r>
    </w:p>
    <w:p>
      <w:pPr>
        <w:adjustRightInd w:val="0"/>
        <w:snapToGrid w:val="0"/>
        <w:spacing w:line="500" w:lineRule="exact"/>
        <w:ind w:firstLine="480" w:firstLineChars="200"/>
        <w:rPr>
          <w:rFonts w:eastAsia="宋体"/>
        </w:rPr>
      </w:pPr>
      <w:r>
        <w:rPr>
          <w:rFonts w:eastAsia="宋体"/>
        </w:rPr>
        <w:t>h——裂口之上液位高度，m。</w:t>
      </w:r>
    </w:p>
    <w:p>
      <w:pPr>
        <w:adjustRightInd w:val="0"/>
        <w:snapToGrid w:val="0"/>
        <w:spacing w:line="500" w:lineRule="exact"/>
        <w:ind w:firstLine="480" w:firstLineChars="200"/>
        <w:rPr>
          <w:rFonts w:eastAsia="宋体"/>
        </w:rPr>
      </w:pPr>
      <w:r>
        <w:rPr>
          <w:rFonts w:eastAsia="宋体"/>
        </w:rPr>
        <w:t>C</w:t>
      </w:r>
      <w:r>
        <w:rPr>
          <w:rFonts w:eastAsia="宋体"/>
          <w:vertAlign w:val="subscript"/>
        </w:rPr>
        <w:t>d</w:t>
      </w:r>
      <w:r>
        <w:rPr>
          <w:rFonts w:eastAsia="宋体"/>
        </w:rPr>
        <w:t>——液体泄漏系数，此值常用0.6-0.64，取0.62；</w:t>
      </w:r>
    </w:p>
    <w:p>
      <w:pPr>
        <w:adjustRightInd w:val="0"/>
        <w:snapToGrid w:val="0"/>
        <w:spacing w:line="500" w:lineRule="exact"/>
        <w:ind w:firstLine="480" w:firstLineChars="200"/>
        <w:rPr>
          <w:rFonts w:eastAsia="宋体"/>
        </w:rPr>
      </w:pPr>
      <w:r>
        <w:rPr>
          <w:rFonts w:eastAsia="宋体"/>
        </w:rPr>
        <w:t>A——裂口面积，m</w:t>
      </w:r>
      <w:r>
        <w:rPr>
          <w:rFonts w:eastAsia="宋体"/>
          <w:vertAlign w:val="superscript"/>
        </w:rPr>
        <w:t>2</w:t>
      </w:r>
      <w:r>
        <w:rPr>
          <w:rFonts w:eastAsia="宋体"/>
        </w:rPr>
        <w:t>；</w:t>
      </w:r>
    </w:p>
    <w:p>
      <w:pPr>
        <w:adjustRightInd w:val="0"/>
        <w:snapToGrid w:val="0"/>
        <w:spacing w:line="500" w:lineRule="exact"/>
        <w:ind w:firstLine="480" w:firstLineChars="200"/>
        <w:rPr>
          <w:rFonts w:hAnsi="Cambria Math"/>
        </w:rPr>
      </w:pPr>
      <w:bookmarkStart w:id="239" w:name="_Hlk47517831"/>
      <w:r>
        <w:rPr>
          <w:rFonts w:eastAsia="宋体"/>
        </w:rPr>
        <w:t>裂口为圆形（多边形）时泄漏速度比裂口为三角形或长方形时的泄漏速度大，腐蚀裂口多为多边形或圆形，因此，假设该公司发生事故时裂口为圆形，根据《建设项目环境风险评价技术导则》（HJ 169-2018）附录E泄漏频率的推荐值，泄漏孔径为10mm，面积为0.0000785m</w:t>
      </w:r>
      <w:r>
        <w:rPr>
          <w:rFonts w:eastAsia="宋体"/>
          <w:vertAlign w:val="superscript"/>
        </w:rPr>
        <w:t>2</w:t>
      </w:r>
      <w:r>
        <w:rPr>
          <w:rFonts w:eastAsia="宋体"/>
        </w:rPr>
        <w:t>，根据企业提供资料，</w:t>
      </w:r>
      <w:r>
        <w:rPr>
          <w:rFonts w:hint="eastAsia" w:eastAsia="宋体"/>
          <w:lang w:val="en-US" w:eastAsia="zh-CN"/>
        </w:rPr>
        <w:t>水性漆</w:t>
      </w:r>
      <w:r>
        <w:rPr>
          <w:rFonts w:eastAsia="宋体"/>
        </w:rPr>
        <w:t>桶高约0.</w:t>
      </w:r>
      <w:r>
        <w:rPr>
          <w:rFonts w:hint="eastAsia" w:eastAsia="宋体"/>
        </w:rPr>
        <w:t>25</w:t>
      </w:r>
      <w:r>
        <w:rPr>
          <w:rFonts w:eastAsia="宋体"/>
        </w:rPr>
        <w:t>米，故裂口之上液位高度h取0.</w:t>
      </w:r>
      <w:r>
        <w:rPr>
          <w:rFonts w:hint="eastAsia" w:eastAsia="宋体"/>
        </w:rPr>
        <w:t>25</w:t>
      </w:r>
      <w:r>
        <w:rPr>
          <w:rFonts w:eastAsia="宋体"/>
        </w:rPr>
        <w:t>m</w:t>
      </w:r>
      <w:bookmarkEnd w:id="239"/>
      <w:r>
        <w:rPr>
          <w:rFonts w:hint="eastAsia" w:eastAsia="宋体"/>
        </w:rPr>
        <w:t>，若一个水性漆桶泄漏，则Q</w:t>
      </w:r>
      <w:r>
        <w:rPr>
          <w:rFonts w:hint="eastAsia" w:eastAsia="宋体"/>
          <w:vertAlign w:val="subscript"/>
        </w:rPr>
        <w:t>L</w:t>
      </w:r>
      <w:r>
        <w:rPr>
          <w:rFonts w:hint="eastAsia" w:eastAsia="宋体"/>
        </w:rPr>
        <w:t>=0.62*0.0000785*1100*</w:t>
      </w:r>
      <m:oMath>
        <m:r>
          <m:rPr>
            <m:sty m:val="p"/>
          </m:rPr>
          <w:rPr>
            <w:rFonts w:ascii="Cambria Math" w:hAnsi="Cambria Math"/>
          </w:rPr>
          <m:t>√（2∗9.8∗0.25）</m:t>
        </m:r>
      </m:oMath>
      <w:r>
        <w:rPr>
          <w:rFonts w:hint="eastAsia" w:hAnsi="Cambria Math"/>
        </w:rPr>
        <w:t>=0.119 kg/s。</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水性漆发生泄漏，现场工作人员发现后，立即堵住泄漏口，泄漏速率为0.</w:t>
      </w:r>
      <w:r>
        <w:rPr>
          <w:rFonts w:hint="eastAsia" w:eastAsia="宋体"/>
          <w:color w:val="000000" w:themeColor="text1"/>
          <w:lang w:val="en-US" w:eastAsia="zh-CN"/>
          <w14:textFill>
            <w14:solidFill>
              <w14:schemeClr w14:val="tx1"/>
            </w14:solidFill>
          </w14:textFill>
        </w:rPr>
        <w:t>119</w:t>
      </w:r>
      <w:r>
        <w:rPr>
          <w:rFonts w:hint="eastAsia" w:eastAsia="宋体"/>
          <w:color w:val="000000" w:themeColor="text1"/>
          <w14:textFill>
            <w14:solidFill>
              <w14:schemeClr w14:val="tx1"/>
            </w14:solidFill>
          </w14:textFill>
        </w:rPr>
        <w:t>kg/s。</w:t>
      </w:r>
    </w:p>
    <w:p>
      <w:pPr>
        <w:pStyle w:val="6"/>
        <w:adjustRightInd w:val="0"/>
        <w:snapToGrid w:val="0"/>
        <w:spacing w:before="0" w:after="0" w:line="500" w:lineRule="exact"/>
        <w:jc w:val="left"/>
        <w:rPr>
          <w:rFonts w:ascii="Times New Roman" w:hAnsi="Times New Roman" w:eastAsia="宋体"/>
          <w:color w:val="000000" w:themeColor="text1"/>
          <w:sz w:val="24"/>
          <w:szCs w:val="32"/>
          <w14:textFill>
            <w14:solidFill>
              <w14:schemeClr w14:val="tx1"/>
            </w14:solidFill>
          </w14:textFill>
        </w:rPr>
      </w:pPr>
      <w:r>
        <w:rPr>
          <w:rFonts w:ascii="Times New Roman" w:hAnsi="Times New Roman" w:eastAsia="宋体"/>
          <w:color w:val="000000" w:themeColor="text1"/>
          <w:sz w:val="24"/>
          <w:szCs w:val="32"/>
          <w14:textFill>
            <w14:solidFill>
              <w14:schemeClr w14:val="tx1"/>
            </w14:solidFill>
          </w14:textFill>
        </w:rPr>
        <w:t>4.4.2.2消防废水污染水环境事件</w:t>
      </w:r>
    </w:p>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eastAsia="宋体"/>
          <w:color w:val="000000" w:themeColor="text1"/>
          <w14:textFill>
            <w14:solidFill>
              <w14:schemeClr w14:val="tx1"/>
            </w14:solidFill>
          </w14:textFill>
        </w:rPr>
        <w:t>对地表水造成的不良影响以</w:t>
      </w:r>
      <w:r>
        <w:rPr>
          <w:rFonts w:hint="eastAsia" w:eastAsia="宋体"/>
          <w:color w:val="000000" w:themeColor="text1"/>
          <w14:textFill>
            <w14:solidFill>
              <w14:schemeClr w14:val="tx1"/>
            </w14:solidFill>
          </w14:textFill>
        </w:rPr>
        <w:t>洗消废水</w:t>
      </w:r>
      <w:r>
        <w:rPr>
          <w:rFonts w:eastAsia="宋体"/>
          <w:color w:val="000000" w:themeColor="text1"/>
          <w14:textFill>
            <w14:solidFill>
              <w14:schemeClr w14:val="tx1"/>
            </w14:solidFill>
          </w14:textFill>
        </w:rPr>
        <w:t>进入</w:t>
      </w:r>
      <w:r>
        <w:rPr>
          <w:rFonts w:hint="eastAsia" w:eastAsia="宋体"/>
          <w:color w:val="000000" w:themeColor="text1"/>
          <w:lang w:eastAsia="zh-CN"/>
          <w14:textFill>
            <w14:solidFill>
              <w14:schemeClr w14:val="tx1"/>
            </w14:solidFill>
          </w14:textFill>
        </w:rPr>
        <w:t>洋蛮河</w:t>
      </w:r>
      <w:r>
        <w:rPr>
          <w:rFonts w:eastAsia="宋体"/>
          <w:color w:val="000000" w:themeColor="text1"/>
          <w14:textFill>
            <w14:solidFill>
              <w14:schemeClr w14:val="tx1"/>
            </w14:solidFill>
          </w14:textFill>
        </w:rPr>
        <w:t>进行测算。</w:t>
      </w:r>
      <w:r>
        <w:rPr>
          <w:rFonts w:hint="eastAsia" w:eastAsia="宋体"/>
          <w:color w:val="000000" w:themeColor="text1"/>
          <w:lang w:eastAsia="zh-CN"/>
          <w14:textFill>
            <w14:solidFill>
              <w14:schemeClr w14:val="tx1"/>
            </w14:solidFill>
          </w14:textFill>
        </w:rPr>
        <w:t>洋蛮河</w:t>
      </w:r>
      <w:r>
        <w:rPr>
          <w:rFonts w:eastAsia="宋体"/>
          <w:color w:val="000000" w:themeColor="text1"/>
          <w14:textFill>
            <w14:solidFill>
              <w14:schemeClr w14:val="tx1"/>
            </w14:solidFill>
          </w14:textFill>
        </w:rPr>
        <w:t>COD为</w:t>
      </w:r>
      <w:r>
        <w:rPr>
          <w:rFonts w:hint="eastAsia" w:eastAsia="宋体"/>
          <w:color w:val="000000" w:themeColor="text1"/>
          <w14:textFill>
            <w14:solidFill>
              <w14:schemeClr w14:val="tx1"/>
            </w14:solidFill>
          </w14:textFill>
        </w:rPr>
        <w:t>20</w:t>
      </w:r>
      <w:r>
        <w:rPr>
          <w:rFonts w:eastAsia="宋体"/>
          <w:color w:val="000000" w:themeColor="text1"/>
          <w14:textFill>
            <w14:solidFill>
              <w14:schemeClr w14:val="tx1"/>
            </w14:solidFill>
          </w14:textFill>
        </w:rPr>
        <w:t>mg/L，水深3~4米，枯水期流速平均约为0.06m/s，枯水期流量约</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.0m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r>
        <w:rPr>
          <w:rFonts w:hint="eastAsia" w:eastAsia="宋体"/>
          <w:color w:val="000000" w:themeColor="text1"/>
          <w:lang w:eastAsia="zh-CN"/>
          <w14:textFill>
            <w14:solidFill>
              <w14:schemeClr w14:val="tx1"/>
            </w14:solidFill>
          </w14:textFill>
        </w:rPr>
        <w:t>洋蛮河</w:t>
      </w:r>
      <w:r>
        <w:rPr>
          <w:rFonts w:eastAsia="宋体"/>
          <w:color w:val="000000" w:themeColor="text1"/>
          <w14:textFill>
            <w14:solidFill>
              <w14:schemeClr w14:val="tx1"/>
            </w14:solidFill>
          </w14:textFill>
        </w:rPr>
        <w:t>水质情况见表4-</w:t>
      </w:r>
      <w:r>
        <w:rPr>
          <w:rFonts w:hint="eastAsia" w:eastAsia="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w:t>
      </w:r>
    </w:p>
    <w:p>
      <w:pPr>
        <w:pStyle w:val="13"/>
        <w:adjustRightInd w:val="0"/>
        <w:snapToGrid w:val="0"/>
        <w:spacing w:after="0" w:line="500" w:lineRule="exact"/>
        <w:jc w:val="center"/>
        <w:rPr>
          <w:rFonts w:ascii="宋体" w:hAnsi="宋体" w:eastAsia="宋体" w:cs="宋体"/>
          <w:b/>
          <w:color w:val="0000FF"/>
        </w:rPr>
      </w:pPr>
      <w:r>
        <w:rPr>
          <w:rFonts w:eastAsia="宋体"/>
          <w:b/>
          <w:color w:val="000000" w:themeColor="text1"/>
          <w14:textFill>
            <w14:solidFill>
              <w14:schemeClr w14:val="tx1"/>
            </w14:solidFill>
          </w14:textFill>
        </w:rPr>
        <w:t>表4-</w:t>
      </w:r>
      <w:r>
        <w:rPr>
          <w:rFonts w:hint="eastAsia" w:eastAsia="宋体"/>
          <w:b/>
          <w:color w:val="000000" w:themeColor="text1"/>
          <w:lang w:val="en-US" w:eastAsia="zh-CN"/>
          <w14:textFill>
            <w14:solidFill>
              <w14:schemeClr w14:val="tx1"/>
            </w14:solidFill>
          </w14:textFill>
        </w:rPr>
        <w:t>8</w:t>
      </w:r>
      <w:r>
        <w:rPr>
          <w:rFonts w:eastAsia="宋体"/>
          <w:b/>
          <w:color w:val="000000" w:themeColor="text1"/>
          <w14:textFill>
            <w14:solidFill>
              <w14:schemeClr w14:val="tx1"/>
            </w14:solidFill>
          </w14:textFill>
        </w:rPr>
        <w:t xml:space="preserve"> </w:t>
      </w:r>
      <w:r>
        <w:rPr>
          <w:rFonts w:hint="eastAsia" w:eastAsia="宋体"/>
          <w:b/>
          <w:color w:val="000000" w:themeColor="text1"/>
          <w:lang w:eastAsia="zh-CN"/>
          <w14:textFill>
            <w14:solidFill>
              <w14:schemeClr w14:val="tx1"/>
            </w14:solidFill>
          </w14:textFill>
        </w:rPr>
        <w:t>洋蛮河</w:t>
      </w:r>
      <w:r>
        <w:rPr>
          <w:rFonts w:eastAsia="宋体"/>
          <w:b/>
          <w:color w:val="000000" w:themeColor="text1"/>
          <w14:textFill>
            <w14:solidFill>
              <w14:schemeClr w14:val="tx1"/>
            </w14:solidFill>
          </w14:textFill>
        </w:rPr>
        <w:t>水质情况</w:t>
      </w:r>
    </w:p>
    <w:tbl>
      <w:tblPr>
        <w:tblStyle w:val="38"/>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河流</w:t>
            </w:r>
          </w:p>
        </w:tc>
        <w:tc>
          <w:tcPr>
            <w:tcW w:w="2922"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CODcr(mg/L)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eastAsia="宋体"/>
                <w:color w:val="000000" w:themeColor="text1"/>
                <w:sz w:val="21"/>
                <w:szCs w:val="21"/>
                <w:lang w:eastAsia="zh-CN"/>
                <w14:textFill>
                  <w14:solidFill>
                    <w14:schemeClr w14:val="tx1"/>
                  </w14:solidFill>
                </w14:textFill>
              </w:rPr>
              <w:t>洋蛮河</w:t>
            </w:r>
          </w:p>
        </w:tc>
        <w:tc>
          <w:tcPr>
            <w:tcW w:w="2922"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w:t>
            </w:r>
          </w:p>
        </w:tc>
      </w:tr>
    </w:tbl>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污水非正常排放对水质会产生不良影响，假设污</w:t>
      </w:r>
      <w:r>
        <w:rPr>
          <w:rFonts w:eastAsia="宋体"/>
          <w:color w:val="000000" w:themeColor="text1"/>
          <w14:textFill>
            <w14:solidFill>
              <w14:schemeClr w14:val="tx1"/>
            </w14:solidFill>
          </w14:textFill>
        </w:rPr>
        <w:t>水COD浓度为</w:t>
      </w:r>
      <w:r>
        <w:rPr>
          <w:rFonts w:hint="eastAsia" w:eastAsia="宋体"/>
          <w:color w:val="000000" w:themeColor="text1"/>
          <w14:textFill>
            <w14:solidFill>
              <w14:schemeClr w14:val="tx1"/>
            </w14:solidFill>
          </w14:textFill>
        </w:rPr>
        <w:t>250</w:t>
      </w:r>
      <w:r>
        <w:rPr>
          <w:rFonts w:eastAsia="宋体"/>
          <w:color w:val="000000" w:themeColor="text1"/>
          <w14:textFill>
            <w14:solidFill>
              <w14:schemeClr w14:val="tx1"/>
            </w14:solidFill>
          </w14:textFill>
        </w:rPr>
        <w:t>mg/L，流量</w:t>
      </w:r>
      <w:r>
        <w:rPr>
          <w:rFonts w:eastAsia="宋体"/>
          <w:color w:val="000000" w:themeColor="text1"/>
          <w:szCs w:val="28"/>
          <w14:textFill>
            <w14:solidFill>
              <w14:schemeClr w14:val="tx1"/>
            </w14:solidFill>
          </w14:textFill>
        </w:rPr>
        <w:t>0.</w:t>
      </w:r>
      <w:r>
        <w:rPr>
          <w:rFonts w:hint="eastAsia" w:eastAsia="宋体"/>
          <w:color w:val="000000" w:themeColor="text1"/>
          <w:szCs w:val="28"/>
          <w14:textFill>
            <w14:solidFill>
              <w14:schemeClr w14:val="tx1"/>
            </w14:solidFill>
          </w14:textFill>
        </w:rPr>
        <w:t>0</w:t>
      </w:r>
      <w:r>
        <w:rPr>
          <w:rFonts w:hint="eastAsia" w:eastAsia="宋体"/>
          <w:color w:val="000000" w:themeColor="text1"/>
          <w:szCs w:val="28"/>
          <w:lang w:val="en-US" w:eastAsia="zh-CN"/>
          <w14:textFill>
            <w14:solidFill>
              <w14:schemeClr w14:val="tx1"/>
            </w14:solidFill>
          </w14:textFill>
        </w:rPr>
        <w:t>367</w:t>
      </w:r>
      <w:r>
        <w:rPr>
          <w:rFonts w:eastAsia="宋体"/>
          <w:color w:val="000000" w:themeColor="text1"/>
          <w:szCs w:val="28"/>
          <w14:textFill>
            <w14:solidFill>
              <w14:schemeClr w14:val="tx1"/>
            </w14:solidFill>
          </w14:textFill>
        </w:rPr>
        <w:t>m</w:t>
      </w:r>
      <w:r>
        <w:rPr>
          <w:rFonts w:eastAsia="宋体"/>
          <w:color w:val="000000" w:themeColor="text1"/>
          <w:szCs w:val="28"/>
          <w:vertAlign w:val="superscript"/>
          <w14:textFill>
            <w14:solidFill>
              <w14:schemeClr w14:val="tx1"/>
            </w14:solidFill>
          </w14:textFill>
        </w:rPr>
        <w:t>3</w:t>
      </w:r>
      <w:r>
        <w:rPr>
          <w:rFonts w:eastAsia="宋体"/>
          <w:color w:val="000000" w:themeColor="text1"/>
          <w:szCs w:val="28"/>
          <w14:textFill>
            <w14:solidFill>
              <w14:schemeClr w14:val="tx1"/>
            </w14:solidFill>
          </w14:textFill>
        </w:rPr>
        <w:t>/s</w:t>
      </w:r>
      <w:r>
        <w:rPr>
          <w:rFonts w:eastAsia="宋体"/>
          <w:color w:val="000000" w:themeColor="text1"/>
          <w14:textFill>
            <w14:solidFill>
              <w14:schemeClr w14:val="tx1"/>
            </w14:solidFill>
          </w14:textFill>
        </w:rPr>
        <w:t>，事故时间</w:t>
      </w:r>
      <w:r>
        <w:rPr>
          <w:rFonts w:hint="eastAsia" w:eastAsia="宋体"/>
          <w:color w:val="000000" w:themeColor="text1"/>
          <w14:textFill>
            <w14:solidFill>
              <w14:schemeClr w14:val="tx1"/>
            </w14:solidFill>
          </w14:textFill>
        </w:rPr>
        <w:t>1h</w:t>
      </w:r>
      <w:r>
        <w:rPr>
          <w:rFonts w:eastAsia="宋体"/>
          <w:color w:val="000000" w:themeColor="text1"/>
          <w14:textFill>
            <w14:solidFill>
              <w14:schemeClr w14:val="tx1"/>
            </w14:solidFill>
          </w14:textFill>
        </w:rPr>
        <w:t>，总废水量</w:t>
      </w:r>
      <w:r>
        <w:rPr>
          <w:rFonts w:hint="eastAsia" w:eastAsia="宋体"/>
          <w:color w:val="000000" w:themeColor="text1"/>
          <w:lang w:val="en-US" w:eastAsia="zh-CN"/>
          <w14:textFill>
            <w14:solidFill>
              <w14:schemeClr w14:val="tx1"/>
            </w14:solidFill>
          </w14:textFill>
        </w:rPr>
        <w:t>132</w:t>
      </w:r>
      <w:r>
        <w:rPr>
          <w:rFonts w:eastAsia="宋体"/>
          <w:color w:val="000000" w:themeColor="text1"/>
          <w14:textFill>
            <w14:solidFill>
              <w14:schemeClr w14:val="tx1"/>
            </w14:solidFill>
          </w14:textFill>
        </w:rPr>
        <w:t>m</w:t>
      </w:r>
      <w:r>
        <w:rPr>
          <w:rFonts w:eastAsia="宋体"/>
          <w:color w:val="000000" w:themeColor="text1"/>
          <w:vertAlign w:val="superscript"/>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w:t>
      </w:r>
    </w:p>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按照《环境影响评价技术导则 地表水环境》，</w:t>
      </w:r>
      <w:r>
        <w:rPr>
          <w:rFonts w:hint="eastAsia" w:eastAsia="宋体"/>
          <w:color w:val="000000" w:themeColor="text1"/>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pPr>
        <w:adjustRightInd w:val="0"/>
        <w:snapToGrid w:val="0"/>
        <w:spacing w:line="500" w:lineRule="exact"/>
        <w:ind w:firstLine="480" w:firstLineChars="200"/>
        <w:jc w:val="left"/>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45pt;width:124.6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C—预测河段污染物浓度，mg/L;</w:t>
      </w:r>
    </w:p>
    <w:p>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—初始预测断面污染物浓度，mg/L;</w:t>
      </w:r>
    </w:p>
    <w:p>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k</w:t>
      </w:r>
      <w:r>
        <w:rPr>
          <w:rFonts w:eastAsia="宋体"/>
          <w:color w:val="000000" w:themeColor="text1"/>
          <w:vertAlign w:val="subscript"/>
          <w14:textFill>
            <w14:solidFill>
              <w14:schemeClr w14:val="tx1"/>
            </w14:solidFill>
          </w14:textFill>
        </w:rPr>
        <w:t>1</w:t>
      </w:r>
      <w:r>
        <w:rPr>
          <w:rFonts w:eastAsia="宋体"/>
          <w:color w:val="000000" w:themeColor="text1"/>
          <w14:textFill>
            <w14:solidFill>
              <w14:schemeClr w14:val="tx1"/>
            </w14:solidFill>
          </w14:textFill>
        </w:rPr>
        <w:t>—衰减系数，1/d;</w:t>
      </w:r>
    </w:p>
    <w:p>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d—混合深度；</w:t>
      </w:r>
    </w:p>
    <w:p>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x—距排污口的纵向距离，m;</w:t>
      </w:r>
    </w:p>
    <w:p>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u—河水流速，m/s;</w:t>
      </w:r>
    </w:p>
    <w:p>
      <w:pPr>
        <w:widowControl/>
        <w:adjustRightInd w:val="0"/>
        <w:snapToGrid w:val="0"/>
        <w:spacing w:line="360" w:lineRule="auto"/>
        <w:ind w:firstLine="560"/>
        <w:rPr>
          <w:rFonts w:eastAsia="宋体"/>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5408;mso-width-relative:page;mso-height-relative:page;" o:ole="t" filled="f" o:preferrelative="t" stroked="f" coordsize="21600,21600">
            <v:path/>
            <v:fill on="f" focussize="0,0"/>
            <v:stroke on="f" joinstyle="miter"/>
            <v:imagedata r:id="rId21" o:title=""/>
            <o:lock v:ext="edit" aspectratio="t"/>
            <w10:wrap type="topAndBottom"/>
          </v:shape>
          <o:OLEObject Type="Embed" ProgID="Equation.3" ShapeID="_x0000_s1027" DrawAspect="Content" ObjectID="_1468075726" r:id="rId20">
            <o:LockedField>false</o:LockedField>
          </o:OLEObject>
        </w:pict>
      </w:r>
      <w:r>
        <w:rPr>
          <w:rFonts w:eastAsia="宋体"/>
          <w:color w:val="000000" w:themeColor="text1"/>
          <w14:textFill>
            <w14:solidFill>
              <w14:schemeClr w14:val="tx1"/>
            </w14:solidFill>
          </w14:textFill>
        </w:rPr>
        <w:t>式中：</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—混合后河流中污染物浓度，mg/L;</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h</w:t>
      </w:r>
      <w:r>
        <w:rPr>
          <w:rFonts w:eastAsia="宋体"/>
          <w:color w:val="000000" w:themeColor="text1"/>
          <w14:textFill>
            <w14:solidFill>
              <w14:schemeClr w14:val="tx1"/>
            </w14:solidFill>
          </w14:textFill>
        </w:rPr>
        <w:t>—河流中污染物的背景浓度，mg/L;</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p</w:t>
      </w:r>
      <w:r>
        <w:rPr>
          <w:rFonts w:eastAsia="宋体"/>
          <w:color w:val="000000" w:themeColor="text1"/>
          <w14:textFill>
            <w14:solidFill>
              <w14:schemeClr w14:val="tx1"/>
            </w14:solidFill>
          </w14:textFill>
        </w:rPr>
        <w:t>—污水中污染物的浓度，mg/L;</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Q</w:t>
      </w:r>
      <w:r>
        <w:rPr>
          <w:rFonts w:eastAsia="宋体"/>
          <w:color w:val="000000" w:themeColor="text1"/>
          <w:vertAlign w:val="subscript"/>
          <w14:textFill>
            <w14:solidFill>
              <w14:schemeClr w14:val="tx1"/>
            </w14:solidFill>
          </w14:textFill>
        </w:rPr>
        <w:t>h</w:t>
      </w:r>
      <w:r>
        <w:rPr>
          <w:rFonts w:eastAsia="宋体"/>
          <w:color w:val="000000" w:themeColor="text1"/>
          <w14:textFill>
            <w14:solidFill>
              <w14:schemeClr w14:val="tx1"/>
            </w14:solidFill>
          </w14:textFill>
        </w:rPr>
        <w:t>—河流流量，m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Q</w:t>
      </w:r>
      <w:r>
        <w:rPr>
          <w:rFonts w:eastAsia="宋体"/>
          <w:color w:val="000000" w:themeColor="text1"/>
          <w:vertAlign w:val="subscript"/>
          <w14:textFill>
            <w14:solidFill>
              <w14:schemeClr w14:val="tx1"/>
            </w14:solidFill>
          </w14:textFill>
        </w:rPr>
        <w:t>p</w:t>
      </w:r>
      <w:r>
        <w:rPr>
          <w:rFonts w:eastAsia="宋体"/>
          <w:color w:val="000000" w:themeColor="text1"/>
          <w14:textFill>
            <w14:solidFill>
              <w14:schemeClr w14:val="tx1"/>
            </w14:solidFill>
          </w14:textFill>
        </w:rPr>
        <w:t>—污水流量，m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COD降解系数K</w:t>
      </w:r>
      <w:r>
        <w:rPr>
          <w:rFonts w:eastAsia="宋体"/>
          <w:color w:val="000000" w:themeColor="text1"/>
          <w:vertAlign w:val="subscript"/>
          <w14:textFill>
            <w14:solidFill>
              <w14:schemeClr w14:val="tx1"/>
            </w14:solidFill>
          </w14:textFill>
        </w:rPr>
        <w:t>1</w:t>
      </w:r>
      <w:r>
        <w:rPr>
          <w:rFonts w:eastAsia="宋体"/>
          <w:color w:val="000000" w:themeColor="text1"/>
          <w14:textFill>
            <w14:solidFill>
              <w14:schemeClr w14:val="tx1"/>
            </w14:solidFill>
          </w14:textFill>
        </w:rPr>
        <w:t>为0.1-0.25d</w:t>
      </w:r>
      <w:r>
        <w:rPr>
          <w:rFonts w:eastAsia="宋体"/>
          <w:color w:val="000000" w:themeColor="text1"/>
          <w:vertAlign w:val="superscript"/>
          <w14:textFill>
            <w14:solidFill>
              <w14:schemeClr w14:val="tx1"/>
            </w14:solidFill>
          </w14:textFill>
        </w:rPr>
        <w:t>-1</w:t>
      </w:r>
      <w:r>
        <w:rPr>
          <w:rFonts w:eastAsia="宋体"/>
          <w:color w:val="000000" w:themeColor="text1"/>
          <w14:textFill>
            <w14:solidFill>
              <w14:schemeClr w14:val="tx1"/>
            </w14:solidFill>
          </w14:textFill>
        </w:rPr>
        <w:t>，取0.2。</w:t>
      </w:r>
    </w:p>
    <w:p>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生产废水超标排放对</w:t>
      </w:r>
      <w:r>
        <w:rPr>
          <w:rFonts w:hint="eastAsia" w:eastAsia="宋体"/>
          <w:color w:val="000000" w:themeColor="text1"/>
          <w:lang w:eastAsia="zh-CN"/>
          <w14:textFill>
            <w14:solidFill>
              <w14:schemeClr w14:val="tx1"/>
            </w14:solidFill>
          </w14:textFill>
        </w:rPr>
        <w:t>洋蛮河</w:t>
      </w:r>
      <w:r>
        <w:rPr>
          <w:rFonts w:eastAsia="宋体"/>
          <w:color w:val="000000" w:themeColor="text1"/>
          <w14:textFill>
            <w14:solidFill>
              <w14:schemeClr w14:val="tx1"/>
            </w14:solidFill>
          </w14:textFill>
        </w:rPr>
        <w:t>河段COD浓度影响进行预测，结算结果见表4-</w:t>
      </w:r>
      <w:r>
        <w:rPr>
          <w:rFonts w:hint="eastAsia" w:eastAsia="宋体"/>
          <w:color w:val="000000" w:themeColor="text1"/>
          <w:lang w:val="en-US" w:eastAsia="zh-CN"/>
          <w14:textFill>
            <w14:solidFill>
              <w14:schemeClr w14:val="tx1"/>
            </w14:solidFill>
          </w14:textFill>
        </w:rPr>
        <w:t>9</w:t>
      </w:r>
      <w:r>
        <w:rPr>
          <w:rFonts w:eastAsia="宋体"/>
          <w:color w:val="000000" w:themeColor="text1"/>
          <w14:textFill>
            <w14:solidFill>
              <w14:schemeClr w14:val="tx1"/>
            </w14:solidFill>
          </w14:textFill>
        </w:rPr>
        <w:t>。</w:t>
      </w:r>
    </w:p>
    <w:p>
      <w:pPr>
        <w:pStyle w:val="13"/>
        <w:adjustRightInd w:val="0"/>
        <w:snapToGrid w:val="0"/>
        <w:spacing w:after="0" w:line="460" w:lineRule="exact"/>
        <w:jc w:val="center"/>
        <w:rPr>
          <w:rFonts w:eastAsia="宋体"/>
          <w:b/>
          <w:color w:val="0000FF"/>
        </w:rPr>
      </w:pPr>
      <w:r>
        <w:rPr>
          <w:rFonts w:eastAsia="宋体"/>
          <w:b/>
          <w:color w:val="000000" w:themeColor="text1"/>
          <w14:textFill>
            <w14:solidFill>
              <w14:schemeClr w14:val="tx1"/>
            </w14:solidFill>
          </w14:textFill>
        </w:rPr>
        <w:t>表4-</w:t>
      </w:r>
      <w:r>
        <w:rPr>
          <w:rFonts w:hint="eastAsia" w:eastAsia="宋体"/>
          <w:b/>
          <w:color w:val="000000" w:themeColor="text1"/>
          <w:lang w:val="en-US" w:eastAsia="zh-CN"/>
          <w14:textFill>
            <w14:solidFill>
              <w14:schemeClr w14:val="tx1"/>
            </w14:solidFill>
          </w14:textFill>
        </w:rPr>
        <w:t>9</w:t>
      </w:r>
      <w:r>
        <w:rPr>
          <w:rFonts w:eastAsia="宋体"/>
          <w:b/>
          <w:color w:val="000000" w:themeColor="text1"/>
          <w14:textFill>
            <w14:solidFill>
              <w14:schemeClr w14:val="tx1"/>
            </w14:solidFill>
          </w14:textFill>
        </w:rPr>
        <w:t xml:space="preserve"> 超标废水直排对下游不同断面影响</w:t>
      </w:r>
    </w:p>
    <w:tbl>
      <w:tblPr>
        <w:tblStyle w:val="39"/>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COD（mg/L）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w:t>
            </w:r>
          </w:p>
        </w:tc>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100</w:t>
            </w:r>
          </w:p>
        </w:tc>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200</w:t>
            </w:r>
          </w:p>
        </w:tc>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w:t>
            </w:r>
          </w:p>
        </w:tc>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400</w:t>
            </w:r>
          </w:p>
        </w:tc>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500</w:t>
            </w:r>
          </w:p>
        </w:tc>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22.86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600</w:t>
            </w:r>
          </w:p>
        </w:tc>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22.51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700</w:t>
            </w:r>
          </w:p>
        </w:tc>
        <w:tc>
          <w:tcPr>
            <w:tcW w:w="4390" w:type="dxa"/>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800</w:t>
            </w:r>
          </w:p>
        </w:tc>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900</w:t>
            </w:r>
          </w:p>
        </w:tc>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1000</w:t>
            </w:r>
          </w:p>
        </w:tc>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1100</w:t>
            </w:r>
          </w:p>
        </w:tc>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1200</w:t>
            </w:r>
          </w:p>
        </w:tc>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1300</w:t>
            </w:r>
          </w:p>
        </w:tc>
        <w:tc>
          <w:tcPr>
            <w:tcW w:w="4390" w:type="dxa"/>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1400</w:t>
            </w:r>
          </w:p>
        </w:tc>
        <w:tc>
          <w:tcPr>
            <w:tcW w:w="4390" w:type="dxa"/>
            <w:tcBorders>
              <w:bottom w:val="single" w:color="auto" w:sz="12" w:space="0"/>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19.89</w:t>
            </w:r>
          </w:p>
        </w:tc>
      </w:tr>
    </w:tbl>
    <w:p>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eastAsia="宋体"/>
          <w:color w:val="000000" w:themeColor="text1"/>
          <w14:textFill>
            <w14:solidFill>
              <w14:schemeClr w14:val="tx1"/>
            </w14:solidFill>
          </w14:textFill>
        </w:rPr>
        <w:t>度为</w:t>
      </w:r>
      <w:r>
        <w:rPr>
          <w:rFonts w:hint="eastAsia" w:eastAsia="宋体"/>
          <w:color w:val="000000" w:themeColor="text1"/>
          <w14:textFill>
            <w14:solidFill>
              <w14:schemeClr w14:val="tx1"/>
            </w14:solidFill>
          </w14:textFill>
        </w:rPr>
        <w:t>24.69</w:t>
      </w:r>
      <w:r>
        <w:rPr>
          <w:rFonts w:eastAsia="宋体"/>
          <w:color w:val="000000" w:themeColor="text1"/>
          <w14:textFill>
            <w14:solidFill>
              <w14:schemeClr w14:val="tx1"/>
            </w14:solidFill>
          </w14:textFill>
        </w:rPr>
        <w:t>mg/L，与本底值（</w:t>
      </w:r>
      <w:r>
        <w:rPr>
          <w:rFonts w:hint="eastAsia" w:eastAsia="宋体"/>
          <w:color w:val="000000" w:themeColor="text1"/>
          <w14:textFill>
            <w14:solidFill>
              <w14:schemeClr w14:val="tx1"/>
            </w14:solidFill>
          </w14:textFill>
        </w:rPr>
        <w:t>20</w:t>
      </w:r>
      <w:r>
        <w:rPr>
          <w:rFonts w:eastAsia="宋体"/>
          <w:color w:val="000000" w:themeColor="text1"/>
          <w14:textFill>
            <w14:solidFill>
              <w14:schemeClr w14:val="tx1"/>
            </w14:solidFill>
          </w14:textFill>
        </w:rPr>
        <w:t>mg/L）相比，超标废水直接进入</w:t>
      </w:r>
      <w:r>
        <w:rPr>
          <w:rFonts w:hint="eastAsia" w:eastAsia="宋体"/>
          <w:color w:val="000000" w:themeColor="text1"/>
          <w:lang w:eastAsia="zh-CN"/>
          <w14:textFill>
            <w14:solidFill>
              <w14:schemeClr w14:val="tx1"/>
            </w14:solidFill>
          </w14:textFill>
        </w:rPr>
        <w:t>洋蛮河</w:t>
      </w:r>
      <w:r>
        <w:rPr>
          <w:rFonts w:eastAsia="宋体"/>
          <w:color w:val="000000" w:themeColor="text1"/>
          <w14:textFill>
            <w14:solidFill>
              <w14:schemeClr w14:val="tx1"/>
            </w14:solidFill>
          </w14:textFill>
        </w:rPr>
        <w:t>将对</w:t>
      </w:r>
      <w:r>
        <w:rPr>
          <w:rFonts w:hint="eastAsia" w:eastAsia="宋体"/>
          <w:color w:val="000000" w:themeColor="text1"/>
          <w:lang w:eastAsia="zh-CN"/>
          <w14:textFill>
            <w14:solidFill>
              <w14:schemeClr w14:val="tx1"/>
            </w14:solidFill>
          </w14:textFill>
        </w:rPr>
        <w:t>洋蛮河</w:t>
      </w:r>
      <w:r>
        <w:rPr>
          <w:rFonts w:eastAsia="宋体"/>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pPr>
        <w:pStyle w:val="2"/>
        <w:adjustRightInd w:val="0"/>
        <w:snapToGrid w:val="0"/>
        <w:spacing w:line="500" w:lineRule="exact"/>
        <w:jc w:val="left"/>
        <w:rPr>
          <w:rFonts w:eastAsia="宋体"/>
          <w:color w:val="000000" w:themeColor="text1"/>
          <w14:textFill>
            <w14:solidFill>
              <w14:schemeClr w14:val="tx1"/>
            </w14:solidFill>
          </w14:textFill>
        </w:rPr>
      </w:pPr>
      <w:bookmarkStart w:id="240" w:name="_Toc6431"/>
      <w:bookmarkStart w:id="241" w:name="_Toc8859"/>
      <w:bookmarkStart w:id="242" w:name="_Toc19761"/>
      <w:r>
        <w:rPr>
          <w:rFonts w:eastAsia="宋体"/>
          <w:color w:val="000000" w:themeColor="text1"/>
          <w14:textFill>
            <w14:solidFill>
              <w14:schemeClr w14:val="tx1"/>
            </w14:solidFill>
          </w14:textFill>
        </w:rPr>
        <w:t>4.4.</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事件情景</w:t>
      </w:r>
      <w:bookmarkEnd w:id="238"/>
      <w:r>
        <w:rPr>
          <w:rFonts w:hint="eastAsia" w:eastAsia="宋体"/>
          <w:color w:val="000000" w:themeColor="text1"/>
          <w14:textFill>
            <w14:solidFill>
              <w14:schemeClr w14:val="tx1"/>
            </w14:solidFill>
          </w14:textFill>
        </w:rPr>
        <w:t>4、5</w:t>
      </w:r>
      <w:bookmarkEnd w:id="240"/>
      <w:bookmarkEnd w:id="241"/>
      <w:bookmarkEnd w:id="242"/>
    </w:p>
    <w:p>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废气超标排放对外环境影响根据大气环境影响评价技术导则中的单源预测模式。根据公司验收报告，预测源强参数见</w:t>
      </w:r>
      <w:r>
        <w:rPr>
          <w:rFonts w:eastAsia="宋体"/>
          <w:color w:val="000000" w:themeColor="text1"/>
          <w14:textFill>
            <w14:solidFill>
              <w14:schemeClr w14:val="tx1"/>
            </w14:solidFill>
          </w14:textFill>
        </w:rPr>
        <w:t>表4-</w:t>
      </w:r>
      <w:r>
        <w:rPr>
          <w:rFonts w:hint="eastAsia" w:eastAsia="宋体"/>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0</w:t>
      </w:r>
      <w:r>
        <w:rPr>
          <w:rFonts w:eastAsia="宋体"/>
          <w:color w:val="000000" w:themeColor="text1"/>
          <w14:textFill>
            <w14:solidFill>
              <w14:schemeClr w14:val="tx1"/>
            </w14:solidFill>
          </w14:textFill>
        </w:rPr>
        <w:t>，预测结果见表4-</w:t>
      </w:r>
      <w:r>
        <w:rPr>
          <w:rFonts w:hint="eastAsia" w:eastAsia="宋体"/>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w:t>
      </w:r>
    </w:p>
    <w:p>
      <w:pPr>
        <w:pStyle w:val="12"/>
        <w:adjustRightInd w:val="0"/>
        <w:snapToGrid w:val="0"/>
        <w:spacing w:line="460" w:lineRule="exact"/>
        <w:jc w:val="center"/>
        <w:rPr>
          <w:color w:val="000000" w:themeColor="text1"/>
          <w:highlight w:val="yellow"/>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eastAsia="宋体"/>
          <w:b/>
          <w:color w:val="000000" w:themeColor="text1"/>
          <w14:textFill>
            <w14:solidFill>
              <w14:schemeClr w14:val="tx1"/>
            </w14:solidFill>
          </w14:textFill>
        </w:rPr>
        <w:t>4-</w:t>
      </w:r>
      <w:r>
        <w:rPr>
          <w:rFonts w:hint="eastAsia" w:eastAsia="宋体"/>
          <w:b/>
          <w:color w:val="000000" w:themeColor="text1"/>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 xml:space="preserve"> 有组织污染源参数</w:t>
      </w:r>
    </w:p>
    <w:tbl>
      <w:tblPr>
        <w:tblStyle w:val="38"/>
        <w:tblW w:w="522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92"/>
        <w:gridCol w:w="1036"/>
        <w:gridCol w:w="1116"/>
        <w:gridCol w:w="1328"/>
        <w:gridCol w:w="1089"/>
        <w:gridCol w:w="1027"/>
        <w:gridCol w:w="1470"/>
        <w:gridCol w:w="15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80" w:hRule="atLeast"/>
          <w:jc w:val="center"/>
        </w:trPr>
        <w:tc>
          <w:tcPr>
            <w:tcW w:w="471" w:type="pct"/>
            <w:tcBorders>
              <w:tl2br w:val="nil"/>
              <w:tr2bl w:val="nil"/>
            </w:tcBorders>
            <w:vAlign w:val="center"/>
          </w:tcPr>
          <w:p>
            <w:pPr>
              <w:pStyle w:val="118"/>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污染源</w:t>
            </w:r>
          </w:p>
        </w:tc>
        <w:tc>
          <w:tcPr>
            <w:tcW w:w="547" w:type="pct"/>
            <w:tcBorders>
              <w:tl2br w:val="nil"/>
              <w:tr2bl w:val="nil"/>
            </w:tcBorders>
            <w:vAlign w:val="center"/>
          </w:tcPr>
          <w:p>
            <w:pPr>
              <w:pStyle w:val="118"/>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污染物名称</w:t>
            </w:r>
          </w:p>
        </w:tc>
        <w:tc>
          <w:tcPr>
            <w:tcW w:w="589" w:type="pct"/>
            <w:tcBorders>
              <w:tl2br w:val="nil"/>
              <w:tr2bl w:val="nil"/>
            </w:tcBorders>
            <w:vAlign w:val="center"/>
          </w:tcPr>
          <w:p>
            <w:pPr>
              <w:pStyle w:val="118"/>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排气筒高度（m）</w:t>
            </w:r>
          </w:p>
        </w:tc>
        <w:tc>
          <w:tcPr>
            <w:tcW w:w="701" w:type="pct"/>
            <w:tcBorders>
              <w:tl2br w:val="nil"/>
              <w:tr2bl w:val="nil"/>
            </w:tcBorders>
            <w:vAlign w:val="center"/>
          </w:tcPr>
          <w:p>
            <w:pPr>
              <w:pStyle w:val="118"/>
              <w:adjustRightInd w:val="0"/>
              <w:spacing w:line="240" w:lineRule="auto"/>
              <w:rPr>
                <w:rFonts w:eastAsia="宋体"/>
                <w:color w:val="000000" w:themeColor="text1"/>
                <w:kern w:val="2"/>
                <w:sz w:val="21"/>
                <w14:textFill>
                  <w14:solidFill>
                    <w14:schemeClr w14:val="tx1"/>
                  </w14:solidFill>
                </w14:textFill>
              </w:rPr>
            </w:pPr>
            <w:r>
              <w:rPr>
                <w:rFonts w:hint="eastAsia" w:eastAsia="宋体"/>
                <w:color w:val="000000" w:themeColor="text1"/>
                <w:kern w:val="2"/>
                <w:sz w:val="21"/>
                <w14:textFill>
                  <w14:solidFill>
                    <w14:schemeClr w14:val="tx1"/>
                  </w14:solidFill>
                </w14:textFill>
              </w:rPr>
              <w:t>排气筒出口内径（m）</w:t>
            </w:r>
          </w:p>
        </w:tc>
        <w:tc>
          <w:tcPr>
            <w:tcW w:w="575" w:type="pct"/>
            <w:tcBorders>
              <w:tl2br w:val="nil"/>
              <w:tr2bl w:val="nil"/>
            </w:tcBorders>
            <w:vAlign w:val="center"/>
          </w:tcPr>
          <w:p>
            <w:pPr>
              <w:pStyle w:val="118"/>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标况气量（m</w:t>
            </w:r>
            <w:r>
              <w:rPr>
                <w:rFonts w:eastAsia="宋体"/>
                <w:color w:val="000000" w:themeColor="text1"/>
                <w:kern w:val="2"/>
                <w:sz w:val="21"/>
                <w:vertAlign w:val="superscript"/>
                <w14:textFill>
                  <w14:solidFill>
                    <w14:schemeClr w14:val="tx1"/>
                  </w14:solidFill>
                </w14:textFill>
              </w:rPr>
              <w:t>3</w:t>
            </w:r>
            <w:r>
              <w:rPr>
                <w:rFonts w:eastAsia="宋体"/>
                <w:color w:val="000000" w:themeColor="text1"/>
                <w:kern w:val="2"/>
                <w:sz w:val="21"/>
                <w14:textFill>
                  <w14:solidFill>
                    <w14:schemeClr w14:val="tx1"/>
                  </w14:solidFill>
                </w14:textFill>
              </w:rPr>
              <w:t>/h）</w:t>
            </w:r>
          </w:p>
        </w:tc>
        <w:tc>
          <w:tcPr>
            <w:tcW w:w="542" w:type="pct"/>
            <w:tcBorders>
              <w:tl2br w:val="nil"/>
              <w:tr2bl w:val="nil"/>
            </w:tcBorders>
            <w:vAlign w:val="center"/>
          </w:tcPr>
          <w:p>
            <w:pPr>
              <w:pStyle w:val="118"/>
              <w:adjustRightInd w:val="0"/>
              <w:spacing w:line="240" w:lineRule="auto"/>
              <w:rPr>
                <w:rFonts w:eastAsia="宋体"/>
                <w:color w:val="000000" w:themeColor="text1"/>
                <w:kern w:val="2"/>
                <w:sz w:val="21"/>
                <w14:textFill>
                  <w14:solidFill>
                    <w14:schemeClr w14:val="tx1"/>
                  </w14:solidFill>
                </w14:textFill>
              </w:rPr>
            </w:pPr>
            <w:r>
              <w:rPr>
                <w:rFonts w:hint="eastAsia" w:eastAsia="宋体"/>
                <w:color w:val="000000" w:themeColor="text1"/>
                <w:kern w:val="2"/>
                <w:sz w:val="21"/>
                <w14:textFill>
                  <w14:solidFill>
                    <w14:schemeClr w14:val="tx1"/>
                  </w14:solidFill>
                </w14:textFill>
              </w:rPr>
              <w:t>烟气温度（℃）</w:t>
            </w:r>
          </w:p>
        </w:tc>
        <w:tc>
          <w:tcPr>
            <w:tcW w:w="776" w:type="pct"/>
            <w:tcBorders>
              <w:tl2br w:val="nil"/>
              <w:tr2bl w:val="nil"/>
            </w:tcBorders>
            <w:vAlign w:val="center"/>
          </w:tcPr>
          <w:p>
            <w:pPr>
              <w:pStyle w:val="118"/>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评价标准</w:t>
            </w:r>
          </w:p>
          <w:p>
            <w:pPr>
              <w:pStyle w:val="118"/>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（µg/m</w:t>
            </w:r>
            <w:r>
              <w:rPr>
                <w:rFonts w:eastAsia="宋体"/>
                <w:color w:val="000000" w:themeColor="text1"/>
                <w:kern w:val="2"/>
                <w:sz w:val="21"/>
                <w:vertAlign w:val="superscript"/>
                <w14:textFill>
                  <w14:solidFill>
                    <w14:schemeClr w14:val="tx1"/>
                  </w14:solidFill>
                </w14:textFill>
              </w:rPr>
              <w:t>3</w:t>
            </w:r>
            <w:r>
              <w:rPr>
                <w:rFonts w:eastAsia="宋体"/>
                <w:color w:val="000000" w:themeColor="text1"/>
                <w:kern w:val="2"/>
                <w:sz w:val="21"/>
                <w14:textFill>
                  <w14:solidFill>
                    <w14:schemeClr w14:val="tx1"/>
                  </w14:solidFill>
                </w14:textFill>
              </w:rPr>
              <w:t>）</w:t>
            </w:r>
          </w:p>
        </w:tc>
        <w:tc>
          <w:tcPr>
            <w:tcW w:w="795" w:type="pct"/>
            <w:tcBorders>
              <w:tl2br w:val="nil"/>
              <w:tr2bl w:val="nil"/>
            </w:tcBorders>
            <w:vAlign w:val="center"/>
          </w:tcPr>
          <w:p>
            <w:pPr>
              <w:pStyle w:val="118"/>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非正常排放时源强（kg/h）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tcBorders>
              <w:tl2br w:val="nil"/>
              <w:tr2bl w:val="nil"/>
            </w:tcBorders>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1#排气筒</w:t>
            </w:r>
          </w:p>
        </w:tc>
        <w:tc>
          <w:tcPr>
            <w:tcW w:w="547"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25</w:t>
            </w:r>
          </w:p>
        </w:tc>
        <w:tc>
          <w:tcPr>
            <w:tcW w:w="701"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0.6</w:t>
            </w:r>
          </w:p>
        </w:tc>
        <w:tc>
          <w:tcPr>
            <w:tcW w:w="575" w:type="pct"/>
            <w:tcBorders>
              <w:tl2br w:val="nil"/>
              <w:tr2bl w:val="nil"/>
            </w:tcBorders>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15000</w:t>
            </w:r>
          </w:p>
        </w:tc>
        <w:tc>
          <w:tcPr>
            <w:tcW w:w="542"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900（小时值）</w:t>
            </w:r>
          </w:p>
        </w:tc>
        <w:tc>
          <w:tcPr>
            <w:tcW w:w="795"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0.360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tcBorders>
              <w:tl2br w:val="nil"/>
              <w:tr2bl w:val="nil"/>
            </w:tcBorders>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2#排气筒</w:t>
            </w:r>
          </w:p>
        </w:tc>
        <w:tc>
          <w:tcPr>
            <w:tcW w:w="547"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25</w:t>
            </w:r>
          </w:p>
        </w:tc>
        <w:tc>
          <w:tcPr>
            <w:tcW w:w="701"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0.8</w:t>
            </w:r>
          </w:p>
        </w:tc>
        <w:tc>
          <w:tcPr>
            <w:tcW w:w="575" w:type="pct"/>
            <w:tcBorders>
              <w:tl2br w:val="nil"/>
              <w:tr2bl w:val="nil"/>
            </w:tcBorders>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25000</w:t>
            </w:r>
          </w:p>
        </w:tc>
        <w:tc>
          <w:tcPr>
            <w:tcW w:w="542"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900（小时值）</w:t>
            </w:r>
          </w:p>
        </w:tc>
        <w:tc>
          <w:tcPr>
            <w:tcW w:w="795"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0.540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tcBorders>
              <w:tl2br w:val="nil"/>
              <w:tr2bl w:val="nil"/>
            </w:tcBorders>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#排气筒</w:t>
            </w:r>
          </w:p>
        </w:tc>
        <w:tc>
          <w:tcPr>
            <w:tcW w:w="547"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25</w:t>
            </w:r>
          </w:p>
        </w:tc>
        <w:tc>
          <w:tcPr>
            <w:tcW w:w="701"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0.9</w:t>
            </w:r>
          </w:p>
        </w:tc>
        <w:tc>
          <w:tcPr>
            <w:tcW w:w="575" w:type="pct"/>
            <w:tcBorders>
              <w:tl2br w:val="nil"/>
              <w:tr2bl w:val="nil"/>
            </w:tcBorders>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35000</w:t>
            </w:r>
          </w:p>
        </w:tc>
        <w:tc>
          <w:tcPr>
            <w:tcW w:w="542"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900（小时值）</w:t>
            </w:r>
          </w:p>
        </w:tc>
        <w:tc>
          <w:tcPr>
            <w:tcW w:w="795"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0.441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tcBorders>
              <w:tl2br w:val="nil"/>
              <w:tr2bl w:val="nil"/>
            </w:tcBorders>
            <w:vAlign w:val="center"/>
          </w:tcPr>
          <w:p>
            <w:pPr>
              <w:pStyle w:val="142"/>
              <w:rPr>
                <w:rFonts w:ascii="Times New Roman" w:hAnsi="Times New Roman" w:eastAsia="宋体" w:cs="Times New Roman"/>
                <w:kern w:val="2"/>
                <w:sz w:val="21"/>
                <w:szCs w:val="21"/>
                <w:lang w:val="en-US" w:eastAsia="zh-CN" w:bidi="ar-SA"/>
              </w:rPr>
            </w:pPr>
            <w:r>
              <w:rPr>
                <w:rFonts w:hint="eastAsia" w:ascii="Times New Roman" w:hAnsi="Times New Roman" w:cs="Times New Roman"/>
                <w:color w:val="000000"/>
                <w:sz w:val="21"/>
                <w:szCs w:val="21"/>
                <w:lang w:val="en-US" w:eastAsia="zh-CN"/>
              </w:rPr>
              <w:t>4</w:t>
            </w:r>
            <w:r>
              <w:rPr>
                <w:rFonts w:hint="eastAsia" w:ascii="Times New Roman" w:hAnsi="Times New Roman" w:cs="Times New Roman"/>
                <w:color w:val="000000"/>
                <w:sz w:val="21"/>
                <w:szCs w:val="21"/>
              </w:rPr>
              <w:t>#排气筒</w:t>
            </w:r>
          </w:p>
        </w:tc>
        <w:tc>
          <w:tcPr>
            <w:tcW w:w="547" w:type="pc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25</w:t>
            </w:r>
          </w:p>
        </w:tc>
        <w:tc>
          <w:tcPr>
            <w:tcW w:w="701"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0.9</w:t>
            </w:r>
          </w:p>
        </w:tc>
        <w:tc>
          <w:tcPr>
            <w:tcW w:w="575" w:type="pct"/>
            <w:tcBorders>
              <w:tl2br w:val="nil"/>
              <w:tr2bl w:val="nil"/>
            </w:tcBorders>
            <w:vAlign w:val="center"/>
          </w:tcPr>
          <w:p>
            <w:pPr>
              <w:pStyle w:val="142"/>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35000</w:t>
            </w:r>
          </w:p>
        </w:tc>
        <w:tc>
          <w:tcPr>
            <w:tcW w:w="542"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900（小时值）</w:t>
            </w:r>
          </w:p>
        </w:tc>
        <w:tc>
          <w:tcPr>
            <w:tcW w:w="795"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5</w:t>
            </w:r>
            <w:r>
              <w:rPr>
                <w:rFonts w:hint="eastAsia" w:ascii="Times New Roman" w:hAnsi="Times New Roman" w:cs="Times New Roman"/>
                <w:color w:val="000000"/>
                <w:sz w:val="21"/>
                <w:szCs w:val="21"/>
              </w:rPr>
              <w:t>#排气筒</w:t>
            </w:r>
          </w:p>
        </w:tc>
        <w:tc>
          <w:tcPr>
            <w:tcW w:w="547"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25</w:t>
            </w:r>
          </w:p>
        </w:tc>
        <w:tc>
          <w:tcPr>
            <w:tcW w:w="701"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0.9</w:t>
            </w:r>
          </w:p>
        </w:tc>
        <w:tc>
          <w:tcPr>
            <w:tcW w:w="575" w:type="pct"/>
            <w:tcBorders>
              <w:tl2br w:val="nil"/>
              <w:tr2bl w:val="nil"/>
            </w:tcBorders>
            <w:vAlign w:val="center"/>
          </w:tcPr>
          <w:p>
            <w:pPr>
              <w:adjustRightInd w:val="0"/>
              <w:snapToGrid w:val="0"/>
              <w:jc w:val="center"/>
              <w:rPr>
                <w:rFonts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35000</w:t>
            </w:r>
          </w:p>
        </w:tc>
        <w:tc>
          <w:tcPr>
            <w:tcW w:w="542"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900（小时值）</w:t>
            </w:r>
          </w:p>
        </w:tc>
        <w:tc>
          <w:tcPr>
            <w:tcW w:w="795"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0.074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vMerge w:val="restar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6</w:t>
            </w:r>
            <w:r>
              <w:rPr>
                <w:rFonts w:hint="eastAsia" w:ascii="Times New Roman" w:hAnsi="Times New Roman" w:cs="Times New Roman"/>
                <w:color w:val="000000"/>
                <w:sz w:val="21"/>
                <w:szCs w:val="21"/>
              </w:rPr>
              <w:t>#排气筒</w:t>
            </w:r>
          </w:p>
        </w:tc>
        <w:tc>
          <w:tcPr>
            <w:tcW w:w="547" w:type="pc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vMerge w:val="restar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25</w:t>
            </w:r>
          </w:p>
        </w:tc>
        <w:tc>
          <w:tcPr>
            <w:tcW w:w="701" w:type="pct"/>
            <w:vMerge w:val="restar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1.2</w:t>
            </w:r>
          </w:p>
        </w:tc>
        <w:tc>
          <w:tcPr>
            <w:tcW w:w="575" w:type="pct"/>
            <w:vMerge w:val="restart"/>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92000</w:t>
            </w:r>
          </w:p>
        </w:tc>
        <w:tc>
          <w:tcPr>
            <w:tcW w:w="542" w:type="pct"/>
            <w:vMerge w:val="restar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900（小时值）</w:t>
            </w:r>
          </w:p>
        </w:tc>
        <w:tc>
          <w:tcPr>
            <w:tcW w:w="795"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1.807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vMerge w:val="continue"/>
            <w:tcBorders>
              <w:tl2br w:val="nil"/>
              <w:tr2bl w:val="nil"/>
            </w:tcBorders>
            <w:vAlign w:val="center"/>
          </w:tcPr>
          <w:p>
            <w:pPr>
              <w:pStyle w:val="142"/>
              <w:adjustRightInd w:val="0"/>
              <w:snapToGrid w:val="0"/>
              <w:rPr>
                <w:rFonts w:hint="default" w:ascii="Times New Roman" w:hAnsi="Times New Roman" w:cs="Times New Roman"/>
                <w:color w:val="000000"/>
                <w:sz w:val="21"/>
                <w:szCs w:val="21"/>
                <w:lang w:val="en-US" w:eastAsia="zh-CN"/>
              </w:rPr>
            </w:pPr>
          </w:p>
        </w:tc>
        <w:tc>
          <w:tcPr>
            <w:tcW w:w="547"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589" w:type="pct"/>
            <w:vMerge w:val="continue"/>
            <w:tcBorders>
              <w:tl2br w:val="nil"/>
              <w:tr2bl w:val="nil"/>
            </w:tcBorders>
            <w:vAlign w:val="center"/>
          </w:tcPr>
          <w:p>
            <w:pPr>
              <w:pStyle w:val="142"/>
              <w:rPr>
                <w:rFonts w:hint="eastAsia" w:ascii="Times New Roman" w:hAnsi="Times New Roman" w:cs="Times New Roman"/>
                <w:sz w:val="21"/>
                <w:lang w:val="en-US" w:eastAsia="zh-CN"/>
              </w:rPr>
            </w:pPr>
          </w:p>
        </w:tc>
        <w:tc>
          <w:tcPr>
            <w:tcW w:w="701" w:type="pct"/>
            <w:vMerge w:val="continue"/>
            <w:tcBorders>
              <w:tl2br w:val="nil"/>
              <w:tr2bl w:val="nil"/>
            </w:tcBorders>
            <w:vAlign w:val="center"/>
          </w:tcPr>
          <w:p>
            <w:pPr>
              <w:pStyle w:val="142"/>
              <w:rPr>
                <w:rFonts w:hint="eastAsia" w:ascii="Times New Roman" w:hAnsi="Times New Roman" w:cs="Times New Roman"/>
                <w:sz w:val="21"/>
                <w:lang w:val="en-US" w:eastAsia="zh-CN"/>
              </w:rPr>
            </w:pPr>
          </w:p>
        </w:tc>
        <w:tc>
          <w:tcPr>
            <w:tcW w:w="575" w:type="pct"/>
            <w:vMerge w:val="continue"/>
            <w:tcBorders>
              <w:tl2br w:val="nil"/>
              <w:tr2bl w:val="nil"/>
            </w:tcBorders>
            <w:vAlign w:val="center"/>
          </w:tcPr>
          <w:p>
            <w:pPr>
              <w:adjustRightInd w:val="0"/>
              <w:snapToGrid w:val="0"/>
              <w:jc w:val="center"/>
              <w:rPr>
                <w:rFonts w:hint="eastAsia" w:eastAsia="宋体"/>
                <w:color w:val="000000"/>
                <w:sz w:val="21"/>
                <w:szCs w:val="21"/>
                <w:lang w:val="en-US" w:eastAsia="zh-CN"/>
              </w:rPr>
            </w:pPr>
          </w:p>
        </w:tc>
        <w:tc>
          <w:tcPr>
            <w:tcW w:w="542" w:type="pct"/>
            <w:vMerge w:val="continue"/>
            <w:tcBorders>
              <w:tl2br w:val="nil"/>
              <w:tr2bl w:val="nil"/>
            </w:tcBorders>
            <w:vAlign w:val="center"/>
          </w:tcPr>
          <w:p>
            <w:pPr>
              <w:adjustRightInd w:val="0"/>
              <w:snapToGrid w:val="0"/>
              <w:jc w:val="center"/>
              <w:rPr>
                <w:rFonts w:hint="eastAsia" w:eastAsia="宋体"/>
                <w:color w:val="000000" w:themeColor="text1"/>
                <w:sz w:val="21"/>
                <w:szCs w:val="21"/>
                <w:lang w:val="en-US" w:eastAsia="zh-CN"/>
                <w14:textFill>
                  <w14:solidFill>
                    <w14:schemeClr w14:val="tx1"/>
                  </w14:solidFill>
                </w14:textFill>
              </w:rPr>
            </w:pP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600（8h平均值）</w:t>
            </w:r>
          </w:p>
        </w:tc>
        <w:tc>
          <w:tcPr>
            <w:tcW w:w="795"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1.029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80" w:hRule="atLeast"/>
          <w:jc w:val="center"/>
        </w:trPr>
        <w:tc>
          <w:tcPr>
            <w:tcW w:w="471" w:type="pct"/>
            <w:vMerge w:val="restar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7</w:t>
            </w:r>
            <w:r>
              <w:rPr>
                <w:rFonts w:hint="eastAsia" w:ascii="Times New Roman" w:hAnsi="Times New Roman" w:cs="Times New Roman"/>
                <w:color w:val="000000"/>
                <w:sz w:val="21"/>
                <w:szCs w:val="21"/>
              </w:rPr>
              <w:t>#排气筒</w:t>
            </w:r>
          </w:p>
        </w:tc>
        <w:tc>
          <w:tcPr>
            <w:tcW w:w="547"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vMerge w:val="restar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25</w:t>
            </w:r>
          </w:p>
        </w:tc>
        <w:tc>
          <w:tcPr>
            <w:tcW w:w="701" w:type="pct"/>
            <w:vMerge w:val="restar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1.2</w:t>
            </w:r>
          </w:p>
        </w:tc>
        <w:tc>
          <w:tcPr>
            <w:tcW w:w="575" w:type="pct"/>
            <w:vMerge w:val="restart"/>
            <w:tcBorders>
              <w:tl2br w:val="nil"/>
              <w:tr2bl w:val="nil"/>
            </w:tcBorders>
            <w:vAlign w:val="center"/>
          </w:tcPr>
          <w:p>
            <w:pPr>
              <w:adjustRightInd w:val="0"/>
              <w:snapToGrid w:val="0"/>
              <w:jc w:val="center"/>
              <w:rPr>
                <w:rFonts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80000</w:t>
            </w:r>
          </w:p>
        </w:tc>
        <w:tc>
          <w:tcPr>
            <w:tcW w:w="542" w:type="pct"/>
            <w:vMerge w:val="restar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900（小时值）</w:t>
            </w:r>
          </w:p>
        </w:tc>
        <w:tc>
          <w:tcPr>
            <w:tcW w:w="795"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1.789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vMerge w:val="continue"/>
            <w:tcBorders>
              <w:tl2br w:val="nil"/>
              <w:tr2bl w:val="nil"/>
            </w:tcBorders>
            <w:vAlign w:val="center"/>
          </w:tcPr>
          <w:p>
            <w:pPr>
              <w:pStyle w:val="142"/>
              <w:adjustRightInd w:val="0"/>
              <w:snapToGrid w:val="0"/>
              <w:rPr>
                <w:rFonts w:ascii="Times New Roman" w:hAnsi="Times New Roman" w:cs="Times New Roman"/>
                <w:color w:val="000000"/>
                <w:sz w:val="21"/>
                <w:szCs w:val="21"/>
              </w:rPr>
            </w:pPr>
          </w:p>
        </w:tc>
        <w:tc>
          <w:tcPr>
            <w:tcW w:w="547"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589" w:type="pct"/>
            <w:vMerge w:val="continue"/>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p>
        </w:tc>
        <w:tc>
          <w:tcPr>
            <w:tcW w:w="701" w:type="pct"/>
            <w:vMerge w:val="continue"/>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p>
        </w:tc>
        <w:tc>
          <w:tcPr>
            <w:tcW w:w="575" w:type="pct"/>
            <w:vMerge w:val="continue"/>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p>
        </w:tc>
        <w:tc>
          <w:tcPr>
            <w:tcW w:w="542" w:type="pct"/>
            <w:vMerge w:val="continue"/>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600（8h平均值）</w:t>
            </w:r>
          </w:p>
        </w:tc>
        <w:tc>
          <w:tcPr>
            <w:tcW w:w="795"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vMerge w:val="restar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8</w:t>
            </w:r>
            <w:r>
              <w:rPr>
                <w:rFonts w:hint="eastAsia" w:ascii="Times New Roman" w:hAnsi="Times New Roman" w:cs="Times New Roman"/>
                <w:color w:val="000000"/>
                <w:sz w:val="21"/>
                <w:szCs w:val="21"/>
              </w:rPr>
              <w:t>#排气筒</w:t>
            </w:r>
          </w:p>
        </w:tc>
        <w:tc>
          <w:tcPr>
            <w:tcW w:w="547"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vMerge w:val="restar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25</w:t>
            </w:r>
          </w:p>
        </w:tc>
        <w:tc>
          <w:tcPr>
            <w:tcW w:w="701" w:type="pct"/>
            <w:vMerge w:val="restar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1.2</w:t>
            </w:r>
          </w:p>
        </w:tc>
        <w:tc>
          <w:tcPr>
            <w:tcW w:w="575" w:type="pct"/>
            <w:vMerge w:val="restart"/>
            <w:tcBorders>
              <w:tl2br w:val="nil"/>
              <w:tr2bl w:val="nil"/>
            </w:tcBorders>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94000</w:t>
            </w:r>
          </w:p>
        </w:tc>
        <w:tc>
          <w:tcPr>
            <w:tcW w:w="542" w:type="pct"/>
            <w:vMerge w:val="restar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p>
            <w:pPr>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900（小时值）</w:t>
            </w:r>
          </w:p>
        </w:tc>
        <w:tc>
          <w:tcPr>
            <w:tcW w:w="795"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1.698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vMerge w:val="continue"/>
            <w:tcBorders>
              <w:tl2br w:val="nil"/>
              <w:tr2bl w:val="nil"/>
            </w:tcBorders>
            <w:vAlign w:val="center"/>
          </w:tcPr>
          <w:p>
            <w:pPr>
              <w:pStyle w:val="142"/>
              <w:adjustRightInd w:val="0"/>
              <w:snapToGrid w:val="0"/>
              <w:rPr>
                <w:rFonts w:ascii="Times New Roman" w:hAnsi="Times New Roman" w:cs="Times New Roman"/>
                <w:color w:val="000000"/>
                <w:sz w:val="21"/>
                <w:szCs w:val="21"/>
              </w:rPr>
            </w:pPr>
          </w:p>
        </w:tc>
        <w:tc>
          <w:tcPr>
            <w:tcW w:w="547"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589"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701"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575"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542" w:type="pct"/>
            <w:vMerge w:val="continue"/>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p>
        </w:tc>
        <w:tc>
          <w:tcPr>
            <w:tcW w:w="776" w:type="pct"/>
            <w:tcBorders>
              <w:tl2br w:val="nil"/>
              <w:tr2bl w:val="nil"/>
            </w:tcBorders>
            <w:vAlign w:val="center"/>
          </w:tcPr>
          <w:p>
            <w:pPr>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600（8h平均值）</w:t>
            </w:r>
          </w:p>
        </w:tc>
        <w:tc>
          <w:tcPr>
            <w:tcW w:w="795"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0.783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vMerge w:val="restar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9</w:t>
            </w:r>
            <w:r>
              <w:rPr>
                <w:rFonts w:hint="eastAsia" w:ascii="Times New Roman" w:hAnsi="Times New Roman" w:cs="Times New Roman"/>
                <w:color w:val="000000"/>
                <w:sz w:val="21"/>
                <w:szCs w:val="21"/>
              </w:rPr>
              <w:t>#排气筒</w:t>
            </w:r>
          </w:p>
        </w:tc>
        <w:tc>
          <w:tcPr>
            <w:tcW w:w="547"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vMerge w:val="restar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25</w:t>
            </w:r>
          </w:p>
        </w:tc>
        <w:tc>
          <w:tcPr>
            <w:tcW w:w="701" w:type="pct"/>
            <w:vMerge w:val="restar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1.2</w:t>
            </w:r>
          </w:p>
        </w:tc>
        <w:tc>
          <w:tcPr>
            <w:tcW w:w="575" w:type="pct"/>
            <w:vMerge w:val="restart"/>
            <w:tcBorders>
              <w:tl2br w:val="nil"/>
              <w:tr2bl w:val="nil"/>
            </w:tcBorders>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90000</w:t>
            </w:r>
          </w:p>
        </w:tc>
        <w:tc>
          <w:tcPr>
            <w:tcW w:w="542" w:type="pct"/>
            <w:vMerge w:val="restar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p>
            <w:pPr>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900（小时值）</w:t>
            </w:r>
          </w:p>
        </w:tc>
        <w:tc>
          <w:tcPr>
            <w:tcW w:w="795"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1.671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vMerge w:val="continue"/>
            <w:tcBorders>
              <w:tl2br w:val="nil"/>
              <w:tr2bl w:val="nil"/>
            </w:tcBorders>
            <w:vAlign w:val="center"/>
          </w:tcPr>
          <w:p>
            <w:pPr>
              <w:pStyle w:val="142"/>
              <w:adjustRightInd w:val="0"/>
              <w:snapToGrid w:val="0"/>
              <w:rPr>
                <w:rFonts w:ascii="Times New Roman" w:hAnsi="Times New Roman" w:cs="Times New Roman"/>
                <w:color w:val="000000"/>
                <w:sz w:val="21"/>
                <w:szCs w:val="21"/>
              </w:rPr>
            </w:pPr>
          </w:p>
        </w:tc>
        <w:tc>
          <w:tcPr>
            <w:tcW w:w="547" w:type="pc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589"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701"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575"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542" w:type="pct"/>
            <w:vMerge w:val="continue"/>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p>
        </w:tc>
        <w:tc>
          <w:tcPr>
            <w:tcW w:w="776" w:type="pct"/>
            <w:tcBorders>
              <w:tl2br w:val="nil"/>
              <w:tr2bl w:val="nil"/>
            </w:tcBorders>
            <w:vAlign w:val="center"/>
          </w:tcPr>
          <w:p>
            <w:pPr>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600（8h平均值）</w:t>
            </w:r>
          </w:p>
        </w:tc>
        <w:tc>
          <w:tcPr>
            <w:tcW w:w="795"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1.147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vMerge w:val="continue"/>
            <w:tcBorders>
              <w:tl2br w:val="nil"/>
              <w:tr2bl w:val="nil"/>
            </w:tcBorders>
            <w:vAlign w:val="center"/>
          </w:tcPr>
          <w:p>
            <w:pPr>
              <w:pStyle w:val="142"/>
              <w:adjustRightInd w:val="0"/>
              <w:snapToGrid w:val="0"/>
              <w:rPr>
                <w:rFonts w:ascii="Times New Roman" w:hAnsi="Times New Roman" w:cs="Times New Roman"/>
                <w:color w:val="000000"/>
                <w:sz w:val="21"/>
                <w:szCs w:val="21"/>
              </w:rPr>
            </w:pPr>
          </w:p>
        </w:tc>
        <w:tc>
          <w:tcPr>
            <w:tcW w:w="547"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甲醛</w:t>
            </w:r>
          </w:p>
        </w:tc>
        <w:tc>
          <w:tcPr>
            <w:tcW w:w="589"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701"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575"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542" w:type="pct"/>
            <w:vMerge w:val="continue"/>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p>
        </w:tc>
        <w:tc>
          <w:tcPr>
            <w:tcW w:w="776" w:type="pct"/>
            <w:tcBorders>
              <w:tl2br w:val="nil"/>
              <w:tr2bl w:val="nil"/>
            </w:tcBorders>
            <w:vAlign w:val="center"/>
          </w:tcPr>
          <w:p>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ascii="Times New Roman" w:hAnsi="Times New Roman" w:eastAsia="宋体"/>
                <w:b w:val="0"/>
                <w:sz w:val="21"/>
                <w:szCs w:val="21"/>
              </w:rPr>
              <w:t>50</w:t>
            </w:r>
            <w:r>
              <w:rPr>
                <w:rFonts w:hint="eastAsia" w:ascii="宋体" w:hAnsi="宋体" w:eastAsia="宋体"/>
                <w:b w:val="0"/>
                <w:sz w:val="23"/>
                <w:szCs w:val="23"/>
                <w:lang w:eastAsia="zh-CN"/>
              </w:rPr>
              <w:t>（</w:t>
            </w:r>
            <w:r>
              <w:rPr>
                <w:rFonts w:eastAsia="宋体"/>
                <w:color w:val="000000" w:themeColor="text1"/>
                <w:sz w:val="21"/>
                <w:szCs w:val="21"/>
                <w14:textFill>
                  <w14:solidFill>
                    <w14:schemeClr w14:val="tx1"/>
                  </w14:solidFill>
                </w14:textFill>
              </w:rPr>
              <w:t>小时值</w:t>
            </w:r>
            <w:r>
              <w:rPr>
                <w:rFonts w:hint="eastAsia" w:ascii="宋体" w:hAnsi="宋体" w:eastAsia="宋体"/>
                <w:b w:val="0"/>
                <w:sz w:val="23"/>
                <w:szCs w:val="23"/>
                <w:lang w:eastAsia="zh-CN"/>
              </w:rPr>
              <w:t>）</w:t>
            </w:r>
          </w:p>
        </w:tc>
        <w:tc>
          <w:tcPr>
            <w:tcW w:w="795"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0.237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vMerge w:val="restar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11</w:t>
            </w:r>
            <w:r>
              <w:rPr>
                <w:rFonts w:hint="eastAsia" w:ascii="Times New Roman" w:hAnsi="Times New Roman" w:cs="Times New Roman"/>
                <w:color w:val="000000"/>
                <w:sz w:val="21"/>
                <w:szCs w:val="21"/>
              </w:rPr>
              <w:t>#排气筒</w:t>
            </w:r>
          </w:p>
        </w:tc>
        <w:tc>
          <w:tcPr>
            <w:tcW w:w="547"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vMerge w:val="restar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25</w:t>
            </w:r>
          </w:p>
        </w:tc>
        <w:tc>
          <w:tcPr>
            <w:tcW w:w="701" w:type="pct"/>
            <w:vMerge w:val="restar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0.76</w:t>
            </w:r>
          </w:p>
        </w:tc>
        <w:tc>
          <w:tcPr>
            <w:tcW w:w="575" w:type="pct"/>
            <w:vMerge w:val="restart"/>
            <w:tcBorders>
              <w:tl2br w:val="nil"/>
              <w:tr2bl w:val="nil"/>
            </w:tcBorders>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25000</w:t>
            </w:r>
          </w:p>
        </w:tc>
        <w:tc>
          <w:tcPr>
            <w:tcW w:w="542" w:type="pct"/>
            <w:vMerge w:val="restar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6" w:type="pct"/>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p>
            <w:pPr>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900（小时值）</w:t>
            </w:r>
          </w:p>
        </w:tc>
        <w:tc>
          <w:tcPr>
            <w:tcW w:w="795"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1" w:type="pct"/>
            <w:vMerge w:val="continue"/>
            <w:tcBorders>
              <w:tl2br w:val="nil"/>
              <w:tr2bl w:val="nil"/>
            </w:tcBorders>
            <w:vAlign w:val="center"/>
          </w:tcPr>
          <w:p>
            <w:pPr>
              <w:pStyle w:val="142"/>
              <w:adjustRightInd w:val="0"/>
              <w:snapToGrid w:val="0"/>
              <w:rPr>
                <w:rFonts w:ascii="Times New Roman" w:hAnsi="Times New Roman" w:cs="Times New Roman"/>
                <w:color w:val="000000"/>
                <w:sz w:val="21"/>
                <w:szCs w:val="21"/>
              </w:rPr>
            </w:pPr>
          </w:p>
        </w:tc>
        <w:tc>
          <w:tcPr>
            <w:tcW w:w="547"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589"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701"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575"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542" w:type="pct"/>
            <w:vMerge w:val="continue"/>
            <w:tcBorders>
              <w:tl2br w:val="nil"/>
              <w:tr2bl w:val="nil"/>
            </w:tcBorders>
            <w:vAlign w:val="center"/>
          </w:tcPr>
          <w:p>
            <w:pPr>
              <w:adjustRightInd w:val="0"/>
              <w:snapToGrid w:val="0"/>
              <w:jc w:val="center"/>
              <w:rPr>
                <w:rFonts w:eastAsia="宋体"/>
                <w:color w:val="000000" w:themeColor="text1"/>
                <w:sz w:val="21"/>
                <w:szCs w:val="21"/>
                <w14:textFill>
                  <w14:solidFill>
                    <w14:schemeClr w14:val="tx1"/>
                  </w14:solidFill>
                </w14:textFill>
              </w:rPr>
            </w:pPr>
          </w:p>
        </w:tc>
        <w:tc>
          <w:tcPr>
            <w:tcW w:w="776" w:type="pct"/>
            <w:tcBorders>
              <w:tl2br w:val="nil"/>
              <w:tr2bl w:val="nil"/>
            </w:tcBorders>
            <w:vAlign w:val="center"/>
          </w:tcPr>
          <w:p>
            <w:pPr>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600（8h平均值）</w:t>
            </w:r>
          </w:p>
        </w:tc>
        <w:tc>
          <w:tcPr>
            <w:tcW w:w="795"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0.059</w:t>
            </w:r>
          </w:p>
        </w:tc>
      </w:tr>
    </w:tbl>
    <w:p>
      <w:pPr>
        <w:pStyle w:val="13"/>
        <w:adjustRightInd w:val="0"/>
        <w:snapToGrid w:val="0"/>
        <w:spacing w:after="0" w:line="500" w:lineRule="exact"/>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eastAsia="宋体"/>
          <w:b/>
          <w:color w:val="000000" w:themeColor="text1"/>
          <w14:textFill>
            <w14:solidFill>
              <w14:schemeClr w14:val="tx1"/>
            </w14:solidFill>
          </w14:textFill>
        </w:rPr>
        <w:t>4-</w:t>
      </w:r>
      <w:r>
        <w:rPr>
          <w:rFonts w:hint="eastAsia" w:eastAsia="宋体"/>
          <w:b/>
          <w:color w:val="000000" w:themeColor="text1"/>
          <w14:textFill>
            <w14:solidFill>
              <w14:schemeClr w14:val="tx1"/>
            </w14:solidFill>
          </w14:textFill>
        </w:rPr>
        <w:t>12</w:t>
      </w:r>
      <w:r>
        <w:rPr>
          <w:rFonts w:hint="eastAsia" w:ascii="宋体" w:hAnsi="宋体" w:eastAsia="宋体" w:cs="宋体"/>
          <w:b/>
          <w:color w:val="000000" w:themeColor="text1"/>
          <w14:textFill>
            <w14:solidFill>
              <w14:schemeClr w14:val="tx1"/>
            </w14:solidFill>
          </w14:textFill>
        </w:rPr>
        <w:t xml:space="preserve"> 废气污染源预测参数</w:t>
      </w:r>
    </w:p>
    <w:tbl>
      <w:tblPr>
        <w:tblStyle w:val="38"/>
        <w:tblpPr w:leftFromText="180" w:rightFromText="180" w:vertAnchor="text" w:horzAnchor="page" w:tblpX="1457" w:tblpY="340"/>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831"/>
        <w:gridCol w:w="1476"/>
        <w:gridCol w:w="3084"/>
        <w:gridCol w:w="16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662" w:type="pct"/>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污染源</w:t>
            </w:r>
          </w:p>
        </w:tc>
        <w:tc>
          <w:tcPr>
            <w:tcW w:w="991" w:type="pct"/>
            <w:tcBorders>
              <w:tl2br w:val="nil"/>
              <w:tr2bl w:val="nil"/>
            </w:tcBorders>
            <w:vAlign w:val="center"/>
          </w:tcPr>
          <w:p>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pPr>
              <w:pStyle w:val="142"/>
              <w:adjustRightInd w:val="0"/>
              <w:snapToGrid w:val="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污染物名称</w:t>
            </w:r>
          </w:p>
        </w:tc>
        <w:tc>
          <w:tcPr>
            <w:tcW w:w="1669" w:type="pct"/>
            <w:tcBorders>
              <w:tl2br w:val="nil"/>
              <w:tr2bl w:val="nil"/>
            </w:tcBorders>
            <w:vAlign w:val="center"/>
          </w:tcPr>
          <w:p>
            <w:pPr>
              <w:pStyle w:val="142"/>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下风向预测浓度Ci(mg/m</w:t>
            </w:r>
            <w:r>
              <w:rPr>
                <w:rFonts w:ascii="Times New Roman" w:hAnsi="Times New Roman" w:cs="Times New Roman"/>
                <w:color w:val="000000" w:themeColor="text1"/>
                <w:sz w:val="21"/>
                <w:szCs w:val="21"/>
                <w:vertAlign w:val="superscript"/>
                <w14:textFill>
                  <w14:solidFill>
                    <w14:schemeClr w14:val="tx1"/>
                  </w14:solidFill>
                </w14:textFill>
              </w:rPr>
              <w:t>3</w:t>
            </w:r>
            <w:r>
              <w:rPr>
                <w:rFonts w:ascii="Times New Roman" w:hAnsi="Times New Roman" w:cs="Times New Roman"/>
                <w:color w:val="000000" w:themeColor="text1"/>
                <w:sz w:val="21"/>
                <w:szCs w:val="21"/>
                <w14:textFill>
                  <w14:solidFill>
                    <w14:schemeClr w14:val="tx1"/>
                  </w14:solidFill>
                </w14:textFill>
              </w:rPr>
              <w:t>)</w:t>
            </w:r>
          </w:p>
        </w:tc>
        <w:tc>
          <w:tcPr>
            <w:tcW w:w="877" w:type="pct"/>
            <w:tcBorders>
              <w:tl2br w:val="nil"/>
              <w:tr2bl w:val="nil"/>
            </w:tcBorders>
            <w:vAlign w:val="center"/>
          </w:tcPr>
          <w:p>
            <w:pPr>
              <w:pStyle w:val="142"/>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占标率Pi(%)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tcBorders>
              <w:tl2br w:val="nil"/>
              <w:tr2bl w:val="nil"/>
            </w:tcBorders>
            <w:vAlign w:val="center"/>
          </w:tcPr>
          <w:p>
            <w:pPr>
              <w:pStyle w:val="142"/>
              <w:rPr>
                <w:rFonts w:ascii="Times New Roman" w:hAnsi="Times New Roman" w:cs="Times New Roman"/>
                <w:sz w:val="21"/>
                <w:szCs w:val="21"/>
              </w:rPr>
            </w:pPr>
            <w:r>
              <w:rPr>
                <w:rFonts w:hint="eastAsia" w:ascii="Times New Roman" w:hAnsi="Times New Roman" w:cs="Times New Roman"/>
                <w:sz w:val="21"/>
                <w:szCs w:val="21"/>
              </w:rPr>
              <w:t>1#排气筒</w:t>
            </w:r>
          </w:p>
        </w:tc>
        <w:tc>
          <w:tcPr>
            <w:tcW w:w="991"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123</w:t>
            </w:r>
          </w:p>
        </w:tc>
        <w:tc>
          <w:tcPr>
            <w:tcW w:w="799"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0.01743</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1.94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tcBorders>
              <w:tl2br w:val="nil"/>
              <w:tr2bl w:val="nil"/>
            </w:tcBorders>
            <w:vAlign w:val="center"/>
          </w:tcPr>
          <w:p>
            <w:pPr>
              <w:adjustRightInd w:val="0"/>
              <w:snapToGrid w:val="0"/>
              <w:jc w:val="center"/>
              <w:rPr>
                <w:rFonts w:eastAsia="宋体"/>
                <w:color w:val="000000"/>
                <w:sz w:val="21"/>
                <w:szCs w:val="21"/>
              </w:rPr>
            </w:pPr>
            <w:r>
              <w:rPr>
                <w:rFonts w:hint="eastAsia" w:eastAsia="宋体"/>
                <w:sz w:val="21"/>
                <w:szCs w:val="21"/>
              </w:rPr>
              <w:t>2#排气筒</w:t>
            </w:r>
          </w:p>
        </w:tc>
        <w:tc>
          <w:tcPr>
            <w:tcW w:w="991"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130</w:t>
            </w:r>
          </w:p>
        </w:tc>
        <w:tc>
          <w:tcPr>
            <w:tcW w:w="799"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0.02429</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tcBorders>
              <w:tl2br w:val="nil"/>
              <w:tr2bl w:val="nil"/>
            </w:tcBorders>
            <w:vAlign w:val="center"/>
          </w:tcPr>
          <w:p>
            <w:pPr>
              <w:pStyle w:val="142"/>
              <w:rPr>
                <w:rFonts w:ascii="Times New Roman" w:hAnsi="Times New Roman" w:cs="Times New Roman"/>
                <w:sz w:val="21"/>
                <w:szCs w:val="21"/>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#排气筒</w:t>
            </w:r>
          </w:p>
        </w:tc>
        <w:tc>
          <w:tcPr>
            <w:tcW w:w="991"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131</w:t>
            </w:r>
          </w:p>
        </w:tc>
        <w:tc>
          <w:tcPr>
            <w:tcW w:w="799"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0.01946</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tcBorders>
              <w:tl2br w:val="nil"/>
              <w:tr2bl w:val="nil"/>
            </w:tcBorders>
            <w:vAlign w:val="center"/>
          </w:tcPr>
          <w:p>
            <w:pPr>
              <w:adjustRightInd w:val="0"/>
              <w:snapToGrid w:val="0"/>
              <w:jc w:val="center"/>
              <w:rPr>
                <w:rFonts w:eastAsia="宋体"/>
                <w:color w:val="000000"/>
                <w:sz w:val="21"/>
                <w:szCs w:val="21"/>
              </w:rPr>
            </w:pPr>
            <w:r>
              <w:rPr>
                <w:rFonts w:hint="eastAsia" w:cs="Times New Roman"/>
                <w:color w:val="000000"/>
                <w:sz w:val="21"/>
                <w:szCs w:val="21"/>
                <w:lang w:val="en-US" w:eastAsia="zh-CN"/>
              </w:rPr>
              <w:t>4</w:t>
            </w:r>
            <w:r>
              <w:rPr>
                <w:rFonts w:hint="eastAsia" w:ascii="Times New Roman" w:hAnsi="Times New Roman" w:cs="Times New Roman"/>
                <w:color w:val="000000"/>
                <w:sz w:val="21"/>
                <w:szCs w:val="21"/>
              </w:rPr>
              <w:t>#</w:t>
            </w:r>
            <w:r>
              <w:rPr>
                <w:rFonts w:hint="eastAsia" w:ascii="宋体" w:hAnsi="宋体" w:eastAsia="宋体" w:cs="宋体"/>
                <w:color w:val="000000"/>
                <w:sz w:val="21"/>
                <w:szCs w:val="21"/>
              </w:rPr>
              <w:t>排气筒</w:t>
            </w:r>
          </w:p>
        </w:tc>
        <w:tc>
          <w:tcPr>
            <w:tcW w:w="991"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131</w:t>
            </w:r>
          </w:p>
        </w:tc>
        <w:tc>
          <w:tcPr>
            <w:tcW w:w="799"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0.00331</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5</w:t>
            </w:r>
            <w:r>
              <w:rPr>
                <w:rFonts w:hint="eastAsia" w:ascii="Times New Roman" w:hAnsi="Times New Roman" w:cs="Times New Roman"/>
                <w:color w:val="000000"/>
                <w:sz w:val="21"/>
                <w:szCs w:val="21"/>
              </w:rPr>
              <w:t>#排气筒</w:t>
            </w:r>
          </w:p>
        </w:tc>
        <w:tc>
          <w:tcPr>
            <w:tcW w:w="991" w:type="pct"/>
            <w:tcBorders>
              <w:tl2br w:val="nil"/>
              <w:tr2bl w:val="nil"/>
            </w:tcBorders>
            <w:vAlign w:val="center"/>
          </w:tcPr>
          <w:p>
            <w:pPr>
              <w:pStyle w:val="142"/>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131</w:t>
            </w:r>
          </w:p>
        </w:tc>
        <w:tc>
          <w:tcPr>
            <w:tcW w:w="799" w:type="pct"/>
            <w:tcBorders>
              <w:tl2br w:val="nil"/>
              <w:tr2bl w:val="nil"/>
            </w:tcBorders>
            <w:vAlign w:val="center"/>
          </w:tcPr>
          <w:p>
            <w:pPr>
              <w:pStyle w:val="142"/>
              <w:rPr>
                <w:rFonts w:ascii="Times New Roman" w:hAnsi="Times New Roman" w:cs="Times New Roman"/>
                <w:sz w:val="21"/>
              </w:rPr>
            </w:pPr>
            <w:r>
              <w:rPr>
                <w:rFonts w:hint="eastAsia" w:ascii="Times New Roman" w:hAnsi="Times New Roman" w:cs="Times New Roman"/>
                <w:sz w:val="21"/>
              </w:rPr>
              <w:t>颗粒物</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0.00327</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vMerge w:val="restar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6</w:t>
            </w:r>
            <w:r>
              <w:rPr>
                <w:rFonts w:hint="eastAsia" w:ascii="Times New Roman" w:hAnsi="Times New Roman" w:cs="Times New Roman"/>
                <w:color w:val="000000"/>
                <w:sz w:val="21"/>
                <w:szCs w:val="21"/>
              </w:rPr>
              <w:t>#排气筒</w:t>
            </w:r>
          </w:p>
        </w:tc>
        <w:tc>
          <w:tcPr>
            <w:tcW w:w="991" w:type="pct"/>
            <w:vMerge w:val="restar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128</w:t>
            </w:r>
          </w:p>
        </w:tc>
        <w:tc>
          <w:tcPr>
            <w:tcW w:w="799" w:type="pc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0.07909</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8.79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vMerge w:val="continue"/>
            <w:tcBorders>
              <w:tl2br w:val="nil"/>
              <w:tr2bl w:val="nil"/>
            </w:tcBorders>
            <w:vAlign w:val="center"/>
          </w:tcPr>
          <w:p>
            <w:pPr>
              <w:pStyle w:val="142"/>
              <w:adjustRightInd w:val="0"/>
              <w:snapToGrid w:val="0"/>
              <w:rPr>
                <w:rFonts w:hint="default" w:ascii="Times New Roman" w:hAnsi="Times New Roman" w:cs="Times New Roman"/>
                <w:color w:val="000000"/>
                <w:sz w:val="21"/>
                <w:szCs w:val="21"/>
                <w:lang w:val="en-US" w:eastAsia="zh-CN"/>
              </w:rPr>
            </w:pPr>
          </w:p>
        </w:tc>
        <w:tc>
          <w:tcPr>
            <w:tcW w:w="991" w:type="pct"/>
            <w:vMerge w:val="continue"/>
            <w:tcBorders>
              <w:tl2br w:val="nil"/>
              <w:tr2bl w:val="nil"/>
            </w:tcBorders>
            <w:vAlign w:val="center"/>
          </w:tcPr>
          <w:p>
            <w:pPr>
              <w:pStyle w:val="142"/>
              <w:rPr>
                <w:rFonts w:hint="eastAsia" w:ascii="Times New Roman" w:hAnsi="Times New Roman" w:cs="Times New Roman"/>
                <w:kern w:val="2"/>
                <w:sz w:val="21"/>
                <w:szCs w:val="24"/>
                <w:lang w:val="en-US" w:eastAsia="zh-CN" w:bidi="ar-SA"/>
              </w:rPr>
            </w:pPr>
          </w:p>
        </w:tc>
        <w:tc>
          <w:tcPr>
            <w:tcW w:w="799"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0.04504</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vMerge w:val="restar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7</w:t>
            </w:r>
            <w:r>
              <w:rPr>
                <w:rFonts w:hint="eastAsia" w:ascii="Times New Roman" w:hAnsi="Times New Roman" w:cs="Times New Roman"/>
                <w:color w:val="000000"/>
                <w:sz w:val="21"/>
                <w:szCs w:val="21"/>
              </w:rPr>
              <w:t>#排气筒</w:t>
            </w:r>
          </w:p>
        </w:tc>
        <w:tc>
          <w:tcPr>
            <w:tcW w:w="991" w:type="pct"/>
            <w:vMerge w:val="restar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150</w:t>
            </w:r>
          </w:p>
        </w:tc>
        <w:tc>
          <w:tcPr>
            <w:tcW w:w="799"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0.07831</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8.70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vMerge w:val="continue"/>
            <w:tcBorders>
              <w:tl2br w:val="nil"/>
              <w:tr2bl w:val="nil"/>
            </w:tcBorders>
            <w:vAlign w:val="center"/>
          </w:tcPr>
          <w:p>
            <w:pPr>
              <w:pStyle w:val="142"/>
              <w:adjustRightInd w:val="0"/>
              <w:snapToGrid w:val="0"/>
              <w:rPr>
                <w:rFonts w:ascii="Times New Roman" w:hAnsi="Times New Roman" w:cs="Times New Roman"/>
                <w:color w:val="000000"/>
                <w:sz w:val="21"/>
                <w:szCs w:val="21"/>
              </w:rPr>
            </w:pPr>
          </w:p>
        </w:tc>
        <w:tc>
          <w:tcPr>
            <w:tcW w:w="991" w:type="pct"/>
            <w:vMerge w:val="continue"/>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p>
        </w:tc>
        <w:tc>
          <w:tcPr>
            <w:tcW w:w="799" w:type="pct"/>
            <w:tcBorders>
              <w:tl2br w:val="nil"/>
              <w:tr2bl w:val="nil"/>
            </w:tcBorders>
            <w:vAlign w:val="center"/>
          </w:tcPr>
          <w:p>
            <w:pPr>
              <w:pStyle w:val="142"/>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0.05165</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vMerge w:val="restar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8</w:t>
            </w:r>
            <w:r>
              <w:rPr>
                <w:rFonts w:hint="eastAsia" w:ascii="Times New Roman" w:hAnsi="Times New Roman" w:cs="Times New Roman"/>
                <w:color w:val="000000"/>
                <w:sz w:val="21"/>
                <w:szCs w:val="21"/>
              </w:rPr>
              <w:t>#排气筒</w:t>
            </w:r>
          </w:p>
        </w:tc>
        <w:tc>
          <w:tcPr>
            <w:tcW w:w="991" w:type="pct"/>
            <w:vMerge w:val="restar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128</w:t>
            </w:r>
          </w:p>
        </w:tc>
        <w:tc>
          <w:tcPr>
            <w:tcW w:w="799"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0.07434</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8.26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vMerge w:val="continue"/>
            <w:tcBorders>
              <w:tl2br w:val="nil"/>
              <w:tr2bl w:val="nil"/>
            </w:tcBorders>
            <w:vAlign w:val="center"/>
          </w:tcPr>
          <w:p>
            <w:pPr>
              <w:pStyle w:val="142"/>
              <w:adjustRightInd w:val="0"/>
              <w:snapToGrid w:val="0"/>
              <w:rPr>
                <w:rFonts w:ascii="Times New Roman" w:hAnsi="Times New Roman" w:cs="Times New Roman"/>
                <w:color w:val="000000"/>
                <w:sz w:val="21"/>
                <w:szCs w:val="21"/>
              </w:rPr>
            </w:pPr>
          </w:p>
        </w:tc>
        <w:tc>
          <w:tcPr>
            <w:tcW w:w="991"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799"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0.03428</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vMerge w:val="restar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9</w:t>
            </w:r>
            <w:r>
              <w:rPr>
                <w:rFonts w:hint="eastAsia" w:ascii="Times New Roman" w:hAnsi="Times New Roman" w:cs="Times New Roman"/>
                <w:color w:val="000000"/>
                <w:sz w:val="21"/>
                <w:szCs w:val="21"/>
              </w:rPr>
              <w:t>#排气筒</w:t>
            </w:r>
          </w:p>
        </w:tc>
        <w:tc>
          <w:tcPr>
            <w:tcW w:w="991" w:type="pct"/>
            <w:vMerge w:val="restar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128</w:t>
            </w:r>
          </w:p>
        </w:tc>
        <w:tc>
          <w:tcPr>
            <w:tcW w:w="799"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669"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0.7315</w:t>
            </w:r>
          </w:p>
        </w:tc>
        <w:tc>
          <w:tcPr>
            <w:tcW w:w="877"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8.13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vMerge w:val="continue"/>
            <w:tcBorders>
              <w:tl2br w:val="nil"/>
              <w:tr2bl w:val="nil"/>
            </w:tcBorders>
            <w:vAlign w:val="center"/>
          </w:tcPr>
          <w:p>
            <w:pPr>
              <w:pStyle w:val="142"/>
              <w:adjustRightInd w:val="0"/>
              <w:snapToGrid w:val="0"/>
              <w:rPr>
                <w:rFonts w:ascii="Times New Roman" w:hAnsi="Times New Roman" w:cs="Times New Roman"/>
                <w:color w:val="000000"/>
                <w:sz w:val="21"/>
                <w:szCs w:val="21"/>
              </w:rPr>
            </w:pPr>
          </w:p>
        </w:tc>
        <w:tc>
          <w:tcPr>
            <w:tcW w:w="991"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799"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669"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0.05021</w:t>
            </w:r>
          </w:p>
        </w:tc>
        <w:tc>
          <w:tcPr>
            <w:tcW w:w="877"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4.18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vMerge w:val="continue"/>
            <w:tcBorders>
              <w:tl2br w:val="nil"/>
              <w:tr2bl w:val="nil"/>
            </w:tcBorders>
            <w:vAlign w:val="center"/>
          </w:tcPr>
          <w:p>
            <w:pPr>
              <w:pStyle w:val="142"/>
              <w:adjustRightInd w:val="0"/>
              <w:snapToGrid w:val="0"/>
              <w:rPr>
                <w:rFonts w:ascii="Times New Roman" w:hAnsi="Times New Roman" w:cs="Times New Roman"/>
                <w:color w:val="000000"/>
                <w:sz w:val="21"/>
                <w:szCs w:val="21"/>
              </w:rPr>
            </w:pPr>
          </w:p>
        </w:tc>
        <w:tc>
          <w:tcPr>
            <w:tcW w:w="991"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799" w:type="pct"/>
            <w:tcBorders>
              <w:tl2br w:val="nil"/>
              <w:tr2bl w:val="nil"/>
            </w:tcBorders>
            <w:vAlign w:val="center"/>
          </w:tcPr>
          <w:p>
            <w:pPr>
              <w:pStyle w:val="142"/>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甲醛</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0.01038</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vMerge w:val="restart"/>
            <w:tcBorders>
              <w:tl2br w:val="nil"/>
              <w:tr2bl w:val="nil"/>
            </w:tcBorders>
            <w:vAlign w:val="center"/>
          </w:tcPr>
          <w:p>
            <w:pPr>
              <w:pStyle w:val="142"/>
              <w:adjustRightInd w:val="0"/>
              <w:snapToGrid w:val="0"/>
              <w:rPr>
                <w:rFonts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11</w:t>
            </w:r>
            <w:r>
              <w:rPr>
                <w:rFonts w:hint="eastAsia" w:ascii="Times New Roman" w:hAnsi="Times New Roman" w:cs="Times New Roman"/>
                <w:color w:val="000000"/>
                <w:sz w:val="21"/>
                <w:szCs w:val="21"/>
              </w:rPr>
              <w:t>#排气筒</w:t>
            </w:r>
          </w:p>
        </w:tc>
        <w:tc>
          <w:tcPr>
            <w:tcW w:w="991" w:type="pct"/>
            <w:vMerge w:val="restart"/>
            <w:tcBorders>
              <w:tl2br w:val="nil"/>
              <w:tr2bl w:val="nil"/>
            </w:tcBorders>
            <w:vAlign w:val="center"/>
          </w:tcPr>
          <w:p>
            <w:pPr>
              <w:pStyle w:val="14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128</w:t>
            </w:r>
          </w:p>
        </w:tc>
        <w:tc>
          <w:tcPr>
            <w:tcW w:w="799"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669"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0.00136</w:t>
            </w:r>
          </w:p>
        </w:tc>
        <w:tc>
          <w:tcPr>
            <w:tcW w:w="877" w:type="pct"/>
            <w:tcBorders>
              <w:tl2br w:val="nil"/>
              <w:tr2bl w:val="nil"/>
            </w:tcBorders>
            <w:vAlign w:val="center"/>
          </w:tcPr>
          <w:p>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2" w:type="pct"/>
            <w:vMerge w:val="continue"/>
            <w:tcBorders>
              <w:tl2br w:val="nil"/>
              <w:tr2bl w:val="nil"/>
            </w:tcBorders>
            <w:vAlign w:val="center"/>
          </w:tcPr>
          <w:p>
            <w:pPr>
              <w:pStyle w:val="142"/>
              <w:adjustRightInd w:val="0"/>
              <w:snapToGrid w:val="0"/>
              <w:rPr>
                <w:rFonts w:ascii="Times New Roman" w:hAnsi="Times New Roman" w:cs="Times New Roman"/>
                <w:color w:val="000000"/>
                <w:sz w:val="21"/>
                <w:szCs w:val="21"/>
              </w:rPr>
            </w:pPr>
          </w:p>
        </w:tc>
        <w:tc>
          <w:tcPr>
            <w:tcW w:w="991" w:type="pct"/>
            <w:vMerge w:val="continue"/>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p>
        </w:tc>
        <w:tc>
          <w:tcPr>
            <w:tcW w:w="799" w:type="pct"/>
            <w:tcBorders>
              <w:tl2br w:val="nil"/>
              <w:tr2bl w:val="nil"/>
            </w:tcBorders>
            <w:vAlign w:val="center"/>
          </w:tcPr>
          <w:p>
            <w:pPr>
              <w:pStyle w:val="142"/>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669"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0.00258</w:t>
            </w:r>
          </w:p>
        </w:tc>
        <w:tc>
          <w:tcPr>
            <w:tcW w:w="877"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0.22</w:t>
            </w:r>
          </w:p>
        </w:tc>
      </w:tr>
    </w:tbl>
    <w:p>
      <w:pPr>
        <w:adjustRightInd w:val="0"/>
        <w:snapToGrid w:val="0"/>
        <w:spacing w:line="500" w:lineRule="exact"/>
        <w:ind w:firstLine="482" w:firstLineChars="200"/>
        <w:rPr>
          <w:rFonts w:ascii="宋体" w:hAnsi="宋体" w:eastAsia="宋体" w:cs="宋体"/>
          <w:b/>
          <w:color w:val="000000" w:themeColor="text1"/>
          <w14:textFill>
            <w14:solidFill>
              <w14:schemeClr w14:val="tx1"/>
            </w14:solidFill>
          </w14:textFill>
        </w:rPr>
      </w:pPr>
      <w:r>
        <w:rPr>
          <w:rFonts w:eastAsia="宋体"/>
          <w:b/>
          <w:color w:val="000000" w:themeColor="text1"/>
          <w14:textFill>
            <w14:solidFill>
              <w14:schemeClr w14:val="tx1"/>
            </w14:solidFill>
          </w14:textFill>
        </w:rPr>
        <w:t>1#</w:t>
      </w:r>
      <w:r>
        <w:rPr>
          <w:rFonts w:hint="eastAsia" w:ascii="宋体" w:hAnsi="宋体" w:eastAsia="宋体" w:cs="宋体"/>
          <w:b/>
          <w:color w:val="000000" w:themeColor="text1"/>
          <w14:textFill>
            <w14:solidFill>
              <w14:schemeClr w14:val="tx1"/>
            </w14:solidFill>
          </w14:textFill>
        </w:rPr>
        <w:t>排气筒废气超标排放事故</w:t>
      </w:r>
    </w:p>
    <w:p>
      <w:pPr>
        <w:pStyle w:val="12"/>
        <w:adjustRightInd w:val="0"/>
        <w:snapToGrid w:val="0"/>
        <w:spacing w:line="500" w:lineRule="exact"/>
        <w:ind w:firstLine="48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从上表分析可知，在</w:t>
      </w:r>
      <w:r>
        <w:rPr>
          <w:rFonts w:hint="eastAsia" w:eastAsia="宋体"/>
          <w:color w:val="000000" w:themeColor="text1"/>
          <w14:textFill>
            <w14:solidFill>
              <w14:schemeClr w14:val="tx1"/>
            </w14:solidFill>
          </w14:textFill>
        </w:rPr>
        <w:t>1#排气筒</w:t>
      </w:r>
      <w:r>
        <w:rPr>
          <w:rFonts w:eastAsia="宋体"/>
          <w:color w:val="000000" w:themeColor="text1"/>
          <w14:textFill>
            <w14:solidFill>
              <w14:schemeClr w14:val="tx1"/>
            </w14:solidFill>
          </w14:textFill>
        </w:rPr>
        <w:t>下方向</w:t>
      </w:r>
      <w:r>
        <w:rPr>
          <w:rFonts w:hint="eastAsia" w:eastAsia="宋体"/>
          <w:color w:val="000000" w:themeColor="text1"/>
          <w:lang w:val="en-US" w:eastAsia="zh-CN"/>
          <w14:textFill>
            <w14:solidFill>
              <w14:schemeClr w14:val="tx1"/>
            </w14:solidFill>
          </w14:textFill>
        </w:rPr>
        <w:t>123</w:t>
      </w:r>
      <w:r>
        <w:rPr>
          <w:rFonts w:eastAsia="宋体"/>
          <w:color w:val="000000" w:themeColor="text1"/>
          <w14:textFill>
            <w14:solidFill>
              <w14:schemeClr w14:val="tx1"/>
            </w14:solidFill>
          </w14:textFill>
        </w:rPr>
        <w:t>米处</w:t>
      </w:r>
      <w:r>
        <w:rPr>
          <w:rFonts w:hint="eastAsia" w:eastAsia="宋体"/>
          <w:color w:val="000000" w:themeColor="text1"/>
          <w14:textFill>
            <w14:solidFill>
              <w14:schemeClr w14:val="tx1"/>
            </w14:solidFill>
          </w14:textFill>
        </w:rPr>
        <w:t>颗粒物</w:t>
      </w:r>
      <w:r>
        <w:rPr>
          <w:rFonts w:eastAsia="宋体"/>
          <w:color w:val="000000" w:themeColor="text1"/>
          <w14:textFill>
            <w14:solidFill>
              <w14:schemeClr w14:val="tx1"/>
            </w14:solidFill>
          </w14:textFill>
        </w:rPr>
        <w:t>出现了最大落地浓度</w:t>
      </w:r>
      <w:r>
        <w:rPr>
          <w:rFonts w:hint="eastAsia" w:eastAsia="宋体"/>
          <w:color w:val="000000" w:themeColor="text1"/>
          <w14:textFill>
            <w14:solidFill>
              <w14:schemeClr w14:val="tx1"/>
            </w14:solidFill>
          </w14:textFill>
        </w:rPr>
        <w:t>0.0</w:t>
      </w:r>
      <w:r>
        <w:rPr>
          <w:rFonts w:hint="eastAsia" w:eastAsia="宋体"/>
          <w:color w:val="000000" w:themeColor="text1"/>
          <w:lang w:val="en-US" w:eastAsia="zh-CN"/>
          <w14:textFill>
            <w14:solidFill>
              <w14:schemeClr w14:val="tx1"/>
            </w14:solidFill>
          </w14:textFill>
        </w:rPr>
        <w:t>1743</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，小于标准值</w:t>
      </w:r>
      <w:r>
        <w:rPr>
          <w:rFonts w:hint="eastAsia" w:eastAsia="宋体"/>
          <w:color w:val="000000" w:themeColor="text1"/>
          <w14:textFill>
            <w14:solidFill>
              <w14:schemeClr w14:val="tx1"/>
            </w14:solidFill>
          </w14:textFill>
        </w:rPr>
        <w:t>0.9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eastAsia="宋体"/>
          <w:b/>
          <w:color w:val="000000" w:themeColor="text1"/>
          <w14:textFill>
            <w14:solidFill>
              <w14:schemeClr w14:val="tx1"/>
            </w14:solidFill>
          </w14:textFill>
        </w:rPr>
      </w:pPr>
      <w:bookmarkStart w:id="243" w:name="OLE_LINK2"/>
      <w:r>
        <w:rPr>
          <w:rFonts w:hint="eastAsia" w:eastAsia="宋体"/>
          <w:b/>
          <w:color w:val="000000" w:themeColor="text1"/>
          <w14:textFill>
            <w14:solidFill>
              <w14:schemeClr w14:val="tx1"/>
            </w14:solidFill>
          </w14:textFill>
        </w:rPr>
        <w:t>2</w:t>
      </w:r>
      <w:r>
        <w:rPr>
          <w:rFonts w:eastAsia="宋体"/>
          <w:b/>
          <w:color w:val="000000" w:themeColor="text1"/>
          <w14:textFill>
            <w14:solidFill>
              <w14:schemeClr w14:val="tx1"/>
            </w14:solidFill>
          </w14:textFill>
        </w:rPr>
        <w:t>#排气筒废气超标排放事故</w:t>
      </w:r>
    </w:p>
    <w:p>
      <w:pPr>
        <w:pStyle w:val="12"/>
        <w:adjustRightInd w:val="0"/>
        <w:snapToGrid w:val="0"/>
        <w:spacing w:line="500" w:lineRule="exact"/>
        <w:ind w:firstLine="480" w:firstLineChars="200"/>
        <w:jc w:val="both"/>
        <w:rPr>
          <w:rFonts w:eastAsia="宋体"/>
          <w:b/>
          <w:color w:val="000000" w:themeColor="text1"/>
          <w14:textFill>
            <w14:solidFill>
              <w14:schemeClr w14:val="tx1"/>
            </w14:solidFill>
          </w14:textFill>
        </w:rPr>
      </w:pPr>
      <w:r>
        <w:rPr>
          <w:rFonts w:eastAsia="宋体"/>
          <w:color w:val="000000" w:themeColor="text1"/>
          <w14:textFill>
            <w14:solidFill>
              <w14:schemeClr w14:val="tx1"/>
            </w14:solidFill>
          </w14:textFill>
        </w:rPr>
        <w:t>从上表分析可知，在</w:t>
      </w:r>
      <w:r>
        <w:rPr>
          <w:rFonts w:hint="eastAsia" w:eastAsia="宋体"/>
          <w:color w:val="000000" w:themeColor="text1"/>
          <w14:textFill>
            <w14:solidFill>
              <w14:schemeClr w14:val="tx1"/>
            </w14:solidFill>
          </w14:textFill>
        </w:rPr>
        <w:t>2#排气筒</w:t>
      </w:r>
      <w:r>
        <w:rPr>
          <w:rFonts w:eastAsia="宋体"/>
          <w:color w:val="000000" w:themeColor="text1"/>
          <w14:textFill>
            <w14:solidFill>
              <w14:schemeClr w14:val="tx1"/>
            </w14:solidFill>
          </w14:textFill>
        </w:rPr>
        <w:t>下方向</w:t>
      </w:r>
      <w:r>
        <w:rPr>
          <w:rFonts w:hint="eastAsia" w:eastAsia="宋体"/>
          <w:color w:val="000000" w:themeColor="text1"/>
          <w:lang w:val="en-US" w:eastAsia="zh-CN"/>
          <w14:textFill>
            <w14:solidFill>
              <w14:schemeClr w14:val="tx1"/>
            </w14:solidFill>
          </w14:textFill>
        </w:rPr>
        <w:t>130</w:t>
      </w:r>
      <w:r>
        <w:rPr>
          <w:rFonts w:eastAsia="宋体"/>
          <w:color w:val="000000" w:themeColor="text1"/>
          <w14:textFill>
            <w14:solidFill>
              <w14:schemeClr w14:val="tx1"/>
            </w14:solidFill>
          </w14:textFill>
        </w:rPr>
        <w:t>米处</w:t>
      </w:r>
      <w:r>
        <w:rPr>
          <w:rFonts w:hint="eastAsia" w:eastAsia="宋体"/>
          <w:color w:val="000000" w:themeColor="text1"/>
          <w14:textFill>
            <w14:solidFill>
              <w14:schemeClr w14:val="tx1"/>
            </w14:solidFill>
          </w14:textFill>
        </w:rPr>
        <w:t>颗粒物</w:t>
      </w:r>
      <w:r>
        <w:rPr>
          <w:rFonts w:eastAsia="宋体"/>
          <w:color w:val="000000" w:themeColor="text1"/>
          <w14:textFill>
            <w14:solidFill>
              <w14:schemeClr w14:val="tx1"/>
            </w14:solidFill>
          </w14:textFill>
        </w:rPr>
        <w:t>出现了最大落地浓度</w:t>
      </w:r>
      <w:r>
        <w:rPr>
          <w:rFonts w:hint="eastAsia" w:eastAsia="宋体"/>
          <w:color w:val="000000" w:themeColor="text1"/>
          <w14:textFill>
            <w14:solidFill>
              <w14:schemeClr w14:val="tx1"/>
            </w14:solidFill>
          </w14:textFill>
        </w:rPr>
        <w:t>0.</w:t>
      </w:r>
      <w:r>
        <w:rPr>
          <w:rFonts w:hint="eastAsia" w:eastAsia="宋体"/>
          <w:color w:val="000000" w:themeColor="text1"/>
          <w:lang w:val="en-US" w:eastAsia="zh-CN"/>
          <w14:textFill>
            <w14:solidFill>
              <w14:schemeClr w14:val="tx1"/>
            </w14:solidFill>
          </w14:textFill>
        </w:rPr>
        <w:t>02429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，小于标准值</w:t>
      </w:r>
      <w:r>
        <w:rPr>
          <w:rFonts w:hint="eastAsia" w:eastAsia="宋体"/>
          <w:color w:val="000000" w:themeColor="text1"/>
          <w14:textFill>
            <w14:solidFill>
              <w14:schemeClr w14:val="tx1"/>
            </w14:solidFill>
          </w14:textFill>
        </w:rPr>
        <w:t>0.9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eastAsia="宋体"/>
          <w:b/>
          <w:color w:val="000000" w:themeColor="text1"/>
          <w14:textFill>
            <w14:solidFill>
              <w14:schemeClr w14:val="tx1"/>
            </w14:solidFill>
          </w14:textFill>
        </w:rPr>
      </w:pPr>
      <w:r>
        <w:rPr>
          <w:rFonts w:hint="eastAsia" w:eastAsia="宋体"/>
          <w:b/>
          <w:color w:val="000000" w:themeColor="text1"/>
          <w:lang w:val="en-US" w:eastAsia="zh-CN"/>
          <w14:textFill>
            <w14:solidFill>
              <w14:schemeClr w14:val="tx1"/>
            </w14:solidFill>
          </w14:textFill>
        </w:rPr>
        <w:t>3</w:t>
      </w:r>
      <w:r>
        <w:rPr>
          <w:rFonts w:eastAsia="宋体"/>
          <w:b/>
          <w:color w:val="000000" w:themeColor="text1"/>
          <w14:textFill>
            <w14:solidFill>
              <w14:schemeClr w14:val="tx1"/>
            </w14:solidFill>
          </w14:textFill>
        </w:rPr>
        <w:t>#排气筒废气超标排放事故</w:t>
      </w:r>
    </w:p>
    <w:p>
      <w:pPr>
        <w:pStyle w:val="12"/>
        <w:adjustRightInd w:val="0"/>
        <w:snapToGrid w:val="0"/>
        <w:spacing w:line="500" w:lineRule="exact"/>
        <w:ind w:firstLine="480" w:firstLineChars="200"/>
        <w:jc w:val="both"/>
        <w:rPr>
          <w:rFonts w:eastAsia="宋体"/>
          <w:b/>
          <w:color w:val="000000" w:themeColor="text1"/>
          <w14:textFill>
            <w14:solidFill>
              <w14:schemeClr w14:val="tx1"/>
            </w14:solidFill>
          </w14:textFill>
        </w:rPr>
      </w:pPr>
      <w:r>
        <w:rPr>
          <w:rFonts w:eastAsia="宋体"/>
          <w:color w:val="000000" w:themeColor="text1"/>
          <w14:textFill>
            <w14:solidFill>
              <w14:schemeClr w14:val="tx1"/>
            </w14:solidFill>
          </w14:textFill>
        </w:rPr>
        <w:t>从上表分析可知，在</w:t>
      </w:r>
      <w:r>
        <w:rPr>
          <w:rFonts w:hint="eastAsia" w:eastAsia="宋体"/>
          <w:color w:val="000000" w:themeColor="text1"/>
          <w:lang w:val="en-US" w:eastAsia="zh-CN"/>
          <w14:textFill>
            <w14:solidFill>
              <w14:schemeClr w14:val="tx1"/>
            </w14:solidFill>
          </w14:textFill>
        </w:rPr>
        <w:t>3</w:t>
      </w:r>
      <w:r>
        <w:rPr>
          <w:rFonts w:hint="eastAsia" w:eastAsia="宋体"/>
          <w:color w:val="000000" w:themeColor="text1"/>
          <w14:textFill>
            <w14:solidFill>
              <w14:schemeClr w14:val="tx1"/>
            </w14:solidFill>
          </w14:textFill>
        </w:rPr>
        <w:t>#排气筒</w:t>
      </w:r>
      <w:r>
        <w:rPr>
          <w:rFonts w:eastAsia="宋体"/>
          <w:color w:val="000000" w:themeColor="text1"/>
          <w14:textFill>
            <w14:solidFill>
              <w14:schemeClr w14:val="tx1"/>
            </w14:solidFill>
          </w14:textFill>
        </w:rPr>
        <w:t>下方向</w:t>
      </w:r>
      <w:r>
        <w:rPr>
          <w:rFonts w:hint="eastAsia" w:eastAsia="宋体"/>
          <w:color w:val="000000" w:themeColor="text1"/>
          <w:lang w:val="en-US" w:eastAsia="zh-CN"/>
          <w14:textFill>
            <w14:solidFill>
              <w14:schemeClr w14:val="tx1"/>
            </w14:solidFill>
          </w14:textFill>
        </w:rPr>
        <w:t>131</w:t>
      </w:r>
      <w:r>
        <w:rPr>
          <w:rFonts w:eastAsia="宋体"/>
          <w:color w:val="000000" w:themeColor="text1"/>
          <w14:textFill>
            <w14:solidFill>
              <w14:schemeClr w14:val="tx1"/>
            </w14:solidFill>
          </w14:textFill>
        </w:rPr>
        <w:t>米处</w:t>
      </w:r>
      <w:r>
        <w:rPr>
          <w:rFonts w:hint="eastAsia" w:eastAsia="宋体"/>
          <w:color w:val="000000" w:themeColor="text1"/>
          <w14:textFill>
            <w14:solidFill>
              <w14:schemeClr w14:val="tx1"/>
            </w14:solidFill>
          </w14:textFill>
        </w:rPr>
        <w:t>颗粒物</w:t>
      </w:r>
      <w:r>
        <w:rPr>
          <w:rFonts w:eastAsia="宋体"/>
          <w:color w:val="000000" w:themeColor="text1"/>
          <w14:textFill>
            <w14:solidFill>
              <w14:schemeClr w14:val="tx1"/>
            </w14:solidFill>
          </w14:textFill>
        </w:rPr>
        <w:t>出现了最大落地浓度</w:t>
      </w:r>
      <w:r>
        <w:rPr>
          <w:rFonts w:hint="eastAsia" w:eastAsia="宋体"/>
          <w:color w:val="000000" w:themeColor="text1"/>
          <w14:textFill>
            <w14:solidFill>
              <w14:schemeClr w14:val="tx1"/>
            </w14:solidFill>
          </w14:textFill>
        </w:rPr>
        <w:t>0.0</w:t>
      </w:r>
      <w:r>
        <w:rPr>
          <w:rFonts w:hint="eastAsia" w:eastAsia="宋体"/>
          <w:color w:val="000000" w:themeColor="text1"/>
          <w:lang w:val="en-US" w:eastAsia="zh-CN"/>
          <w14:textFill>
            <w14:solidFill>
              <w14:schemeClr w14:val="tx1"/>
            </w14:solidFill>
          </w14:textFill>
        </w:rPr>
        <w:t>1946</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，小于标准值</w:t>
      </w:r>
      <w:r>
        <w:rPr>
          <w:rFonts w:hint="eastAsia" w:eastAsia="宋体"/>
          <w:color w:val="000000" w:themeColor="text1"/>
          <w14:textFill>
            <w14:solidFill>
              <w14:schemeClr w14:val="tx1"/>
            </w14:solidFill>
          </w14:textFill>
        </w:rPr>
        <w:t>0.9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eastAsia="宋体"/>
          <w:b/>
          <w:color w:val="000000" w:themeColor="text1"/>
          <w14:textFill>
            <w14:solidFill>
              <w14:schemeClr w14:val="tx1"/>
            </w14:solidFill>
          </w14:textFill>
        </w:rPr>
      </w:pPr>
      <w:r>
        <w:rPr>
          <w:rFonts w:hint="eastAsia" w:eastAsia="宋体"/>
          <w:b/>
          <w:color w:val="000000" w:themeColor="text1"/>
          <w:lang w:val="en-US" w:eastAsia="zh-CN"/>
          <w14:textFill>
            <w14:solidFill>
              <w14:schemeClr w14:val="tx1"/>
            </w14:solidFill>
          </w14:textFill>
        </w:rPr>
        <w:t>4</w:t>
      </w:r>
      <w:r>
        <w:rPr>
          <w:rFonts w:eastAsia="宋体"/>
          <w:b/>
          <w:color w:val="000000" w:themeColor="text1"/>
          <w14:textFill>
            <w14:solidFill>
              <w14:schemeClr w14:val="tx1"/>
            </w14:solidFill>
          </w14:textFill>
        </w:rPr>
        <w:t>#排气筒废气超标排放事故</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从上表分析可知，在</w:t>
      </w:r>
      <w:r>
        <w:rPr>
          <w:rFonts w:hint="eastAsia" w:eastAsia="宋体"/>
          <w:color w:val="000000" w:themeColor="text1"/>
          <w:lang w:val="en-US" w:eastAsia="zh-CN"/>
          <w14:textFill>
            <w14:solidFill>
              <w14:schemeClr w14:val="tx1"/>
            </w14:solidFill>
          </w14:textFill>
        </w:rPr>
        <w:t>4</w:t>
      </w:r>
      <w:r>
        <w:rPr>
          <w:rFonts w:hint="eastAsia" w:eastAsia="宋体"/>
          <w:color w:val="000000" w:themeColor="text1"/>
          <w14:textFill>
            <w14:solidFill>
              <w14:schemeClr w14:val="tx1"/>
            </w14:solidFill>
          </w14:textFill>
        </w:rPr>
        <w:t>#排气筒</w:t>
      </w:r>
      <w:r>
        <w:rPr>
          <w:rFonts w:eastAsia="宋体"/>
          <w:color w:val="000000" w:themeColor="text1"/>
          <w14:textFill>
            <w14:solidFill>
              <w14:schemeClr w14:val="tx1"/>
            </w14:solidFill>
          </w14:textFill>
        </w:rPr>
        <w:t>下方向</w:t>
      </w:r>
      <w:r>
        <w:rPr>
          <w:rFonts w:hint="eastAsia" w:eastAsia="宋体"/>
          <w:color w:val="000000" w:themeColor="text1"/>
          <w:lang w:val="en-US" w:eastAsia="zh-CN"/>
          <w14:textFill>
            <w14:solidFill>
              <w14:schemeClr w14:val="tx1"/>
            </w14:solidFill>
          </w14:textFill>
        </w:rPr>
        <w:t>131</w:t>
      </w:r>
      <w:r>
        <w:rPr>
          <w:rFonts w:eastAsia="宋体"/>
          <w:color w:val="000000" w:themeColor="text1"/>
          <w14:textFill>
            <w14:solidFill>
              <w14:schemeClr w14:val="tx1"/>
            </w14:solidFill>
          </w14:textFill>
        </w:rPr>
        <w:t>米处</w:t>
      </w:r>
      <w:r>
        <w:rPr>
          <w:rFonts w:hint="eastAsia" w:eastAsia="宋体"/>
          <w:color w:val="000000" w:themeColor="text1"/>
          <w14:textFill>
            <w14:solidFill>
              <w14:schemeClr w14:val="tx1"/>
            </w14:solidFill>
          </w14:textFill>
        </w:rPr>
        <w:t>颗粒物</w:t>
      </w:r>
      <w:r>
        <w:rPr>
          <w:rFonts w:eastAsia="宋体"/>
          <w:color w:val="000000" w:themeColor="text1"/>
          <w14:textFill>
            <w14:solidFill>
              <w14:schemeClr w14:val="tx1"/>
            </w14:solidFill>
          </w14:textFill>
        </w:rPr>
        <w:t>出现了最大落地浓度</w:t>
      </w:r>
      <w:r>
        <w:rPr>
          <w:rFonts w:hint="eastAsia" w:eastAsia="宋体"/>
          <w:color w:val="000000" w:themeColor="text1"/>
          <w:lang w:val="en-US" w:eastAsia="zh-CN"/>
          <w14:textFill>
            <w14:solidFill>
              <w14:schemeClr w14:val="tx1"/>
            </w14:solidFill>
          </w14:textFill>
        </w:rPr>
        <w:t>0.00331</w:t>
      </w:r>
      <w:r>
        <w:rPr>
          <w:rFonts w:eastAsia="宋体"/>
          <w:color w:val="000000" w:themeColor="text1"/>
          <w14:textFill>
            <w14:solidFill>
              <w14:schemeClr w14:val="tx1"/>
            </w14:solidFill>
          </w14:textFill>
        </w:rPr>
        <w:t xml:space="preserve"> 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，小于标准值</w:t>
      </w:r>
      <w:r>
        <w:rPr>
          <w:rFonts w:hint="eastAsia" w:eastAsia="宋体"/>
          <w:color w:val="000000" w:themeColor="text1"/>
          <w14:textFill>
            <w14:solidFill>
              <w14:schemeClr w14:val="tx1"/>
            </w14:solidFill>
          </w14:textFill>
        </w:rPr>
        <w:t>0.9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挥发性有机物出现了最大落地浓度0.10602</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hint="eastAsia" w:eastAsia="宋体"/>
          <w:color w:val="000000" w:themeColor="text1"/>
          <w14:textFill>
            <w14:solidFill>
              <w14:schemeClr w14:val="tx1"/>
            </w14:solidFill>
          </w14:textFill>
        </w:rPr>
        <w:t>，小于标准值1.2</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eastAsia="宋体"/>
          <w:b/>
          <w:color w:val="000000" w:themeColor="text1"/>
          <w14:textFill>
            <w14:solidFill>
              <w14:schemeClr w14:val="tx1"/>
            </w14:solidFill>
          </w14:textFill>
        </w:rPr>
      </w:pPr>
      <w:r>
        <w:rPr>
          <w:rFonts w:hint="eastAsia" w:eastAsia="宋体"/>
          <w:b/>
          <w:color w:val="000000" w:themeColor="text1"/>
          <w:lang w:val="en-US" w:eastAsia="zh-CN"/>
          <w14:textFill>
            <w14:solidFill>
              <w14:schemeClr w14:val="tx1"/>
            </w14:solidFill>
          </w14:textFill>
        </w:rPr>
        <w:t>5</w:t>
      </w:r>
      <w:r>
        <w:rPr>
          <w:rFonts w:eastAsia="宋体"/>
          <w:b/>
          <w:color w:val="000000" w:themeColor="text1"/>
          <w14:textFill>
            <w14:solidFill>
              <w14:schemeClr w14:val="tx1"/>
            </w14:solidFill>
          </w14:textFill>
        </w:rPr>
        <w:t>#排气筒废气超标排放事故</w:t>
      </w:r>
    </w:p>
    <w:p>
      <w:pPr>
        <w:keepNext/>
        <w:keepLines/>
        <w:spacing w:line="500" w:lineRule="exact"/>
        <w:ind w:firstLine="480" w:firstLineChars="200"/>
        <w:outlineLvl w:val="9"/>
        <w:rPr>
          <w:rFonts w:ascii="Times New Roman" w:hAnsi="Times New Roman" w:eastAsia="宋体" w:cs="Times New Roman"/>
          <w:b w:val="0"/>
          <w:bCs w:val="0"/>
          <w:color w:val="000000" w:themeColor="text1"/>
          <w:szCs w:val="24"/>
          <w14:textFill>
            <w14:solidFill>
              <w14:schemeClr w14:val="tx1"/>
            </w14:solidFill>
          </w14:textFill>
        </w:rPr>
      </w:pPr>
      <w:r>
        <w:rPr>
          <w:rFonts w:ascii="Times New Roman" w:hAnsi="Times New Roman" w:eastAsia="宋体" w:cs="Times New Roman"/>
          <w:b w:val="0"/>
          <w:bCs w:val="0"/>
          <w:color w:val="000000" w:themeColor="text1"/>
          <w:szCs w:val="24"/>
          <w14:textFill>
            <w14:solidFill>
              <w14:schemeClr w14:val="tx1"/>
            </w14:solidFill>
          </w14:textFill>
        </w:rPr>
        <w:t>从上表分析可知，在</w:t>
      </w:r>
      <w:r>
        <w:rPr>
          <w:rFonts w:hint="eastAsia" w:eastAsia="宋体" w:cs="Times New Roman"/>
          <w:b w:val="0"/>
          <w:bCs w:val="0"/>
          <w:color w:val="000000" w:themeColor="text1"/>
          <w:szCs w:val="24"/>
          <w:lang w:val="en-US" w:eastAsia="zh-CN"/>
          <w14:textFill>
            <w14:solidFill>
              <w14:schemeClr w14:val="tx1"/>
            </w14:solidFill>
          </w14:textFill>
        </w:rPr>
        <w:t>5</w:t>
      </w:r>
      <w:r>
        <w:rPr>
          <w:rFonts w:ascii="Times New Roman" w:hAnsi="Times New Roman" w:eastAsia="宋体" w:cs="Times New Roman"/>
          <w:b w:val="0"/>
          <w:bCs w:val="0"/>
          <w:color w:val="000000" w:themeColor="text1"/>
          <w:szCs w:val="24"/>
          <w14:textFill>
            <w14:solidFill>
              <w14:schemeClr w14:val="tx1"/>
            </w14:solidFill>
          </w14:textFill>
        </w:rPr>
        <w:t>#排气筒下方向</w:t>
      </w:r>
      <w:r>
        <w:rPr>
          <w:rFonts w:hint="eastAsia" w:eastAsia="宋体" w:cs="Times New Roman"/>
          <w:b w:val="0"/>
          <w:bCs w:val="0"/>
          <w:color w:val="000000" w:themeColor="text1"/>
          <w:szCs w:val="24"/>
          <w:lang w:val="en-US" w:eastAsia="zh-CN"/>
          <w14:textFill>
            <w14:solidFill>
              <w14:schemeClr w14:val="tx1"/>
            </w14:solidFill>
          </w14:textFill>
        </w:rPr>
        <w:t>131</w:t>
      </w:r>
      <w:r>
        <w:rPr>
          <w:rFonts w:ascii="Times New Roman" w:hAnsi="Times New Roman" w:eastAsia="宋体" w:cs="Times New Roman"/>
          <w:b w:val="0"/>
          <w:bCs w:val="0"/>
          <w:color w:val="000000" w:themeColor="text1"/>
          <w:szCs w:val="24"/>
          <w14:textFill>
            <w14:solidFill>
              <w14:schemeClr w14:val="tx1"/>
            </w14:solidFill>
          </w14:textFill>
        </w:rPr>
        <w:t>米处颗粒物出现了最大落地浓度</w:t>
      </w:r>
      <w:r>
        <w:rPr>
          <w:rFonts w:hint="eastAsia" w:eastAsia="宋体" w:cs="Times New Roman"/>
          <w:b w:val="0"/>
          <w:bCs w:val="0"/>
          <w:color w:val="000000" w:themeColor="text1"/>
          <w:szCs w:val="24"/>
          <w:lang w:val="en-US" w:eastAsia="zh-CN"/>
          <w14:textFill>
            <w14:solidFill>
              <w14:schemeClr w14:val="tx1"/>
            </w14:solidFill>
          </w14:textFill>
        </w:rPr>
        <w:t>0.00327</w:t>
      </w:r>
      <w:r>
        <w:rPr>
          <w:rFonts w:ascii="Times New Roman" w:hAnsi="Times New Roman" w:eastAsia="宋体" w:cs="Times New Roman"/>
          <w:b w:val="0"/>
          <w:bCs w:val="0"/>
          <w:color w:val="000000" w:themeColor="text1"/>
          <w:szCs w:val="24"/>
          <w14:textFill>
            <w14:solidFill>
              <w14:schemeClr w14:val="tx1"/>
            </w14:solidFill>
          </w14:textFill>
        </w:rPr>
        <w:t>mg/m</w:t>
      </w:r>
      <w:r>
        <w:rPr>
          <w:rFonts w:ascii="Times New Roman" w:hAnsi="Times New Roman" w:eastAsia="宋体" w:cs="Times New Roman"/>
          <w:b w:val="0"/>
          <w:bCs w:val="0"/>
          <w:color w:val="000000" w:themeColor="text1"/>
          <w:szCs w:val="24"/>
          <w:vertAlign w:val="superscript"/>
          <w14:textFill>
            <w14:solidFill>
              <w14:schemeClr w14:val="tx1"/>
            </w14:solidFill>
          </w14:textFill>
        </w:rPr>
        <w:t>3</w:t>
      </w:r>
      <w:r>
        <w:rPr>
          <w:rFonts w:ascii="Times New Roman" w:hAnsi="Times New Roman" w:eastAsia="宋体" w:cs="Times New Roman"/>
          <w:b w:val="0"/>
          <w:bCs w:val="0"/>
          <w:color w:val="000000" w:themeColor="text1"/>
          <w:szCs w:val="24"/>
          <w14:textFill>
            <w14:solidFill>
              <w14:schemeClr w14:val="tx1"/>
            </w14:solidFill>
          </w14:textFill>
        </w:rPr>
        <w:t>，小于标准值0.9mg/m</w:t>
      </w:r>
      <w:r>
        <w:rPr>
          <w:rFonts w:ascii="Times New Roman" w:hAnsi="Times New Roman" w:eastAsia="宋体" w:cs="Times New Roman"/>
          <w:b w:val="0"/>
          <w:bCs w:val="0"/>
          <w:color w:val="000000" w:themeColor="text1"/>
          <w:szCs w:val="24"/>
          <w:vertAlign w:val="superscript"/>
          <w14:textFill>
            <w14:solidFill>
              <w14:schemeClr w14:val="tx1"/>
            </w14:solidFill>
          </w14:textFill>
        </w:rPr>
        <w:t>3</w:t>
      </w:r>
      <w:r>
        <w:rPr>
          <w:rFonts w:ascii="Times New Roman" w:hAnsi="Times New Roman" w:eastAsia="宋体" w:cs="Times New Roman"/>
          <w:b w:val="0"/>
          <w:bCs w:val="0"/>
          <w:color w:val="000000" w:themeColor="text1"/>
          <w:szCs w:val="24"/>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eastAsia="宋体"/>
          <w:b/>
          <w:bCs w:val="0"/>
          <w:color w:val="000000" w:themeColor="text1"/>
          <w14:textFill>
            <w14:solidFill>
              <w14:schemeClr w14:val="tx1"/>
            </w14:solidFill>
          </w14:textFill>
        </w:rPr>
      </w:pPr>
      <w:r>
        <w:rPr>
          <w:rFonts w:hint="eastAsia" w:eastAsia="宋体"/>
          <w:b/>
          <w:bCs w:val="0"/>
          <w:color w:val="000000" w:themeColor="text1"/>
          <w:lang w:val="en-US" w:eastAsia="zh-CN"/>
          <w14:textFill>
            <w14:solidFill>
              <w14:schemeClr w14:val="tx1"/>
            </w14:solidFill>
          </w14:textFill>
        </w:rPr>
        <w:t>6</w:t>
      </w:r>
      <w:r>
        <w:rPr>
          <w:rFonts w:eastAsia="宋体"/>
          <w:b/>
          <w:bCs w:val="0"/>
          <w:color w:val="000000" w:themeColor="text1"/>
          <w14:textFill>
            <w14:solidFill>
              <w14:schemeClr w14:val="tx1"/>
            </w14:solidFill>
          </w14:textFill>
        </w:rPr>
        <w:t>#排气筒废气超标排放事故</w:t>
      </w:r>
    </w:p>
    <w:p>
      <w:pPr>
        <w:spacing w:line="500" w:lineRule="exact"/>
        <w:ind w:firstLine="480" w:firstLineChars="200"/>
        <w:rPr>
          <w:rFonts w:ascii="Times New Roman" w:hAnsi="Times New Roman" w:eastAsia="宋体" w:cs="Times New Roman"/>
          <w:b w:val="0"/>
          <w:bCs/>
          <w:color w:val="000000" w:themeColor="text1"/>
          <w:szCs w:val="24"/>
          <w14:textFill>
            <w14:solidFill>
              <w14:schemeClr w14:val="tx1"/>
            </w14:solidFill>
          </w14:textFill>
        </w:rPr>
      </w:pPr>
      <w:r>
        <w:rPr>
          <w:rFonts w:ascii="Times New Roman" w:hAnsi="Times New Roman" w:eastAsia="宋体" w:cs="Times New Roman"/>
          <w:b w:val="0"/>
          <w:bCs/>
          <w:color w:val="000000" w:themeColor="text1"/>
          <w:szCs w:val="24"/>
          <w14:textFill>
            <w14:solidFill>
              <w14:schemeClr w14:val="tx1"/>
            </w14:solidFill>
          </w14:textFill>
        </w:rPr>
        <w:t>从上表分析可知，在</w:t>
      </w:r>
      <w:r>
        <w:rPr>
          <w:rFonts w:hint="eastAsia" w:eastAsia="宋体" w:cs="Times New Roman"/>
          <w:b w:val="0"/>
          <w:bCs/>
          <w:color w:val="000000" w:themeColor="text1"/>
          <w:szCs w:val="24"/>
          <w:lang w:val="en-US" w:eastAsia="zh-CN"/>
          <w14:textFill>
            <w14:solidFill>
              <w14:schemeClr w14:val="tx1"/>
            </w14:solidFill>
          </w14:textFill>
        </w:rPr>
        <w:t>6</w:t>
      </w:r>
      <w:r>
        <w:rPr>
          <w:rFonts w:ascii="Times New Roman" w:hAnsi="Times New Roman" w:eastAsia="宋体" w:cs="Times New Roman"/>
          <w:b w:val="0"/>
          <w:bCs/>
          <w:color w:val="000000" w:themeColor="text1"/>
          <w:szCs w:val="24"/>
          <w14:textFill>
            <w14:solidFill>
              <w14:schemeClr w14:val="tx1"/>
            </w14:solidFill>
          </w14:textFill>
        </w:rPr>
        <w:t>#排气筒下方向</w:t>
      </w:r>
      <w:r>
        <w:rPr>
          <w:rFonts w:hint="eastAsia" w:eastAsia="宋体" w:cs="Times New Roman"/>
          <w:b w:val="0"/>
          <w:bCs/>
          <w:color w:val="000000" w:themeColor="text1"/>
          <w:szCs w:val="24"/>
          <w:lang w:val="en-US" w:eastAsia="zh-CN"/>
          <w14:textFill>
            <w14:solidFill>
              <w14:schemeClr w14:val="tx1"/>
            </w14:solidFill>
          </w14:textFill>
        </w:rPr>
        <w:t>128</w:t>
      </w:r>
      <w:r>
        <w:rPr>
          <w:rFonts w:ascii="Times New Roman" w:hAnsi="Times New Roman" w:eastAsia="宋体" w:cs="Times New Roman"/>
          <w:b w:val="0"/>
          <w:bCs/>
          <w:color w:val="000000" w:themeColor="text1"/>
          <w:szCs w:val="24"/>
          <w14:textFill>
            <w14:solidFill>
              <w14:schemeClr w14:val="tx1"/>
            </w14:solidFill>
          </w14:textFill>
        </w:rPr>
        <w:t>米处</w:t>
      </w:r>
      <w:r>
        <w:rPr>
          <w:rFonts w:hint="eastAsia" w:eastAsia="宋体"/>
          <w:color w:val="000000" w:themeColor="text1"/>
          <w14:textFill>
            <w14:solidFill>
              <w14:schemeClr w14:val="tx1"/>
            </w14:solidFill>
          </w14:textFill>
        </w:rPr>
        <w:t>颗粒物</w:t>
      </w:r>
      <w:r>
        <w:rPr>
          <w:rFonts w:eastAsia="宋体"/>
          <w:color w:val="000000" w:themeColor="text1"/>
          <w14:textFill>
            <w14:solidFill>
              <w14:schemeClr w14:val="tx1"/>
            </w14:solidFill>
          </w14:textFill>
        </w:rPr>
        <w:t>出现了最大落地浓度</w:t>
      </w:r>
      <w:r>
        <w:rPr>
          <w:rFonts w:hint="eastAsia" w:eastAsia="宋体"/>
          <w:color w:val="000000" w:themeColor="text1"/>
          <w14:textFill>
            <w14:solidFill>
              <w14:schemeClr w14:val="tx1"/>
            </w14:solidFill>
          </w14:textFill>
        </w:rPr>
        <w:t>0.0</w:t>
      </w:r>
      <w:r>
        <w:rPr>
          <w:rFonts w:hint="eastAsia" w:eastAsia="宋体"/>
          <w:color w:val="000000" w:themeColor="text1"/>
          <w:lang w:val="en-US" w:eastAsia="zh-CN"/>
          <w14:textFill>
            <w14:solidFill>
              <w14:schemeClr w14:val="tx1"/>
            </w14:solidFill>
          </w14:textFill>
        </w:rPr>
        <w:t>7909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，小于标准值</w:t>
      </w:r>
      <w:r>
        <w:rPr>
          <w:rFonts w:hint="eastAsia" w:eastAsia="宋体"/>
          <w:color w:val="000000" w:themeColor="text1"/>
          <w14:textFill>
            <w14:solidFill>
              <w14:schemeClr w14:val="tx1"/>
            </w14:solidFill>
          </w14:textFill>
        </w:rPr>
        <w:t>0.9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w:t>
      </w:r>
      <w:r>
        <w:rPr>
          <w:rFonts w:ascii="Times New Roman" w:hAnsi="Times New Roman" w:eastAsia="宋体" w:cs="Times New Roman"/>
          <w:b w:val="0"/>
          <w:bCs/>
          <w:color w:val="000000" w:themeColor="text1"/>
          <w:szCs w:val="24"/>
          <w14:textFill>
            <w14:solidFill>
              <w14:schemeClr w14:val="tx1"/>
            </w14:solidFill>
          </w14:textFill>
        </w:rPr>
        <w:t>挥发性有机物出现了最大落地浓度</w:t>
      </w:r>
      <w:r>
        <w:rPr>
          <w:rFonts w:hint="eastAsia" w:eastAsia="宋体" w:cs="Times New Roman"/>
          <w:b w:val="0"/>
          <w:bCs/>
          <w:color w:val="000000" w:themeColor="text1"/>
          <w:szCs w:val="24"/>
          <w:lang w:val="en-US" w:eastAsia="zh-CN"/>
          <w14:textFill>
            <w14:solidFill>
              <w14:schemeClr w14:val="tx1"/>
            </w14:solidFill>
          </w14:textFill>
        </w:rPr>
        <w:t>0.04504</w:t>
      </w:r>
      <w:r>
        <w:rPr>
          <w:rFonts w:ascii="Times New Roman" w:hAnsi="Times New Roman" w:eastAsia="宋体" w:cs="Times New Roman"/>
          <w:b w:val="0"/>
          <w:bCs/>
          <w:color w:val="000000" w:themeColor="text1"/>
          <w:szCs w:val="24"/>
          <w14:textFill>
            <w14:solidFill>
              <w14:schemeClr w14:val="tx1"/>
            </w14:solidFill>
          </w14:textFill>
        </w:rPr>
        <w:t>mg/m</w:t>
      </w:r>
      <w:r>
        <w:rPr>
          <w:rFonts w:ascii="Times New Roman" w:hAnsi="Times New Roman" w:eastAsia="宋体" w:cs="Times New Roman"/>
          <w:b w:val="0"/>
          <w:bCs/>
          <w:color w:val="000000" w:themeColor="text1"/>
          <w:szCs w:val="24"/>
          <w:vertAlign w:val="superscript"/>
          <w14:textFill>
            <w14:solidFill>
              <w14:schemeClr w14:val="tx1"/>
            </w14:solidFill>
          </w14:textFill>
        </w:rPr>
        <w:t>3</w:t>
      </w:r>
      <w:r>
        <w:rPr>
          <w:rFonts w:ascii="Times New Roman" w:hAnsi="Times New Roman" w:eastAsia="宋体" w:cs="Times New Roman"/>
          <w:b w:val="0"/>
          <w:bCs/>
          <w:color w:val="000000" w:themeColor="text1"/>
          <w:szCs w:val="24"/>
          <w14:textFill>
            <w14:solidFill>
              <w14:schemeClr w14:val="tx1"/>
            </w14:solidFill>
          </w14:textFill>
        </w:rPr>
        <w:t>，小于标准值1.2mg/m</w:t>
      </w:r>
      <w:r>
        <w:rPr>
          <w:rFonts w:ascii="Times New Roman" w:hAnsi="Times New Roman" w:eastAsia="宋体" w:cs="Times New Roman"/>
          <w:b w:val="0"/>
          <w:bCs/>
          <w:color w:val="000000" w:themeColor="text1"/>
          <w:szCs w:val="24"/>
          <w:vertAlign w:val="superscript"/>
          <w14:textFill>
            <w14:solidFill>
              <w14:schemeClr w14:val="tx1"/>
            </w14:solidFill>
          </w14:textFill>
        </w:rPr>
        <w:t>3</w:t>
      </w:r>
      <w:r>
        <w:rPr>
          <w:rFonts w:ascii="Times New Roman" w:hAnsi="Times New Roman" w:eastAsia="宋体" w:cs="Times New Roman"/>
          <w:b w:val="0"/>
          <w:bCs/>
          <w:color w:val="000000" w:themeColor="text1"/>
          <w:szCs w:val="24"/>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eastAsia="宋体"/>
          <w:b w:val="0"/>
          <w:bCs/>
          <w:color w:val="000000" w:themeColor="text1"/>
          <w14:textFill>
            <w14:solidFill>
              <w14:schemeClr w14:val="tx1"/>
            </w14:solidFill>
          </w14:textFill>
        </w:rPr>
      </w:pPr>
      <w:r>
        <w:rPr>
          <w:rFonts w:hint="eastAsia" w:eastAsia="宋体"/>
          <w:b/>
          <w:bCs w:val="0"/>
          <w:color w:val="000000" w:themeColor="text1"/>
          <w:lang w:val="en-US" w:eastAsia="zh-CN"/>
          <w14:textFill>
            <w14:solidFill>
              <w14:schemeClr w14:val="tx1"/>
            </w14:solidFill>
          </w14:textFill>
        </w:rPr>
        <w:t>7</w:t>
      </w:r>
      <w:r>
        <w:rPr>
          <w:rFonts w:eastAsia="宋体"/>
          <w:b/>
          <w:bCs w:val="0"/>
          <w:color w:val="000000" w:themeColor="text1"/>
          <w14:textFill>
            <w14:solidFill>
              <w14:schemeClr w14:val="tx1"/>
            </w14:solidFill>
          </w14:textFill>
        </w:rPr>
        <w:t>#排气筒废气超标排放事故</w:t>
      </w:r>
    </w:p>
    <w:p>
      <w:pPr>
        <w:spacing w:line="500" w:lineRule="exact"/>
        <w:ind w:firstLine="480" w:firstLineChars="200"/>
        <w:outlineLvl w:val="9"/>
        <w:rPr>
          <w:rFonts w:eastAsia="宋体"/>
          <w:b w:val="0"/>
          <w:color w:val="000000" w:themeColor="text1"/>
          <w14:textFill>
            <w14:solidFill>
              <w14:schemeClr w14:val="tx1"/>
            </w14:solidFill>
          </w14:textFill>
        </w:rPr>
      </w:pPr>
      <w:r>
        <w:rPr>
          <w:rFonts w:eastAsia="宋体"/>
          <w:b w:val="0"/>
          <w:color w:val="000000" w:themeColor="text1"/>
          <w14:textFill>
            <w14:solidFill>
              <w14:schemeClr w14:val="tx1"/>
            </w14:solidFill>
          </w14:textFill>
        </w:rPr>
        <w:t>从上表分析可知，在</w:t>
      </w:r>
      <w:r>
        <w:rPr>
          <w:rFonts w:hint="eastAsia" w:eastAsia="宋体"/>
          <w:b w:val="0"/>
          <w:color w:val="000000" w:themeColor="text1"/>
          <w:lang w:val="en-US" w:eastAsia="zh-CN"/>
          <w14:textFill>
            <w14:solidFill>
              <w14:schemeClr w14:val="tx1"/>
            </w14:solidFill>
          </w14:textFill>
        </w:rPr>
        <w:t>7</w:t>
      </w:r>
      <w:r>
        <w:rPr>
          <w:rFonts w:hint="eastAsia" w:eastAsia="宋体"/>
          <w:b w:val="0"/>
          <w:color w:val="000000" w:themeColor="text1"/>
          <w14:textFill>
            <w14:solidFill>
              <w14:schemeClr w14:val="tx1"/>
            </w14:solidFill>
          </w14:textFill>
        </w:rPr>
        <w:t>#排气筒</w:t>
      </w:r>
      <w:r>
        <w:rPr>
          <w:rFonts w:eastAsia="宋体"/>
          <w:b w:val="0"/>
          <w:color w:val="000000" w:themeColor="text1"/>
          <w14:textFill>
            <w14:solidFill>
              <w14:schemeClr w14:val="tx1"/>
            </w14:solidFill>
          </w14:textFill>
        </w:rPr>
        <w:t>下方向</w:t>
      </w:r>
      <w:r>
        <w:rPr>
          <w:rFonts w:hint="eastAsia" w:eastAsia="宋体"/>
          <w:b w:val="0"/>
          <w:color w:val="000000" w:themeColor="text1"/>
          <w:lang w:val="en-US" w:eastAsia="zh-CN"/>
          <w14:textFill>
            <w14:solidFill>
              <w14:schemeClr w14:val="tx1"/>
            </w14:solidFill>
          </w14:textFill>
        </w:rPr>
        <w:t>150</w:t>
      </w:r>
      <w:r>
        <w:rPr>
          <w:rFonts w:eastAsia="宋体"/>
          <w:b w:val="0"/>
          <w:color w:val="000000" w:themeColor="text1"/>
          <w14:textFill>
            <w14:solidFill>
              <w14:schemeClr w14:val="tx1"/>
            </w14:solidFill>
          </w14:textFill>
        </w:rPr>
        <w:t>米处</w:t>
      </w:r>
      <w:r>
        <w:rPr>
          <w:rFonts w:hint="eastAsia" w:eastAsia="宋体"/>
          <w:b w:val="0"/>
          <w:color w:val="000000" w:themeColor="text1"/>
          <w14:textFill>
            <w14:solidFill>
              <w14:schemeClr w14:val="tx1"/>
            </w14:solidFill>
          </w14:textFill>
        </w:rPr>
        <w:t>颗粒物</w:t>
      </w:r>
      <w:r>
        <w:rPr>
          <w:rFonts w:eastAsia="宋体"/>
          <w:b w:val="0"/>
          <w:color w:val="000000" w:themeColor="text1"/>
          <w14:textFill>
            <w14:solidFill>
              <w14:schemeClr w14:val="tx1"/>
            </w14:solidFill>
          </w14:textFill>
        </w:rPr>
        <w:t>出现了最大落地浓度</w:t>
      </w:r>
      <w:r>
        <w:rPr>
          <w:rFonts w:hint="eastAsia" w:eastAsia="宋体"/>
          <w:b w:val="0"/>
          <w:color w:val="000000" w:themeColor="text1"/>
          <w:lang w:val="en-US" w:eastAsia="zh-CN"/>
          <w14:textFill>
            <w14:solidFill>
              <w14:schemeClr w14:val="tx1"/>
            </w14:solidFill>
          </w14:textFill>
        </w:rPr>
        <w:t>0.07831</w:t>
      </w:r>
      <w:r>
        <w:rPr>
          <w:rFonts w:eastAsia="宋体"/>
          <w:b w:val="0"/>
          <w:color w:val="000000" w:themeColor="text1"/>
          <w14:textFill>
            <w14:solidFill>
              <w14:schemeClr w14:val="tx1"/>
            </w14:solidFill>
          </w14:textFill>
        </w:rPr>
        <w:t xml:space="preserve"> mg/m</w:t>
      </w:r>
      <w:r>
        <w:rPr>
          <w:rFonts w:eastAsia="宋体"/>
          <w:b w:val="0"/>
          <w:color w:val="000000" w:themeColor="text1"/>
          <w:vertAlign w:val="superscript"/>
          <w14:textFill>
            <w14:solidFill>
              <w14:schemeClr w14:val="tx1"/>
            </w14:solidFill>
          </w14:textFill>
        </w:rPr>
        <w:t>3</w:t>
      </w:r>
      <w:r>
        <w:rPr>
          <w:rFonts w:eastAsia="宋体"/>
          <w:b w:val="0"/>
          <w:color w:val="000000" w:themeColor="text1"/>
          <w14:textFill>
            <w14:solidFill>
              <w14:schemeClr w14:val="tx1"/>
            </w14:solidFill>
          </w14:textFill>
        </w:rPr>
        <w:t>，小于标准值</w:t>
      </w:r>
      <w:r>
        <w:rPr>
          <w:rFonts w:hint="eastAsia" w:eastAsia="宋体"/>
          <w:b w:val="0"/>
          <w:color w:val="000000" w:themeColor="text1"/>
          <w14:textFill>
            <w14:solidFill>
              <w14:schemeClr w14:val="tx1"/>
            </w14:solidFill>
          </w14:textFill>
        </w:rPr>
        <w:t>0.9</w:t>
      </w:r>
      <w:r>
        <w:rPr>
          <w:rFonts w:eastAsia="宋体"/>
          <w:b w:val="0"/>
          <w:color w:val="000000" w:themeColor="text1"/>
          <w14:textFill>
            <w14:solidFill>
              <w14:schemeClr w14:val="tx1"/>
            </w14:solidFill>
          </w14:textFill>
        </w:rPr>
        <w:t>mg/m</w:t>
      </w:r>
      <w:r>
        <w:rPr>
          <w:rFonts w:eastAsia="宋体"/>
          <w:b w:val="0"/>
          <w:color w:val="000000" w:themeColor="text1"/>
          <w:vertAlign w:val="superscript"/>
          <w14:textFill>
            <w14:solidFill>
              <w14:schemeClr w14:val="tx1"/>
            </w14:solidFill>
          </w14:textFill>
        </w:rPr>
        <w:t>3</w:t>
      </w:r>
      <w:r>
        <w:rPr>
          <w:rFonts w:eastAsia="宋体"/>
          <w:b w:val="0"/>
          <w:color w:val="000000" w:themeColor="text1"/>
          <w14:textFill>
            <w14:solidFill>
              <w14:schemeClr w14:val="tx1"/>
            </w14:solidFill>
          </w14:textFill>
        </w:rPr>
        <w:t>，</w:t>
      </w:r>
      <w:r>
        <w:rPr>
          <w:rFonts w:hint="eastAsia" w:eastAsia="宋体"/>
          <w:b w:val="0"/>
          <w:color w:val="000000" w:themeColor="text1"/>
          <w14:textFill>
            <w14:solidFill>
              <w14:schemeClr w14:val="tx1"/>
            </w14:solidFill>
          </w14:textFill>
        </w:rPr>
        <w:t>挥发性有机物出现了最大落地浓度</w:t>
      </w:r>
      <w:r>
        <w:rPr>
          <w:rFonts w:hint="eastAsia" w:eastAsia="宋体"/>
          <w:b w:val="0"/>
          <w:color w:val="000000" w:themeColor="text1"/>
          <w:lang w:val="en-US" w:eastAsia="zh-CN"/>
          <w14:textFill>
            <w14:solidFill>
              <w14:schemeClr w14:val="tx1"/>
            </w14:solidFill>
          </w14:textFill>
        </w:rPr>
        <w:t>0.05165</w:t>
      </w:r>
      <w:r>
        <w:rPr>
          <w:rFonts w:eastAsia="宋体"/>
          <w:b w:val="0"/>
          <w:color w:val="000000" w:themeColor="text1"/>
          <w14:textFill>
            <w14:solidFill>
              <w14:schemeClr w14:val="tx1"/>
            </w14:solidFill>
          </w14:textFill>
        </w:rPr>
        <w:t>mg/m</w:t>
      </w:r>
      <w:r>
        <w:rPr>
          <w:rFonts w:eastAsia="宋体"/>
          <w:b w:val="0"/>
          <w:color w:val="000000" w:themeColor="text1"/>
          <w:vertAlign w:val="superscript"/>
          <w14:textFill>
            <w14:solidFill>
              <w14:schemeClr w14:val="tx1"/>
            </w14:solidFill>
          </w14:textFill>
        </w:rPr>
        <w:t>3</w:t>
      </w:r>
      <w:r>
        <w:rPr>
          <w:rFonts w:hint="eastAsia" w:eastAsia="宋体"/>
          <w:b w:val="0"/>
          <w:color w:val="000000" w:themeColor="text1"/>
          <w14:textFill>
            <w14:solidFill>
              <w14:schemeClr w14:val="tx1"/>
            </w14:solidFill>
          </w14:textFill>
        </w:rPr>
        <w:t>，小于标准值1.2</w:t>
      </w:r>
      <w:r>
        <w:rPr>
          <w:rFonts w:eastAsia="宋体"/>
          <w:b w:val="0"/>
          <w:color w:val="000000" w:themeColor="text1"/>
          <w14:textFill>
            <w14:solidFill>
              <w14:schemeClr w14:val="tx1"/>
            </w14:solidFill>
          </w14:textFill>
        </w:rPr>
        <w:t>mg/m</w:t>
      </w:r>
      <w:r>
        <w:rPr>
          <w:rFonts w:eastAsia="宋体"/>
          <w:b w:val="0"/>
          <w:color w:val="000000" w:themeColor="text1"/>
          <w:vertAlign w:val="superscript"/>
          <w14:textFill>
            <w14:solidFill>
              <w14:schemeClr w14:val="tx1"/>
            </w14:solidFill>
          </w14:textFill>
        </w:rPr>
        <w:t>3</w:t>
      </w:r>
      <w:r>
        <w:rPr>
          <w:rFonts w:hint="eastAsia" w:eastAsia="宋体"/>
          <w:b w:val="0"/>
          <w:color w:val="000000" w:themeColor="text1"/>
          <w14:textFill>
            <w14:solidFill>
              <w14:schemeClr w14:val="tx1"/>
            </w14:solidFill>
          </w14:textFill>
        </w:rPr>
        <w:t>，</w:t>
      </w:r>
      <w:r>
        <w:rPr>
          <w:rFonts w:eastAsia="宋体"/>
          <w:b w:val="0"/>
          <w:color w:val="000000" w:themeColor="text1"/>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eastAsia="宋体"/>
          <w:b w:val="0"/>
          <w:bCs/>
          <w:color w:val="000000" w:themeColor="text1"/>
          <w14:textFill>
            <w14:solidFill>
              <w14:schemeClr w14:val="tx1"/>
            </w14:solidFill>
          </w14:textFill>
        </w:rPr>
      </w:pPr>
      <w:r>
        <w:rPr>
          <w:rFonts w:hint="eastAsia" w:eastAsia="宋体"/>
          <w:b/>
          <w:bCs w:val="0"/>
          <w:color w:val="000000" w:themeColor="text1"/>
          <w:lang w:val="en-US" w:eastAsia="zh-CN"/>
          <w14:textFill>
            <w14:solidFill>
              <w14:schemeClr w14:val="tx1"/>
            </w14:solidFill>
          </w14:textFill>
        </w:rPr>
        <w:t>8</w:t>
      </w:r>
      <w:r>
        <w:rPr>
          <w:rFonts w:eastAsia="宋体"/>
          <w:b/>
          <w:bCs w:val="0"/>
          <w:color w:val="000000" w:themeColor="text1"/>
          <w14:textFill>
            <w14:solidFill>
              <w14:schemeClr w14:val="tx1"/>
            </w14:solidFill>
          </w14:textFill>
        </w:rPr>
        <w:t>#排气筒废气超标排放事故</w:t>
      </w:r>
    </w:p>
    <w:p>
      <w:pPr>
        <w:spacing w:line="500" w:lineRule="exact"/>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从上表分析可知，在</w:t>
      </w:r>
      <w:r>
        <w:rPr>
          <w:rFonts w:hint="eastAsia" w:eastAsia="宋体"/>
          <w:bCs/>
          <w:color w:val="000000" w:themeColor="text1"/>
          <w:lang w:val="en-US" w:eastAsia="zh-CN"/>
          <w14:textFill>
            <w14:solidFill>
              <w14:schemeClr w14:val="tx1"/>
            </w14:solidFill>
          </w14:textFill>
        </w:rPr>
        <w:t>8</w:t>
      </w:r>
      <w:r>
        <w:rPr>
          <w:rFonts w:hint="eastAsia" w:eastAsia="宋体"/>
          <w:bCs/>
          <w:color w:val="000000" w:themeColor="text1"/>
          <w14:textFill>
            <w14:solidFill>
              <w14:schemeClr w14:val="tx1"/>
            </w14:solidFill>
          </w14:textFill>
        </w:rPr>
        <w:t>#排气筒</w:t>
      </w:r>
      <w:r>
        <w:rPr>
          <w:rFonts w:eastAsia="宋体"/>
          <w:bCs/>
          <w:color w:val="000000" w:themeColor="text1"/>
          <w14:textFill>
            <w14:solidFill>
              <w14:schemeClr w14:val="tx1"/>
            </w14:solidFill>
          </w14:textFill>
        </w:rPr>
        <w:t>下方向</w:t>
      </w:r>
      <w:r>
        <w:rPr>
          <w:rFonts w:hint="eastAsia" w:eastAsia="宋体"/>
          <w:bCs/>
          <w:color w:val="000000" w:themeColor="text1"/>
          <w:lang w:val="en-US" w:eastAsia="zh-CN"/>
          <w14:textFill>
            <w14:solidFill>
              <w14:schemeClr w14:val="tx1"/>
            </w14:solidFill>
          </w14:textFill>
        </w:rPr>
        <w:t>128</w:t>
      </w:r>
      <w:r>
        <w:rPr>
          <w:rFonts w:eastAsia="宋体"/>
          <w:bCs/>
          <w:color w:val="000000" w:themeColor="text1"/>
          <w14:textFill>
            <w14:solidFill>
              <w14:schemeClr w14:val="tx1"/>
            </w14:solidFill>
          </w14:textFill>
        </w:rPr>
        <w:t>米处</w:t>
      </w:r>
      <w:r>
        <w:rPr>
          <w:rFonts w:hint="eastAsia" w:eastAsia="宋体"/>
          <w:bCs/>
          <w:color w:val="000000" w:themeColor="text1"/>
          <w14:textFill>
            <w14:solidFill>
              <w14:schemeClr w14:val="tx1"/>
            </w14:solidFill>
          </w14:textFill>
        </w:rPr>
        <w:t>颗粒物</w:t>
      </w:r>
      <w:r>
        <w:rPr>
          <w:rFonts w:eastAsia="宋体"/>
          <w:bCs/>
          <w:color w:val="000000" w:themeColor="text1"/>
          <w14:textFill>
            <w14:solidFill>
              <w14:schemeClr w14:val="tx1"/>
            </w14:solidFill>
          </w14:textFill>
        </w:rPr>
        <w:t>出现了最大落地浓度</w:t>
      </w:r>
      <w:r>
        <w:rPr>
          <w:rFonts w:hint="eastAsia" w:eastAsia="宋体"/>
          <w:bCs/>
          <w:color w:val="000000" w:themeColor="text1"/>
          <w:lang w:val="en-US" w:eastAsia="zh-CN"/>
          <w14:textFill>
            <w14:solidFill>
              <w14:schemeClr w14:val="tx1"/>
            </w14:solidFill>
          </w14:textFill>
        </w:rPr>
        <w:t>0.07434</w:t>
      </w:r>
      <w:r>
        <w:rPr>
          <w:rFonts w:eastAsia="宋体"/>
          <w:bCs/>
          <w:color w:val="000000" w:themeColor="text1"/>
          <w14:textFill>
            <w14:solidFill>
              <w14:schemeClr w14:val="tx1"/>
            </w14:solidFill>
          </w14:textFill>
        </w:rPr>
        <w:t xml:space="preserve"> mg/m</w:t>
      </w:r>
      <w:r>
        <w:rPr>
          <w:rFonts w:eastAsia="宋体"/>
          <w:bCs/>
          <w:color w:val="000000" w:themeColor="text1"/>
          <w:vertAlign w:val="superscript"/>
          <w14:textFill>
            <w14:solidFill>
              <w14:schemeClr w14:val="tx1"/>
            </w14:solidFill>
          </w14:textFill>
        </w:rPr>
        <w:t>3</w:t>
      </w:r>
      <w:r>
        <w:rPr>
          <w:rFonts w:eastAsia="宋体"/>
          <w:bCs/>
          <w:color w:val="000000" w:themeColor="text1"/>
          <w14:textFill>
            <w14:solidFill>
              <w14:schemeClr w14:val="tx1"/>
            </w14:solidFill>
          </w14:textFill>
        </w:rPr>
        <w:t>，小于标准值</w:t>
      </w:r>
      <w:r>
        <w:rPr>
          <w:rFonts w:hint="eastAsia" w:eastAsia="宋体"/>
          <w:bCs/>
          <w:color w:val="000000" w:themeColor="text1"/>
          <w14:textFill>
            <w14:solidFill>
              <w14:schemeClr w14:val="tx1"/>
            </w14:solidFill>
          </w14:textFill>
        </w:rPr>
        <w:t>0.9</w:t>
      </w:r>
      <w:r>
        <w:rPr>
          <w:rFonts w:eastAsia="宋体"/>
          <w:bCs/>
          <w:color w:val="000000" w:themeColor="text1"/>
          <w14:textFill>
            <w14:solidFill>
              <w14:schemeClr w14:val="tx1"/>
            </w14:solidFill>
          </w14:textFill>
        </w:rPr>
        <w:t>mg/m</w:t>
      </w:r>
      <w:r>
        <w:rPr>
          <w:rFonts w:eastAsia="宋体"/>
          <w:bCs/>
          <w:color w:val="000000" w:themeColor="text1"/>
          <w:vertAlign w:val="superscript"/>
          <w14:textFill>
            <w14:solidFill>
              <w14:schemeClr w14:val="tx1"/>
            </w14:solidFill>
          </w14:textFill>
        </w:rPr>
        <w:t>3</w:t>
      </w:r>
      <w:r>
        <w:rPr>
          <w:rFonts w:eastAsia="宋体"/>
          <w:bCs/>
          <w:color w:val="000000" w:themeColor="text1"/>
          <w14:textFill>
            <w14:solidFill>
              <w14:schemeClr w14:val="tx1"/>
            </w14:solidFill>
          </w14:textFill>
        </w:rPr>
        <w:t>，</w:t>
      </w:r>
      <w:r>
        <w:rPr>
          <w:rFonts w:hint="eastAsia" w:eastAsia="宋体"/>
          <w:bCs/>
          <w:color w:val="000000" w:themeColor="text1"/>
          <w14:textFill>
            <w14:solidFill>
              <w14:schemeClr w14:val="tx1"/>
            </w14:solidFill>
          </w14:textFill>
        </w:rPr>
        <w:t>挥发性有机物出现了最大落地浓度</w:t>
      </w:r>
      <w:r>
        <w:rPr>
          <w:rFonts w:hint="eastAsia" w:eastAsia="宋体"/>
          <w:bCs/>
          <w:color w:val="000000" w:themeColor="text1"/>
          <w:lang w:val="en-US" w:eastAsia="zh-CN"/>
          <w14:textFill>
            <w14:solidFill>
              <w14:schemeClr w14:val="tx1"/>
            </w14:solidFill>
          </w14:textFill>
        </w:rPr>
        <w:t>0.03428</w:t>
      </w:r>
      <w:r>
        <w:rPr>
          <w:rFonts w:eastAsia="宋体"/>
          <w:bCs/>
          <w:color w:val="000000" w:themeColor="text1"/>
          <w14:textFill>
            <w14:solidFill>
              <w14:schemeClr w14:val="tx1"/>
            </w14:solidFill>
          </w14:textFill>
        </w:rPr>
        <w:t>mg/m</w:t>
      </w:r>
      <w:r>
        <w:rPr>
          <w:rFonts w:eastAsia="宋体"/>
          <w:bCs/>
          <w:color w:val="000000" w:themeColor="text1"/>
          <w:vertAlign w:val="superscript"/>
          <w14:textFill>
            <w14:solidFill>
              <w14:schemeClr w14:val="tx1"/>
            </w14:solidFill>
          </w14:textFill>
        </w:rPr>
        <w:t>3</w:t>
      </w:r>
      <w:r>
        <w:rPr>
          <w:rFonts w:hint="eastAsia" w:eastAsia="宋体"/>
          <w:bCs/>
          <w:color w:val="000000" w:themeColor="text1"/>
          <w14:textFill>
            <w14:solidFill>
              <w14:schemeClr w14:val="tx1"/>
            </w14:solidFill>
          </w14:textFill>
        </w:rPr>
        <w:t>，小于标准值1.2</w:t>
      </w:r>
      <w:r>
        <w:rPr>
          <w:rFonts w:eastAsia="宋体"/>
          <w:bCs/>
          <w:color w:val="000000" w:themeColor="text1"/>
          <w14:textFill>
            <w14:solidFill>
              <w14:schemeClr w14:val="tx1"/>
            </w14:solidFill>
          </w14:textFill>
        </w:rPr>
        <w:t>mg/m</w:t>
      </w:r>
      <w:r>
        <w:rPr>
          <w:rFonts w:eastAsia="宋体"/>
          <w:bCs/>
          <w:color w:val="000000" w:themeColor="text1"/>
          <w:vertAlign w:val="superscript"/>
          <w14:textFill>
            <w14:solidFill>
              <w14:schemeClr w14:val="tx1"/>
            </w14:solidFill>
          </w14:textFill>
        </w:rPr>
        <w:t>3</w:t>
      </w:r>
      <w:r>
        <w:rPr>
          <w:rFonts w:hint="eastAsia" w:eastAsia="宋体"/>
          <w:bCs/>
          <w:color w:val="000000" w:themeColor="text1"/>
          <w14:textFill>
            <w14:solidFill>
              <w14:schemeClr w14:val="tx1"/>
            </w14:solidFill>
          </w14:textFill>
        </w:rPr>
        <w:t>，</w:t>
      </w:r>
      <w:r>
        <w:rPr>
          <w:rFonts w:eastAsia="宋体"/>
          <w:bCs/>
          <w:color w:val="000000" w:themeColor="text1"/>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eastAsia="宋体"/>
          <w:b w:val="0"/>
          <w:bCs/>
          <w:color w:val="000000" w:themeColor="text1"/>
          <w14:textFill>
            <w14:solidFill>
              <w14:schemeClr w14:val="tx1"/>
            </w14:solidFill>
          </w14:textFill>
        </w:rPr>
      </w:pPr>
      <w:r>
        <w:rPr>
          <w:rFonts w:hint="eastAsia" w:eastAsia="宋体"/>
          <w:b/>
          <w:bCs w:val="0"/>
          <w:color w:val="000000" w:themeColor="text1"/>
          <w:lang w:val="en-US" w:eastAsia="zh-CN"/>
          <w14:textFill>
            <w14:solidFill>
              <w14:schemeClr w14:val="tx1"/>
            </w14:solidFill>
          </w14:textFill>
        </w:rPr>
        <w:t>9</w:t>
      </w:r>
      <w:r>
        <w:rPr>
          <w:rFonts w:eastAsia="宋体"/>
          <w:b/>
          <w:bCs w:val="0"/>
          <w:color w:val="000000" w:themeColor="text1"/>
          <w14:textFill>
            <w14:solidFill>
              <w14:schemeClr w14:val="tx1"/>
            </w14:solidFill>
          </w14:textFill>
        </w:rPr>
        <w:t>#排气筒废气超标排放事故</w:t>
      </w:r>
    </w:p>
    <w:p>
      <w:pPr>
        <w:spacing w:line="500" w:lineRule="exact"/>
        <w:ind w:firstLine="480" w:firstLineChars="200"/>
        <w:outlineLvl w:val="9"/>
        <w:rPr>
          <w:rFonts w:eastAsia="宋体"/>
          <w:b w:val="0"/>
          <w:color w:val="000000" w:themeColor="text1"/>
          <w14:textFill>
            <w14:solidFill>
              <w14:schemeClr w14:val="tx1"/>
            </w14:solidFill>
          </w14:textFill>
        </w:rPr>
      </w:pPr>
      <w:r>
        <w:rPr>
          <w:rFonts w:eastAsia="宋体"/>
          <w:b w:val="0"/>
          <w:color w:val="000000" w:themeColor="text1"/>
          <w14:textFill>
            <w14:solidFill>
              <w14:schemeClr w14:val="tx1"/>
            </w14:solidFill>
          </w14:textFill>
        </w:rPr>
        <w:t>从上表分析可知，在</w:t>
      </w:r>
      <w:r>
        <w:rPr>
          <w:rFonts w:hint="eastAsia" w:eastAsia="宋体"/>
          <w:b w:val="0"/>
          <w:color w:val="000000" w:themeColor="text1"/>
          <w:lang w:val="en-US" w:eastAsia="zh-CN"/>
          <w14:textFill>
            <w14:solidFill>
              <w14:schemeClr w14:val="tx1"/>
            </w14:solidFill>
          </w14:textFill>
        </w:rPr>
        <w:t>9</w:t>
      </w:r>
      <w:r>
        <w:rPr>
          <w:rFonts w:hint="eastAsia" w:eastAsia="宋体"/>
          <w:b w:val="0"/>
          <w:color w:val="000000" w:themeColor="text1"/>
          <w14:textFill>
            <w14:solidFill>
              <w14:schemeClr w14:val="tx1"/>
            </w14:solidFill>
          </w14:textFill>
        </w:rPr>
        <w:t>#排气筒</w:t>
      </w:r>
      <w:r>
        <w:rPr>
          <w:rFonts w:eastAsia="宋体"/>
          <w:b w:val="0"/>
          <w:color w:val="000000" w:themeColor="text1"/>
          <w14:textFill>
            <w14:solidFill>
              <w14:schemeClr w14:val="tx1"/>
            </w14:solidFill>
          </w14:textFill>
        </w:rPr>
        <w:t>下方向</w:t>
      </w:r>
      <w:r>
        <w:rPr>
          <w:rFonts w:hint="eastAsia" w:eastAsia="宋体"/>
          <w:b w:val="0"/>
          <w:color w:val="000000" w:themeColor="text1"/>
          <w:lang w:val="en-US" w:eastAsia="zh-CN"/>
          <w14:textFill>
            <w14:solidFill>
              <w14:schemeClr w14:val="tx1"/>
            </w14:solidFill>
          </w14:textFill>
        </w:rPr>
        <w:t>128</w:t>
      </w:r>
      <w:r>
        <w:rPr>
          <w:rFonts w:eastAsia="宋体"/>
          <w:b w:val="0"/>
          <w:color w:val="000000" w:themeColor="text1"/>
          <w14:textFill>
            <w14:solidFill>
              <w14:schemeClr w14:val="tx1"/>
            </w14:solidFill>
          </w14:textFill>
        </w:rPr>
        <w:t>米处</w:t>
      </w:r>
      <w:r>
        <w:rPr>
          <w:rFonts w:hint="eastAsia" w:eastAsia="宋体"/>
          <w:b w:val="0"/>
          <w:color w:val="000000" w:themeColor="text1"/>
          <w14:textFill>
            <w14:solidFill>
              <w14:schemeClr w14:val="tx1"/>
            </w14:solidFill>
          </w14:textFill>
        </w:rPr>
        <w:t>颗粒物</w:t>
      </w:r>
      <w:r>
        <w:rPr>
          <w:rFonts w:eastAsia="宋体"/>
          <w:b w:val="0"/>
          <w:color w:val="000000" w:themeColor="text1"/>
          <w14:textFill>
            <w14:solidFill>
              <w14:schemeClr w14:val="tx1"/>
            </w14:solidFill>
          </w14:textFill>
        </w:rPr>
        <w:t>出现了最大落地浓度</w:t>
      </w:r>
      <w:r>
        <w:rPr>
          <w:rFonts w:hint="eastAsia" w:eastAsia="宋体"/>
          <w:b w:val="0"/>
          <w:color w:val="000000" w:themeColor="text1"/>
          <w:lang w:val="en-US" w:eastAsia="zh-CN"/>
          <w14:textFill>
            <w14:solidFill>
              <w14:schemeClr w14:val="tx1"/>
            </w14:solidFill>
          </w14:textFill>
        </w:rPr>
        <w:t>0.7315</w:t>
      </w:r>
      <w:r>
        <w:rPr>
          <w:rFonts w:eastAsia="宋体"/>
          <w:b w:val="0"/>
          <w:color w:val="000000" w:themeColor="text1"/>
          <w14:textFill>
            <w14:solidFill>
              <w14:schemeClr w14:val="tx1"/>
            </w14:solidFill>
          </w14:textFill>
        </w:rPr>
        <w:t xml:space="preserve"> mg/m</w:t>
      </w:r>
      <w:r>
        <w:rPr>
          <w:rFonts w:eastAsia="宋体"/>
          <w:b w:val="0"/>
          <w:color w:val="000000" w:themeColor="text1"/>
          <w:vertAlign w:val="superscript"/>
          <w14:textFill>
            <w14:solidFill>
              <w14:schemeClr w14:val="tx1"/>
            </w14:solidFill>
          </w14:textFill>
        </w:rPr>
        <w:t>3</w:t>
      </w:r>
      <w:r>
        <w:rPr>
          <w:rFonts w:eastAsia="宋体"/>
          <w:b w:val="0"/>
          <w:color w:val="000000" w:themeColor="text1"/>
          <w14:textFill>
            <w14:solidFill>
              <w14:schemeClr w14:val="tx1"/>
            </w14:solidFill>
          </w14:textFill>
        </w:rPr>
        <w:t>，小于标准值</w:t>
      </w:r>
      <w:r>
        <w:rPr>
          <w:rFonts w:hint="eastAsia" w:eastAsia="宋体"/>
          <w:b w:val="0"/>
          <w:color w:val="000000" w:themeColor="text1"/>
          <w14:textFill>
            <w14:solidFill>
              <w14:schemeClr w14:val="tx1"/>
            </w14:solidFill>
          </w14:textFill>
        </w:rPr>
        <w:t>0.9</w:t>
      </w:r>
      <w:r>
        <w:rPr>
          <w:rFonts w:eastAsia="宋体"/>
          <w:b w:val="0"/>
          <w:color w:val="000000" w:themeColor="text1"/>
          <w14:textFill>
            <w14:solidFill>
              <w14:schemeClr w14:val="tx1"/>
            </w14:solidFill>
          </w14:textFill>
        </w:rPr>
        <w:t>mg/m</w:t>
      </w:r>
      <w:r>
        <w:rPr>
          <w:rFonts w:eastAsia="宋体"/>
          <w:b w:val="0"/>
          <w:color w:val="000000" w:themeColor="text1"/>
          <w:vertAlign w:val="superscript"/>
          <w14:textFill>
            <w14:solidFill>
              <w14:schemeClr w14:val="tx1"/>
            </w14:solidFill>
          </w14:textFill>
        </w:rPr>
        <w:t>3</w:t>
      </w:r>
      <w:r>
        <w:rPr>
          <w:rFonts w:eastAsia="宋体"/>
          <w:b w:val="0"/>
          <w:color w:val="000000" w:themeColor="text1"/>
          <w14:textFill>
            <w14:solidFill>
              <w14:schemeClr w14:val="tx1"/>
            </w14:solidFill>
          </w14:textFill>
        </w:rPr>
        <w:t>，</w:t>
      </w:r>
      <w:r>
        <w:rPr>
          <w:rFonts w:hint="eastAsia" w:eastAsia="宋体"/>
          <w:b w:val="0"/>
          <w:color w:val="000000" w:themeColor="text1"/>
          <w14:textFill>
            <w14:solidFill>
              <w14:schemeClr w14:val="tx1"/>
            </w14:solidFill>
          </w14:textFill>
        </w:rPr>
        <w:t>挥发性有机物出现了最大落地浓度</w:t>
      </w:r>
      <w:r>
        <w:rPr>
          <w:rFonts w:hint="eastAsia" w:eastAsia="宋体"/>
          <w:b w:val="0"/>
          <w:color w:val="000000" w:themeColor="text1"/>
          <w:lang w:val="en-US" w:eastAsia="zh-CN"/>
          <w14:textFill>
            <w14:solidFill>
              <w14:schemeClr w14:val="tx1"/>
            </w14:solidFill>
          </w14:textFill>
        </w:rPr>
        <w:t>0.05021</w:t>
      </w:r>
      <w:r>
        <w:rPr>
          <w:rFonts w:eastAsia="宋体"/>
          <w:b w:val="0"/>
          <w:color w:val="000000" w:themeColor="text1"/>
          <w14:textFill>
            <w14:solidFill>
              <w14:schemeClr w14:val="tx1"/>
            </w14:solidFill>
          </w14:textFill>
        </w:rPr>
        <w:t>mg/m</w:t>
      </w:r>
      <w:r>
        <w:rPr>
          <w:rFonts w:eastAsia="宋体"/>
          <w:b w:val="0"/>
          <w:color w:val="000000" w:themeColor="text1"/>
          <w:vertAlign w:val="superscript"/>
          <w14:textFill>
            <w14:solidFill>
              <w14:schemeClr w14:val="tx1"/>
            </w14:solidFill>
          </w14:textFill>
        </w:rPr>
        <w:t>3</w:t>
      </w:r>
      <w:r>
        <w:rPr>
          <w:rFonts w:hint="eastAsia" w:eastAsia="宋体"/>
          <w:b w:val="0"/>
          <w:color w:val="000000" w:themeColor="text1"/>
          <w14:textFill>
            <w14:solidFill>
              <w14:schemeClr w14:val="tx1"/>
            </w14:solidFill>
          </w14:textFill>
        </w:rPr>
        <w:t>，小于标准值1.2</w:t>
      </w:r>
      <w:r>
        <w:rPr>
          <w:rFonts w:eastAsia="宋体"/>
          <w:b w:val="0"/>
          <w:color w:val="000000" w:themeColor="text1"/>
          <w14:textFill>
            <w14:solidFill>
              <w14:schemeClr w14:val="tx1"/>
            </w14:solidFill>
          </w14:textFill>
        </w:rPr>
        <w:t>mg/m</w:t>
      </w:r>
      <w:r>
        <w:rPr>
          <w:rFonts w:eastAsia="宋体"/>
          <w:b w:val="0"/>
          <w:color w:val="000000" w:themeColor="text1"/>
          <w:vertAlign w:val="superscript"/>
          <w14:textFill>
            <w14:solidFill>
              <w14:schemeClr w14:val="tx1"/>
            </w14:solidFill>
          </w14:textFill>
        </w:rPr>
        <w:t>3</w:t>
      </w:r>
      <w:r>
        <w:rPr>
          <w:rFonts w:hint="eastAsia" w:eastAsia="宋体"/>
          <w:b w:val="0"/>
          <w:color w:val="000000" w:themeColor="text1"/>
          <w14:textFill>
            <w14:solidFill>
              <w14:schemeClr w14:val="tx1"/>
            </w14:solidFill>
          </w14:textFill>
        </w:rPr>
        <w:t>，</w:t>
      </w:r>
      <w:r>
        <w:rPr>
          <w:rFonts w:hint="eastAsia" w:eastAsia="宋体"/>
          <w:b w:val="0"/>
          <w:color w:val="000000" w:themeColor="text1"/>
          <w:lang w:val="en-US" w:eastAsia="zh-CN"/>
          <w14:textFill>
            <w14:solidFill>
              <w14:schemeClr w14:val="tx1"/>
            </w14:solidFill>
          </w14:textFill>
        </w:rPr>
        <w:t>甲醛</w:t>
      </w:r>
      <w:r>
        <w:rPr>
          <w:rFonts w:eastAsia="宋体"/>
          <w:b w:val="0"/>
          <w:color w:val="000000" w:themeColor="text1"/>
          <w14:textFill>
            <w14:solidFill>
              <w14:schemeClr w14:val="tx1"/>
            </w14:solidFill>
          </w14:textFill>
        </w:rPr>
        <w:t>出现了最大落地浓度</w:t>
      </w:r>
      <w:r>
        <w:rPr>
          <w:rFonts w:hint="eastAsia" w:eastAsia="宋体"/>
          <w:b w:val="0"/>
          <w:color w:val="000000" w:themeColor="text1"/>
          <w:lang w:val="en-US" w:eastAsia="zh-CN"/>
          <w14:textFill>
            <w14:solidFill>
              <w14:schemeClr w14:val="tx1"/>
            </w14:solidFill>
          </w14:textFill>
        </w:rPr>
        <w:t>0.01038</w:t>
      </w:r>
      <w:r>
        <w:rPr>
          <w:rFonts w:eastAsia="宋体"/>
          <w:b w:val="0"/>
          <w:color w:val="000000" w:themeColor="text1"/>
          <w14:textFill>
            <w14:solidFill>
              <w14:schemeClr w14:val="tx1"/>
            </w14:solidFill>
          </w14:textFill>
        </w:rPr>
        <w:t xml:space="preserve"> mg/m</w:t>
      </w:r>
      <w:r>
        <w:rPr>
          <w:rFonts w:eastAsia="宋体"/>
          <w:b w:val="0"/>
          <w:color w:val="000000" w:themeColor="text1"/>
          <w:vertAlign w:val="superscript"/>
          <w14:textFill>
            <w14:solidFill>
              <w14:schemeClr w14:val="tx1"/>
            </w14:solidFill>
          </w14:textFill>
        </w:rPr>
        <w:t>3</w:t>
      </w:r>
      <w:r>
        <w:rPr>
          <w:rFonts w:eastAsia="宋体"/>
          <w:b w:val="0"/>
          <w:color w:val="000000" w:themeColor="text1"/>
          <w14:textFill>
            <w14:solidFill>
              <w14:schemeClr w14:val="tx1"/>
            </w14:solidFill>
          </w14:textFill>
        </w:rPr>
        <w:t>，小于标准值</w:t>
      </w:r>
      <w:r>
        <w:rPr>
          <w:rFonts w:hint="eastAsia" w:eastAsia="宋体"/>
          <w:b w:val="0"/>
          <w:color w:val="000000" w:themeColor="text1"/>
          <w14:textFill>
            <w14:solidFill>
              <w14:schemeClr w14:val="tx1"/>
            </w14:solidFill>
          </w14:textFill>
        </w:rPr>
        <w:t>0.</w:t>
      </w:r>
      <w:r>
        <w:rPr>
          <w:rFonts w:hint="eastAsia" w:eastAsia="宋体"/>
          <w:b w:val="0"/>
          <w:color w:val="000000" w:themeColor="text1"/>
          <w:lang w:val="en-US" w:eastAsia="zh-CN"/>
          <w14:textFill>
            <w14:solidFill>
              <w14:schemeClr w14:val="tx1"/>
            </w14:solidFill>
          </w14:textFill>
        </w:rPr>
        <w:t>05</w:t>
      </w:r>
      <w:r>
        <w:rPr>
          <w:rFonts w:eastAsia="宋体"/>
          <w:b w:val="0"/>
          <w:color w:val="000000" w:themeColor="text1"/>
          <w14:textFill>
            <w14:solidFill>
              <w14:schemeClr w14:val="tx1"/>
            </w14:solidFill>
          </w14:textFill>
        </w:rPr>
        <w:t>mg/m</w:t>
      </w:r>
      <w:r>
        <w:rPr>
          <w:rFonts w:eastAsia="宋体"/>
          <w:b w:val="0"/>
          <w:color w:val="000000" w:themeColor="text1"/>
          <w:vertAlign w:val="superscript"/>
          <w14:textFill>
            <w14:solidFill>
              <w14:schemeClr w14:val="tx1"/>
            </w14:solidFill>
          </w14:textFill>
        </w:rPr>
        <w:t>3</w:t>
      </w:r>
      <w:r>
        <w:rPr>
          <w:rFonts w:eastAsia="宋体"/>
          <w:b w:val="0"/>
          <w:color w:val="000000" w:themeColor="text1"/>
          <w14:textFill>
            <w14:solidFill>
              <w14:schemeClr w14:val="tx1"/>
            </w14:solidFill>
          </w14:textFill>
        </w:rPr>
        <w:t>，对大气环境和人的影响较小，主要影响厂界及周边企业职工。</w:t>
      </w:r>
    </w:p>
    <w:p>
      <w:pPr>
        <w:adjustRightInd w:val="0"/>
        <w:snapToGrid w:val="0"/>
        <w:spacing w:line="500" w:lineRule="exact"/>
        <w:ind w:firstLine="482" w:firstLineChars="200"/>
        <w:rPr>
          <w:rFonts w:eastAsia="宋体"/>
          <w:b w:val="0"/>
          <w:bCs/>
          <w:color w:val="000000" w:themeColor="text1"/>
          <w14:textFill>
            <w14:solidFill>
              <w14:schemeClr w14:val="tx1"/>
            </w14:solidFill>
          </w14:textFill>
        </w:rPr>
      </w:pPr>
      <w:r>
        <w:rPr>
          <w:rFonts w:hint="eastAsia" w:eastAsia="宋体"/>
          <w:b/>
          <w:bCs w:val="0"/>
          <w:color w:val="000000" w:themeColor="text1"/>
          <w:lang w:val="en-US" w:eastAsia="zh-CN"/>
          <w14:textFill>
            <w14:solidFill>
              <w14:schemeClr w14:val="tx1"/>
            </w14:solidFill>
          </w14:textFill>
        </w:rPr>
        <w:t>11</w:t>
      </w:r>
      <w:r>
        <w:rPr>
          <w:rFonts w:eastAsia="宋体"/>
          <w:b/>
          <w:bCs w:val="0"/>
          <w:color w:val="000000" w:themeColor="text1"/>
          <w14:textFill>
            <w14:solidFill>
              <w14:schemeClr w14:val="tx1"/>
            </w14:solidFill>
          </w14:textFill>
        </w:rPr>
        <w:t>#排气筒废气超标排放事故</w:t>
      </w:r>
    </w:p>
    <w:p>
      <w:pPr>
        <w:spacing w:line="500" w:lineRule="exact"/>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从上表分析可知，在</w:t>
      </w:r>
      <w:r>
        <w:rPr>
          <w:rFonts w:hint="eastAsia" w:eastAsia="宋体"/>
          <w:bCs/>
          <w:color w:val="000000" w:themeColor="text1"/>
          <w:lang w:eastAsia="zh-CN"/>
          <w14:textFill>
            <w14:solidFill>
              <w14:schemeClr w14:val="tx1"/>
            </w14:solidFill>
          </w14:textFill>
        </w:rPr>
        <w:t>1</w:t>
      </w:r>
      <w:r>
        <w:rPr>
          <w:rFonts w:hint="eastAsia" w:eastAsia="宋体"/>
          <w:bCs/>
          <w:color w:val="000000" w:themeColor="text1"/>
          <w:lang w:val="en-US" w:eastAsia="zh-CN"/>
          <w14:textFill>
            <w14:solidFill>
              <w14:schemeClr w14:val="tx1"/>
            </w14:solidFill>
          </w14:textFill>
        </w:rPr>
        <w:t>0</w:t>
      </w:r>
      <w:r>
        <w:rPr>
          <w:rFonts w:hint="eastAsia" w:eastAsia="宋体"/>
          <w:bCs/>
          <w:color w:val="000000" w:themeColor="text1"/>
          <w14:textFill>
            <w14:solidFill>
              <w14:schemeClr w14:val="tx1"/>
            </w14:solidFill>
          </w14:textFill>
        </w:rPr>
        <w:t>#排气筒</w:t>
      </w:r>
      <w:r>
        <w:rPr>
          <w:rFonts w:eastAsia="宋体"/>
          <w:bCs/>
          <w:color w:val="000000" w:themeColor="text1"/>
          <w14:textFill>
            <w14:solidFill>
              <w14:schemeClr w14:val="tx1"/>
            </w14:solidFill>
          </w14:textFill>
        </w:rPr>
        <w:t>下方向</w:t>
      </w:r>
      <w:r>
        <w:rPr>
          <w:rFonts w:hint="eastAsia" w:eastAsia="宋体"/>
          <w:bCs/>
          <w:color w:val="000000" w:themeColor="text1"/>
          <w:lang w:val="en-US" w:eastAsia="zh-CN"/>
          <w14:textFill>
            <w14:solidFill>
              <w14:schemeClr w14:val="tx1"/>
            </w14:solidFill>
          </w14:textFill>
        </w:rPr>
        <w:t>128</w:t>
      </w:r>
      <w:r>
        <w:rPr>
          <w:rFonts w:eastAsia="宋体"/>
          <w:bCs/>
          <w:color w:val="000000" w:themeColor="text1"/>
          <w14:textFill>
            <w14:solidFill>
              <w14:schemeClr w14:val="tx1"/>
            </w14:solidFill>
          </w14:textFill>
        </w:rPr>
        <w:t>米处</w:t>
      </w:r>
      <w:r>
        <w:rPr>
          <w:rFonts w:hint="eastAsia" w:eastAsia="宋体"/>
          <w:bCs/>
          <w:color w:val="000000" w:themeColor="text1"/>
          <w14:textFill>
            <w14:solidFill>
              <w14:schemeClr w14:val="tx1"/>
            </w14:solidFill>
          </w14:textFill>
        </w:rPr>
        <w:t>颗粒物</w:t>
      </w:r>
      <w:r>
        <w:rPr>
          <w:rFonts w:eastAsia="宋体"/>
          <w:bCs/>
          <w:color w:val="000000" w:themeColor="text1"/>
          <w14:textFill>
            <w14:solidFill>
              <w14:schemeClr w14:val="tx1"/>
            </w14:solidFill>
          </w14:textFill>
        </w:rPr>
        <w:t>出现了最大落地浓度</w:t>
      </w:r>
      <w:r>
        <w:rPr>
          <w:rFonts w:hint="eastAsia" w:eastAsia="宋体"/>
          <w:bCs/>
          <w:color w:val="000000" w:themeColor="text1"/>
          <w:lang w:eastAsia="zh-CN"/>
          <w14:textFill>
            <w14:solidFill>
              <w14:schemeClr w14:val="tx1"/>
            </w14:solidFill>
          </w14:textFill>
        </w:rPr>
        <w:t>0</w:t>
      </w:r>
      <w:r>
        <w:rPr>
          <w:rFonts w:hint="eastAsia" w:eastAsia="宋体"/>
          <w:bCs/>
          <w:color w:val="000000" w:themeColor="text1"/>
          <w:lang w:val="en-US" w:eastAsia="zh-CN"/>
          <w14:textFill>
            <w14:solidFill>
              <w14:schemeClr w14:val="tx1"/>
            </w14:solidFill>
          </w14:textFill>
        </w:rPr>
        <w:t>.00136</w:t>
      </w:r>
      <w:r>
        <w:rPr>
          <w:rFonts w:eastAsia="宋体"/>
          <w:bCs/>
          <w:color w:val="000000" w:themeColor="text1"/>
          <w14:textFill>
            <w14:solidFill>
              <w14:schemeClr w14:val="tx1"/>
            </w14:solidFill>
          </w14:textFill>
        </w:rPr>
        <w:t xml:space="preserve"> mg/m</w:t>
      </w:r>
      <w:r>
        <w:rPr>
          <w:rFonts w:eastAsia="宋体"/>
          <w:bCs/>
          <w:color w:val="000000" w:themeColor="text1"/>
          <w:vertAlign w:val="superscript"/>
          <w14:textFill>
            <w14:solidFill>
              <w14:schemeClr w14:val="tx1"/>
            </w14:solidFill>
          </w14:textFill>
        </w:rPr>
        <w:t>3</w:t>
      </w:r>
      <w:r>
        <w:rPr>
          <w:rFonts w:eastAsia="宋体"/>
          <w:bCs/>
          <w:color w:val="000000" w:themeColor="text1"/>
          <w14:textFill>
            <w14:solidFill>
              <w14:schemeClr w14:val="tx1"/>
            </w14:solidFill>
          </w14:textFill>
        </w:rPr>
        <w:t>，小于标准值</w:t>
      </w:r>
      <w:r>
        <w:rPr>
          <w:rFonts w:hint="eastAsia" w:eastAsia="宋体"/>
          <w:bCs/>
          <w:color w:val="000000" w:themeColor="text1"/>
          <w14:textFill>
            <w14:solidFill>
              <w14:schemeClr w14:val="tx1"/>
            </w14:solidFill>
          </w14:textFill>
        </w:rPr>
        <w:t>0.9</w:t>
      </w:r>
      <w:r>
        <w:rPr>
          <w:rFonts w:eastAsia="宋体"/>
          <w:bCs/>
          <w:color w:val="000000" w:themeColor="text1"/>
          <w14:textFill>
            <w14:solidFill>
              <w14:schemeClr w14:val="tx1"/>
            </w14:solidFill>
          </w14:textFill>
        </w:rPr>
        <w:t>mg/m</w:t>
      </w:r>
      <w:r>
        <w:rPr>
          <w:rFonts w:eastAsia="宋体"/>
          <w:bCs/>
          <w:color w:val="000000" w:themeColor="text1"/>
          <w:vertAlign w:val="superscript"/>
          <w14:textFill>
            <w14:solidFill>
              <w14:schemeClr w14:val="tx1"/>
            </w14:solidFill>
          </w14:textFill>
        </w:rPr>
        <w:t>3</w:t>
      </w:r>
      <w:r>
        <w:rPr>
          <w:rFonts w:eastAsia="宋体"/>
          <w:bCs/>
          <w:color w:val="000000" w:themeColor="text1"/>
          <w14:textFill>
            <w14:solidFill>
              <w14:schemeClr w14:val="tx1"/>
            </w14:solidFill>
          </w14:textFill>
        </w:rPr>
        <w:t>，</w:t>
      </w:r>
      <w:r>
        <w:rPr>
          <w:rFonts w:hint="eastAsia" w:eastAsia="宋体"/>
          <w:bCs/>
          <w:color w:val="000000" w:themeColor="text1"/>
          <w14:textFill>
            <w14:solidFill>
              <w14:schemeClr w14:val="tx1"/>
            </w14:solidFill>
          </w14:textFill>
        </w:rPr>
        <w:t>挥发性有机物出现了最大落地浓度</w:t>
      </w:r>
      <w:r>
        <w:rPr>
          <w:rFonts w:hint="eastAsia" w:eastAsia="宋体"/>
          <w:bCs/>
          <w:color w:val="000000" w:themeColor="text1"/>
          <w:lang w:val="en-US" w:eastAsia="zh-CN"/>
          <w14:textFill>
            <w14:solidFill>
              <w14:schemeClr w14:val="tx1"/>
            </w14:solidFill>
          </w14:textFill>
        </w:rPr>
        <w:t>0.00258</w:t>
      </w:r>
      <w:r>
        <w:rPr>
          <w:rFonts w:eastAsia="宋体"/>
          <w:bCs/>
          <w:color w:val="000000" w:themeColor="text1"/>
          <w14:textFill>
            <w14:solidFill>
              <w14:schemeClr w14:val="tx1"/>
            </w14:solidFill>
          </w14:textFill>
        </w:rPr>
        <w:t>mg/m</w:t>
      </w:r>
      <w:r>
        <w:rPr>
          <w:rFonts w:eastAsia="宋体"/>
          <w:bCs/>
          <w:color w:val="000000" w:themeColor="text1"/>
          <w:vertAlign w:val="superscript"/>
          <w14:textFill>
            <w14:solidFill>
              <w14:schemeClr w14:val="tx1"/>
            </w14:solidFill>
          </w14:textFill>
        </w:rPr>
        <w:t>3</w:t>
      </w:r>
      <w:r>
        <w:rPr>
          <w:rFonts w:hint="eastAsia" w:eastAsia="宋体"/>
          <w:bCs/>
          <w:color w:val="000000" w:themeColor="text1"/>
          <w14:textFill>
            <w14:solidFill>
              <w14:schemeClr w14:val="tx1"/>
            </w14:solidFill>
          </w14:textFill>
        </w:rPr>
        <w:t>，小于标准值1.2</w:t>
      </w:r>
      <w:r>
        <w:rPr>
          <w:rFonts w:eastAsia="宋体"/>
          <w:bCs/>
          <w:color w:val="000000" w:themeColor="text1"/>
          <w14:textFill>
            <w14:solidFill>
              <w14:schemeClr w14:val="tx1"/>
            </w14:solidFill>
          </w14:textFill>
        </w:rPr>
        <w:t>mg/m</w:t>
      </w:r>
      <w:r>
        <w:rPr>
          <w:rFonts w:eastAsia="宋体"/>
          <w:bCs/>
          <w:color w:val="000000" w:themeColor="text1"/>
          <w:vertAlign w:val="superscript"/>
          <w14:textFill>
            <w14:solidFill>
              <w14:schemeClr w14:val="tx1"/>
            </w14:solidFill>
          </w14:textFill>
        </w:rPr>
        <w:t>3</w:t>
      </w:r>
      <w:r>
        <w:rPr>
          <w:rFonts w:hint="eastAsia" w:eastAsia="宋体"/>
          <w:bCs/>
          <w:color w:val="000000" w:themeColor="text1"/>
          <w14:textFill>
            <w14:solidFill>
              <w14:schemeClr w14:val="tx1"/>
            </w14:solidFill>
          </w14:textFill>
        </w:rPr>
        <w:t>，</w:t>
      </w:r>
      <w:r>
        <w:rPr>
          <w:rFonts w:eastAsia="宋体"/>
          <w:bCs/>
          <w:color w:val="000000" w:themeColor="text1"/>
          <w14:textFill>
            <w14:solidFill>
              <w14:schemeClr w14:val="tx1"/>
            </w14:solidFill>
          </w14:textFill>
        </w:rPr>
        <w:t>对大气环境和人的影响较小，主要影响厂界及周边企业职工。</w:t>
      </w:r>
    </w:p>
    <w:p>
      <w:pPr>
        <w:spacing w:line="500" w:lineRule="exact"/>
        <w:ind w:firstLine="480" w:firstLineChars="200"/>
        <w:rPr>
          <w:rFonts w:eastAsia="宋体"/>
          <w:bCs/>
          <w:color w:val="000000" w:themeColor="text1"/>
          <w14:textFill>
            <w14:solidFill>
              <w14:schemeClr w14:val="tx1"/>
            </w14:solidFill>
          </w14:textFill>
        </w:rPr>
      </w:pPr>
    </w:p>
    <w:p>
      <w:pPr>
        <w:spacing w:line="500" w:lineRule="exact"/>
        <w:ind w:firstLine="480" w:firstLineChars="200"/>
        <w:outlineLvl w:val="9"/>
        <w:sectPr>
          <w:footerReference r:id="rId10" w:type="default"/>
          <w:pgSz w:w="11906" w:h="16838"/>
          <w:pgMar w:top="1440" w:right="1440" w:bottom="1440" w:left="1440" w:header="851" w:footer="992" w:gutter="0"/>
          <w:cols w:space="720" w:num="1"/>
          <w:docGrid w:linePitch="326" w:charSpace="0"/>
        </w:sectPr>
      </w:pPr>
    </w:p>
    <w:bookmarkEnd w:id="243"/>
    <w:p>
      <w:pPr>
        <w:pStyle w:val="3"/>
        <w:adjustRightInd w:val="0"/>
        <w:snapToGrid w:val="0"/>
        <w:spacing w:line="500" w:lineRule="exact"/>
        <w:rPr>
          <w:rFonts w:eastAsia="宋体"/>
          <w:sz w:val="24"/>
          <w:szCs w:val="24"/>
        </w:rPr>
      </w:pPr>
      <w:bookmarkStart w:id="244" w:name="_Toc32454"/>
      <w:bookmarkStart w:id="245" w:name="_Toc2754"/>
      <w:bookmarkStart w:id="246" w:name="_Toc24446"/>
      <w:bookmarkStart w:id="247" w:name="_Toc30419"/>
      <w:r>
        <w:rPr>
          <w:rFonts w:hint="eastAsia" w:eastAsia="宋体"/>
          <w:sz w:val="24"/>
          <w:szCs w:val="24"/>
        </w:rPr>
        <w:t>5 现有环境风险防控和应急措施差距分析</w:t>
      </w:r>
      <w:bookmarkEnd w:id="187"/>
      <w:bookmarkEnd w:id="244"/>
      <w:bookmarkEnd w:id="245"/>
      <w:bookmarkEnd w:id="246"/>
      <w:bookmarkEnd w:id="247"/>
    </w:p>
    <w:p>
      <w:pPr>
        <w:adjustRightInd w:val="0"/>
        <w:snapToGrid w:val="0"/>
        <w:spacing w:line="500" w:lineRule="exact"/>
        <w:ind w:firstLine="480" w:firstLineChars="200"/>
        <w:rPr>
          <w:rFonts w:ascii="宋体" w:hAnsi="宋体" w:eastAsia="宋体" w:cs="宋体"/>
        </w:rPr>
      </w:pPr>
      <w:bookmarkStart w:id="248"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49" w:name="_Toc402776217"/>
      <w:bookmarkStart w:id="250" w:name="_Toc7996"/>
      <w:bookmarkStart w:id="251" w:name="_Toc27239"/>
      <w:bookmarkStart w:id="252" w:name="_Toc7007"/>
      <w:bookmarkStart w:id="253" w:name="_Toc2496"/>
      <w:r>
        <w:rPr>
          <w:rFonts w:hint="eastAsia" w:eastAsia="宋体"/>
          <w:color w:val="000000" w:themeColor="text1"/>
          <w:sz w:val="24"/>
          <w:szCs w:val="24"/>
          <w14:textFill>
            <w14:solidFill>
              <w14:schemeClr w14:val="tx1"/>
            </w14:solidFill>
          </w14:textFill>
        </w:rPr>
        <w:t>5.1 环境风险管理制度</w:t>
      </w:r>
      <w:bookmarkEnd w:id="249"/>
      <w:bookmarkEnd w:id="250"/>
      <w:bookmarkEnd w:id="251"/>
      <w:bookmarkEnd w:id="252"/>
      <w:bookmarkEnd w:id="253"/>
    </w:p>
    <w:p>
      <w:pPr>
        <w:adjustRightInd w:val="0"/>
        <w:snapToGrid w:val="0"/>
        <w:spacing w:line="500" w:lineRule="exact"/>
        <w:ind w:firstLine="480" w:firstLineChars="200"/>
        <w:rPr>
          <w:rFonts w:eastAsia="宋体"/>
        </w:rPr>
      </w:pPr>
      <w:bookmarkStart w:id="254" w:name="_Toc402776219"/>
      <w:r>
        <w:rPr>
          <w:rFonts w:eastAsia="宋体"/>
        </w:rPr>
        <w:t>公司现有环境风险管理制度差距分析见表5-1。</w:t>
      </w:r>
    </w:p>
    <w:p>
      <w:pPr>
        <w:adjustRightInd w:val="0"/>
        <w:snapToGrid w:val="0"/>
        <w:spacing w:line="500" w:lineRule="exact"/>
        <w:jc w:val="center"/>
        <w:rPr>
          <w:rFonts w:eastAsia="宋体"/>
          <w:b/>
        </w:rPr>
      </w:pPr>
      <w:r>
        <w:rPr>
          <w:rFonts w:eastAsia="宋体"/>
          <w:b/>
        </w:rPr>
        <w:t>表5-1 环境风险管理制度差距分析</w:t>
      </w:r>
    </w:p>
    <w:tbl>
      <w:tblPr>
        <w:tblStyle w:val="38"/>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pPr>
              <w:pStyle w:val="118"/>
              <w:adjustRightInd w:val="0"/>
              <w:spacing w:line="240" w:lineRule="auto"/>
              <w:rPr>
                <w:rFonts w:eastAsia="宋体"/>
                <w:sz w:val="21"/>
              </w:rPr>
            </w:pPr>
            <w:r>
              <w:rPr>
                <w:rFonts w:eastAsia="宋体"/>
                <w:sz w:val="21"/>
              </w:rPr>
              <w:t>序号</w:t>
            </w:r>
          </w:p>
        </w:tc>
        <w:tc>
          <w:tcPr>
            <w:tcW w:w="1354" w:type="pct"/>
            <w:tcBorders>
              <w:tl2br w:val="nil"/>
              <w:tr2bl w:val="nil"/>
            </w:tcBorders>
            <w:vAlign w:val="center"/>
          </w:tcPr>
          <w:p>
            <w:pPr>
              <w:pStyle w:val="118"/>
              <w:adjustRightInd w:val="0"/>
              <w:spacing w:line="240" w:lineRule="auto"/>
              <w:rPr>
                <w:rFonts w:eastAsia="宋体"/>
                <w:sz w:val="21"/>
              </w:rPr>
            </w:pPr>
            <w:r>
              <w:rPr>
                <w:rFonts w:eastAsia="宋体"/>
                <w:sz w:val="21"/>
              </w:rPr>
              <w:t>项目</w:t>
            </w:r>
          </w:p>
        </w:tc>
        <w:tc>
          <w:tcPr>
            <w:tcW w:w="2241" w:type="pct"/>
            <w:tcBorders>
              <w:tl2br w:val="nil"/>
              <w:tr2bl w:val="nil"/>
            </w:tcBorders>
            <w:vAlign w:val="center"/>
          </w:tcPr>
          <w:p>
            <w:pPr>
              <w:pStyle w:val="118"/>
              <w:adjustRightInd w:val="0"/>
              <w:spacing w:line="240" w:lineRule="auto"/>
              <w:rPr>
                <w:rFonts w:eastAsia="宋体"/>
                <w:sz w:val="21"/>
              </w:rPr>
            </w:pPr>
            <w:r>
              <w:rPr>
                <w:rFonts w:eastAsia="宋体"/>
                <w:sz w:val="21"/>
              </w:rPr>
              <w:t>实际情况</w:t>
            </w:r>
          </w:p>
        </w:tc>
        <w:tc>
          <w:tcPr>
            <w:tcW w:w="1006" w:type="pct"/>
            <w:tcBorders>
              <w:tl2br w:val="nil"/>
              <w:tr2bl w:val="nil"/>
            </w:tcBorders>
            <w:vAlign w:val="center"/>
          </w:tcPr>
          <w:p>
            <w:pPr>
              <w:pStyle w:val="118"/>
              <w:adjustRightInd w:val="0"/>
              <w:spacing w:line="240" w:lineRule="auto"/>
              <w:rPr>
                <w:rFonts w:eastAsia="宋体"/>
                <w:sz w:val="21"/>
              </w:rPr>
            </w:pPr>
            <w:r>
              <w:rPr>
                <w:rFonts w:eastAsia="宋体"/>
                <w:sz w:val="21"/>
              </w:rPr>
              <w:t>存在问题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pPr>
              <w:pStyle w:val="118"/>
              <w:adjustRightInd w:val="0"/>
              <w:spacing w:line="240" w:lineRule="auto"/>
              <w:rPr>
                <w:rFonts w:eastAsia="宋体"/>
                <w:sz w:val="21"/>
              </w:rPr>
            </w:pPr>
            <w:r>
              <w:rPr>
                <w:rFonts w:eastAsia="宋体"/>
                <w:sz w:val="21"/>
              </w:rPr>
              <w:t>1</w:t>
            </w:r>
          </w:p>
        </w:tc>
        <w:tc>
          <w:tcPr>
            <w:tcW w:w="1354" w:type="pct"/>
            <w:tcBorders>
              <w:tl2br w:val="nil"/>
              <w:tr2bl w:val="nil"/>
            </w:tcBorders>
            <w:vAlign w:val="center"/>
          </w:tcPr>
          <w:p>
            <w:pPr>
              <w:pStyle w:val="118"/>
              <w:adjustRightInd w:val="0"/>
              <w:spacing w:line="240" w:lineRule="auto"/>
              <w:rPr>
                <w:rFonts w:eastAsia="宋体"/>
                <w:sz w:val="21"/>
              </w:rPr>
            </w:pPr>
            <w:r>
              <w:rPr>
                <w:rFonts w:eastAsia="宋体"/>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pPr>
              <w:pStyle w:val="118"/>
              <w:adjustRightInd w:val="0"/>
              <w:spacing w:line="240" w:lineRule="auto"/>
              <w:rPr>
                <w:rFonts w:eastAsia="宋体"/>
                <w:sz w:val="21"/>
              </w:rPr>
            </w:pPr>
            <w:r>
              <w:rPr>
                <w:rFonts w:eastAsia="宋体"/>
                <w:sz w:val="21"/>
              </w:rPr>
              <w:t>公司已建立了环境风险防控和应急措施制度、环境应急资源维护更新制度、污染防治设施运行管理制度，重点风险防控岗位由专人负责，见表5-2、5-3。</w:t>
            </w:r>
          </w:p>
        </w:tc>
        <w:tc>
          <w:tcPr>
            <w:tcW w:w="1006" w:type="pct"/>
            <w:tcBorders>
              <w:tl2br w:val="nil"/>
              <w:tr2bl w:val="nil"/>
            </w:tcBorders>
            <w:vAlign w:val="center"/>
          </w:tcPr>
          <w:p>
            <w:pPr>
              <w:pStyle w:val="118"/>
              <w:adjustRightInd w:val="0"/>
              <w:spacing w:line="240" w:lineRule="auto"/>
              <w:rPr>
                <w:rFonts w:eastAsia="宋体"/>
                <w:sz w:val="21"/>
              </w:rPr>
            </w:pPr>
            <w:r>
              <w:rPr>
                <w:rFonts w:eastAsia="宋体"/>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8"/>
              <w:adjustRightInd w:val="0"/>
              <w:spacing w:line="240" w:lineRule="auto"/>
              <w:rPr>
                <w:rFonts w:eastAsia="宋体"/>
                <w:sz w:val="21"/>
              </w:rPr>
            </w:pPr>
            <w:r>
              <w:rPr>
                <w:rFonts w:eastAsia="宋体"/>
                <w:sz w:val="21"/>
              </w:rPr>
              <w:t>2</w:t>
            </w:r>
          </w:p>
        </w:tc>
        <w:tc>
          <w:tcPr>
            <w:tcW w:w="1354" w:type="pct"/>
            <w:tcBorders>
              <w:tl2br w:val="nil"/>
              <w:tr2bl w:val="nil"/>
            </w:tcBorders>
            <w:vAlign w:val="center"/>
          </w:tcPr>
          <w:p>
            <w:pPr>
              <w:pStyle w:val="118"/>
              <w:adjustRightInd w:val="0"/>
              <w:spacing w:line="240" w:lineRule="auto"/>
              <w:rPr>
                <w:rFonts w:eastAsia="宋体"/>
                <w:sz w:val="21"/>
              </w:rPr>
            </w:pPr>
            <w:r>
              <w:rPr>
                <w:rFonts w:eastAsia="宋体"/>
                <w:sz w:val="21"/>
              </w:rPr>
              <w:t>环评及批复文件的各项环境风险防控和应急措施要求是否落实。</w:t>
            </w:r>
          </w:p>
        </w:tc>
        <w:tc>
          <w:tcPr>
            <w:tcW w:w="2241" w:type="pct"/>
            <w:tcBorders>
              <w:tl2br w:val="nil"/>
              <w:tr2bl w:val="nil"/>
            </w:tcBorders>
            <w:shd w:val="clear" w:color="auto" w:fill="auto"/>
            <w:vAlign w:val="center"/>
          </w:tcPr>
          <w:p>
            <w:pPr>
              <w:pStyle w:val="118"/>
              <w:adjustRightInd w:val="0"/>
              <w:spacing w:line="240" w:lineRule="auto"/>
              <w:jc w:val="both"/>
              <w:rPr>
                <w:rFonts w:eastAsia="宋体"/>
                <w:sz w:val="21"/>
              </w:rPr>
            </w:pPr>
            <w:r>
              <w:rPr>
                <w:rFonts w:eastAsia="宋体"/>
                <w:sz w:val="21"/>
              </w:rPr>
              <w:t>公司建设项目</w:t>
            </w:r>
            <w:r>
              <w:rPr>
                <w:rFonts w:hint="eastAsia" w:eastAsia="宋体"/>
                <w:sz w:val="21"/>
              </w:rPr>
              <w:t>环评</w:t>
            </w:r>
            <w:r>
              <w:rPr>
                <w:rFonts w:eastAsia="宋体"/>
                <w:sz w:val="21"/>
              </w:rPr>
              <w:t>及</w:t>
            </w:r>
            <w:r>
              <w:rPr>
                <w:rFonts w:hint="eastAsia" w:eastAsia="宋体"/>
                <w:sz w:val="21"/>
              </w:rPr>
              <w:t>环评批复</w:t>
            </w:r>
            <w:r>
              <w:rPr>
                <w:rFonts w:eastAsia="宋体"/>
                <w:sz w:val="21"/>
              </w:rPr>
              <w:t>的各项环境风险防控和应急措施均已落实。</w:t>
            </w:r>
          </w:p>
        </w:tc>
        <w:tc>
          <w:tcPr>
            <w:tcW w:w="1006"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83" w:hRule="atLeast"/>
          <w:jc w:val="center"/>
        </w:trPr>
        <w:tc>
          <w:tcPr>
            <w:tcW w:w="397" w:type="pct"/>
            <w:tcBorders>
              <w:tl2br w:val="nil"/>
              <w:tr2bl w:val="nil"/>
            </w:tcBorders>
            <w:vAlign w:val="center"/>
          </w:tcPr>
          <w:p>
            <w:pPr>
              <w:pStyle w:val="118"/>
              <w:adjustRightInd w:val="0"/>
              <w:spacing w:line="240" w:lineRule="auto"/>
              <w:rPr>
                <w:rFonts w:eastAsia="宋体"/>
                <w:sz w:val="21"/>
              </w:rPr>
            </w:pPr>
            <w:r>
              <w:rPr>
                <w:rFonts w:eastAsia="宋体"/>
                <w:sz w:val="21"/>
              </w:rPr>
              <w:t>3</w:t>
            </w:r>
          </w:p>
        </w:tc>
        <w:tc>
          <w:tcPr>
            <w:tcW w:w="1354" w:type="pct"/>
            <w:tcBorders>
              <w:tl2br w:val="nil"/>
              <w:tr2bl w:val="nil"/>
            </w:tcBorders>
            <w:vAlign w:val="center"/>
          </w:tcPr>
          <w:p>
            <w:pPr>
              <w:pStyle w:val="118"/>
              <w:adjustRightInd w:val="0"/>
              <w:spacing w:line="240" w:lineRule="auto"/>
              <w:rPr>
                <w:rFonts w:eastAsia="宋体"/>
                <w:sz w:val="21"/>
              </w:rPr>
            </w:pPr>
            <w:r>
              <w:rPr>
                <w:rFonts w:eastAsia="宋体"/>
                <w:sz w:val="21"/>
              </w:rPr>
              <w:t>是否经常对职工开展环境风险和环境应急管理宣传和培训。</w:t>
            </w:r>
          </w:p>
        </w:tc>
        <w:tc>
          <w:tcPr>
            <w:tcW w:w="2241" w:type="pct"/>
            <w:tcBorders>
              <w:tl2br w:val="nil"/>
              <w:tr2bl w:val="nil"/>
            </w:tcBorders>
            <w:vAlign w:val="center"/>
          </w:tcPr>
          <w:p>
            <w:pPr>
              <w:pStyle w:val="118"/>
              <w:adjustRightInd w:val="0"/>
              <w:spacing w:line="240" w:lineRule="auto"/>
              <w:rPr>
                <w:rFonts w:eastAsia="宋体"/>
                <w:sz w:val="21"/>
              </w:rPr>
            </w:pPr>
            <w:r>
              <w:rPr>
                <w:rFonts w:hint="eastAsia" w:eastAsia="宋体"/>
                <w:sz w:val="21"/>
              </w:rPr>
              <w:t>未张贴应急处置卡</w:t>
            </w:r>
            <w:r>
              <w:rPr>
                <w:rFonts w:eastAsia="宋体"/>
                <w:sz w:val="21"/>
              </w:rPr>
              <w:t>，</w:t>
            </w:r>
            <w:r>
              <w:rPr>
                <w:rFonts w:hint="eastAsia" w:eastAsia="宋体"/>
                <w:sz w:val="21"/>
              </w:rPr>
              <w:t>但已对</w:t>
            </w:r>
            <w:r>
              <w:rPr>
                <w:rFonts w:eastAsia="宋体"/>
                <w:sz w:val="21"/>
              </w:rPr>
              <w:t>对员工进行宣讲及培训。</w:t>
            </w:r>
          </w:p>
        </w:tc>
        <w:tc>
          <w:tcPr>
            <w:tcW w:w="1006" w:type="pct"/>
            <w:tcBorders>
              <w:tl2br w:val="nil"/>
              <w:tr2bl w:val="nil"/>
            </w:tcBorders>
            <w:vAlign w:val="center"/>
          </w:tcPr>
          <w:p>
            <w:pPr>
              <w:pStyle w:val="118"/>
              <w:adjustRightInd w:val="0"/>
              <w:spacing w:line="240" w:lineRule="auto"/>
              <w:rPr>
                <w:rFonts w:eastAsia="宋体"/>
                <w:sz w:val="21"/>
              </w:rPr>
            </w:pPr>
            <w:r>
              <w:rPr>
                <w:rFonts w:hint="eastAsia" w:eastAsia="宋体"/>
                <w:sz w:val="21"/>
              </w:rPr>
              <w:t>未张贴应急处置卡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pPr>
              <w:pStyle w:val="118"/>
              <w:adjustRightInd w:val="0"/>
              <w:spacing w:line="240" w:lineRule="auto"/>
              <w:rPr>
                <w:rFonts w:eastAsia="宋体"/>
                <w:sz w:val="21"/>
              </w:rPr>
            </w:pPr>
            <w:r>
              <w:rPr>
                <w:rFonts w:eastAsia="宋体"/>
                <w:sz w:val="21"/>
              </w:rPr>
              <w:t>4</w:t>
            </w:r>
          </w:p>
        </w:tc>
        <w:tc>
          <w:tcPr>
            <w:tcW w:w="1354" w:type="pct"/>
            <w:tcBorders>
              <w:tl2br w:val="nil"/>
              <w:tr2bl w:val="nil"/>
            </w:tcBorders>
            <w:vAlign w:val="center"/>
          </w:tcPr>
          <w:p>
            <w:pPr>
              <w:pStyle w:val="118"/>
              <w:adjustRightInd w:val="0"/>
              <w:spacing w:line="240" w:lineRule="auto"/>
              <w:rPr>
                <w:rFonts w:eastAsia="宋体"/>
                <w:sz w:val="21"/>
              </w:rPr>
            </w:pPr>
            <w:r>
              <w:rPr>
                <w:rFonts w:eastAsia="宋体"/>
                <w:sz w:val="21"/>
              </w:rPr>
              <w:t>是否建立突发环境事件信息报告制度，并有效执行。</w:t>
            </w:r>
          </w:p>
        </w:tc>
        <w:tc>
          <w:tcPr>
            <w:tcW w:w="2241" w:type="pct"/>
            <w:tcBorders>
              <w:tl2br w:val="nil"/>
              <w:tr2bl w:val="nil"/>
            </w:tcBorders>
            <w:vAlign w:val="center"/>
          </w:tcPr>
          <w:p>
            <w:pPr>
              <w:pStyle w:val="118"/>
              <w:adjustRightInd w:val="0"/>
              <w:spacing w:line="240" w:lineRule="auto"/>
              <w:rPr>
                <w:rFonts w:eastAsia="宋体"/>
                <w:sz w:val="21"/>
              </w:rPr>
            </w:pPr>
            <w:r>
              <w:rPr>
                <w:rFonts w:eastAsia="宋体"/>
                <w:sz w:val="21"/>
              </w:rPr>
              <w:t>公司建立了有效的突发环境事件信息报告制度，并确保有效执行。</w:t>
            </w:r>
          </w:p>
        </w:tc>
        <w:tc>
          <w:tcPr>
            <w:tcW w:w="1006" w:type="pct"/>
            <w:tcBorders>
              <w:tl2br w:val="nil"/>
              <w:tr2bl w:val="nil"/>
            </w:tcBorders>
            <w:vAlign w:val="center"/>
          </w:tcPr>
          <w:p>
            <w:pPr>
              <w:pStyle w:val="118"/>
              <w:adjustRightInd w:val="0"/>
              <w:spacing w:line="240" w:lineRule="auto"/>
              <w:rPr>
                <w:rFonts w:eastAsia="宋体"/>
                <w:sz w:val="21"/>
              </w:rPr>
            </w:pPr>
            <w:r>
              <w:rPr>
                <w:rFonts w:eastAsia="宋体"/>
                <w:sz w:val="21"/>
              </w:rPr>
              <w:t>/</w:t>
            </w:r>
          </w:p>
        </w:tc>
      </w:tr>
    </w:tbl>
    <w:p>
      <w:pPr>
        <w:adjustRightInd w:val="0"/>
        <w:snapToGrid w:val="0"/>
        <w:spacing w:line="500" w:lineRule="exact"/>
        <w:ind w:firstLine="480" w:firstLineChars="200"/>
        <w:jc w:val="left"/>
        <w:rPr>
          <w:rFonts w:eastAsia="宋体"/>
        </w:rPr>
      </w:pPr>
      <w:r>
        <w:rPr>
          <w:rFonts w:eastAsia="宋体"/>
        </w:rPr>
        <w:t>公司已建立了环境风险防控和应急措施制度，重点风险防控岗位由专人负责；公司环境风险防控相关制度见表5-2；关键装置/重点部位岗位责任情况见表5-3。</w:t>
      </w:r>
    </w:p>
    <w:p>
      <w:pPr>
        <w:adjustRightInd w:val="0"/>
        <w:snapToGrid w:val="0"/>
        <w:spacing w:line="500" w:lineRule="exact"/>
        <w:jc w:val="center"/>
        <w:rPr>
          <w:rFonts w:eastAsia="宋体"/>
          <w:b/>
        </w:rPr>
      </w:pPr>
      <w:r>
        <w:rPr>
          <w:rFonts w:eastAsia="宋体"/>
          <w:b/>
        </w:rPr>
        <w:t>表5-2 环境风险防控相关制度一览表</w:t>
      </w:r>
    </w:p>
    <w:tbl>
      <w:tblPr>
        <w:tblStyle w:val="38"/>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eastAsia="宋体"/>
                <w:b/>
                <w:kern w:val="0"/>
                <w:sz w:val="21"/>
                <w:szCs w:val="21"/>
              </w:rPr>
            </w:pPr>
            <w:r>
              <w:rPr>
                <w:rFonts w:eastAsia="宋体"/>
                <w:b/>
                <w:kern w:val="0"/>
                <w:sz w:val="21"/>
                <w:szCs w:val="21"/>
              </w:rPr>
              <w:t>序号</w:t>
            </w:r>
          </w:p>
        </w:tc>
        <w:tc>
          <w:tcPr>
            <w:tcW w:w="4470" w:type="pct"/>
            <w:tcBorders>
              <w:tl2br w:val="nil"/>
              <w:tr2bl w:val="nil"/>
            </w:tcBorders>
            <w:tcMar>
              <w:left w:w="0" w:type="dxa"/>
              <w:right w:w="0" w:type="dxa"/>
            </w:tcMar>
            <w:vAlign w:val="center"/>
          </w:tcPr>
          <w:p>
            <w:pPr>
              <w:widowControl/>
              <w:adjustRightInd w:val="0"/>
              <w:snapToGrid w:val="0"/>
              <w:jc w:val="center"/>
              <w:rPr>
                <w:rFonts w:eastAsia="宋体"/>
                <w:b/>
                <w:kern w:val="0"/>
                <w:sz w:val="21"/>
                <w:szCs w:val="21"/>
              </w:rPr>
            </w:pPr>
            <w:r>
              <w:rPr>
                <w:rFonts w:eastAsia="宋体"/>
                <w:b/>
                <w:kern w:val="0"/>
                <w:sz w:val="21"/>
                <w:szCs w:val="21"/>
              </w:rPr>
              <w:t>文件名称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1</w:t>
            </w:r>
          </w:p>
        </w:tc>
        <w:tc>
          <w:tcPr>
            <w:tcW w:w="4470" w:type="pct"/>
            <w:tcBorders>
              <w:tl2br w:val="nil"/>
              <w:tr2bl w:val="nil"/>
            </w:tcBorders>
            <w:tcMar>
              <w:left w:w="0" w:type="dxa"/>
              <w:right w:w="0" w:type="dxa"/>
            </w:tcMar>
            <w:vAlign w:val="center"/>
          </w:tcPr>
          <w:p>
            <w:pPr>
              <w:widowControl/>
              <w:adjustRightInd w:val="0"/>
              <w:snapToGrid w:val="0"/>
              <w:jc w:val="center"/>
              <w:rPr>
                <w:rFonts w:eastAsia="宋体"/>
                <w:kern w:val="0"/>
                <w:sz w:val="21"/>
                <w:szCs w:val="21"/>
              </w:rPr>
            </w:pPr>
            <w:r>
              <w:rPr>
                <w:rFonts w:eastAsia="宋体"/>
                <w:sz w:val="21"/>
              </w:rPr>
              <w:t>环境风险防控和应急措施制度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2</w:t>
            </w:r>
          </w:p>
        </w:tc>
        <w:tc>
          <w:tcPr>
            <w:tcW w:w="4470" w:type="pct"/>
            <w:tcBorders>
              <w:tl2br w:val="nil"/>
              <w:tr2bl w:val="nil"/>
            </w:tcBorders>
            <w:tcMar>
              <w:left w:w="0" w:type="dxa"/>
              <w:right w:w="0" w:type="dxa"/>
            </w:tcMar>
            <w:vAlign w:val="center"/>
          </w:tcPr>
          <w:p>
            <w:pPr>
              <w:widowControl/>
              <w:adjustRightInd w:val="0"/>
              <w:snapToGrid w:val="0"/>
              <w:jc w:val="center"/>
              <w:rPr>
                <w:rFonts w:eastAsia="宋体"/>
                <w:kern w:val="0"/>
                <w:sz w:val="21"/>
                <w:szCs w:val="21"/>
              </w:rPr>
            </w:pPr>
            <w:r>
              <w:rPr>
                <w:rFonts w:eastAsia="宋体"/>
                <w:sz w:val="21"/>
              </w:rPr>
              <w:t>环境应急资源维护更新制度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3</w:t>
            </w:r>
          </w:p>
        </w:tc>
        <w:tc>
          <w:tcPr>
            <w:tcW w:w="4470" w:type="pct"/>
            <w:tcBorders>
              <w:tl2br w:val="nil"/>
              <w:tr2bl w:val="nil"/>
            </w:tcBorders>
            <w:tcMar>
              <w:left w:w="0" w:type="dxa"/>
              <w:right w:w="0" w:type="dxa"/>
            </w:tcMar>
            <w:vAlign w:val="center"/>
          </w:tcPr>
          <w:p>
            <w:pPr>
              <w:widowControl/>
              <w:adjustRightInd w:val="0"/>
              <w:snapToGrid w:val="0"/>
              <w:jc w:val="center"/>
              <w:rPr>
                <w:rFonts w:eastAsia="宋体"/>
                <w:kern w:val="0"/>
                <w:sz w:val="21"/>
                <w:szCs w:val="21"/>
              </w:rPr>
            </w:pPr>
            <w:r>
              <w:rPr>
                <w:rFonts w:eastAsia="宋体"/>
                <w:sz w:val="21"/>
              </w:rPr>
              <w:t>污染防治设施运行管理制度</w:t>
            </w:r>
          </w:p>
        </w:tc>
      </w:tr>
    </w:tbl>
    <w:p>
      <w:pPr>
        <w:adjustRightInd w:val="0"/>
        <w:snapToGrid w:val="0"/>
        <w:spacing w:line="500" w:lineRule="exact"/>
        <w:jc w:val="center"/>
        <w:rPr>
          <w:rFonts w:eastAsia="宋体"/>
          <w:b/>
        </w:rPr>
      </w:pPr>
      <w:r>
        <w:rPr>
          <w:rFonts w:eastAsia="宋体"/>
          <w:b/>
        </w:rPr>
        <w:t>表5-3 环境风险防控重点岗位责任一览表</w:t>
      </w:r>
    </w:p>
    <w:tbl>
      <w:tblPr>
        <w:tblStyle w:val="38"/>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部门负责人</w:t>
            </w:r>
          </w:p>
        </w:tc>
        <w:tc>
          <w:tcPr>
            <w:tcW w:w="2917"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生产车间、油漆仓库、原料仓库</w:t>
            </w:r>
          </w:p>
        </w:tc>
        <w:tc>
          <w:tcPr>
            <w:tcW w:w="1378" w:type="dxa"/>
            <w:tcBorders>
              <w:tl2br w:val="nil"/>
              <w:tr2bl w:val="nil"/>
            </w:tcBorders>
            <w:vAlign w:val="center"/>
          </w:tcPr>
          <w:p>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厂长</w:t>
            </w:r>
          </w:p>
        </w:tc>
        <w:tc>
          <w:tcPr>
            <w:tcW w:w="1721" w:type="dxa"/>
            <w:tcBorders>
              <w:tl2br w:val="nil"/>
              <w:tr2bl w:val="nil"/>
            </w:tcBorders>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陶桂平</w:t>
            </w:r>
          </w:p>
        </w:tc>
        <w:tc>
          <w:tcPr>
            <w:tcW w:w="2917" w:type="dxa"/>
            <w:vMerge w:val="restart"/>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危废仓库</w:t>
            </w:r>
          </w:p>
        </w:tc>
        <w:tc>
          <w:tcPr>
            <w:tcW w:w="1378" w:type="dxa"/>
            <w:tcBorders>
              <w:tl2br w:val="nil"/>
              <w:tr2bl w:val="nil"/>
            </w:tcBorders>
            <w:vAlign w:val="center"/>
          </w:tcPr>
          <w:p>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厂长</w:t>
            </w:r>
          </w:p>
        </w:tc>
        <w:tc>
          <w:tcPr>
            <w:tcW w:w="1721" w:type="dxa"/>
            <w:tcBorders>
              <w:tl2br w:val="nil"/>
              <w:tr2bl w:val="nil"/>
            </w:tcBorders>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陶桂平</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废气处理设施</w:t>
            </w:r>
          </w:p>
        </w:tc>
        <w:tc>
          <w:tcPr>
            <w:tcW w:w="1378" w:type="dxa"/>
            <w:tcBorders>
              <w:tl2br w:val="nil"/>
              <w:tr2bl w:val="nil"/>
            </w:tcBorders>
            <w:vAlign w:val="center"/>
          </w:tcPr>
          <w:p>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厂长</w:t>
            </w:r>
          </w:p>
        </w:tc>
        <w:tc>
          <w:tcPr>
            <w:tcW w:w="1721" w:type="dxa"/>
            <w:tcBorders>
              <w:tl2br w:val="nil"/>
              <w:tr2bl w:val="nil"/>
            </w:tcBorders>
            <w:vAlign w:val="center"/>
          </w:tcPr>
          <w:p>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陶桂平</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385"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bookmarkStart w:id="255" w:name="_Toc510092964"/>
            <w:bookmarkStart w:id="256" w:name="_Toc402776218"/>
            <w:bookmarkStart w:id="257" w:name="_Toc496887136"/>
            <w:bookmarkStart w:id="258" w:name="_Toc4920"/>
            <w:r>
              <w:rPr>
                <w:rFonts w:hint="eastAsia" w:ascii="宋体" w:hAnsi="宋体" w:eastAsia="宋体" w:cs="宋体"/>
                <w:kern w:val="0"/>
                <w:sz w:val="21"/>
                <w:szCs w:val="21"/>
              </w:rPr>
              <w:t>污水处理设施</w:t>
            </w:r>
          </w:p>
        </w:tc>
        <w:tc>
          <w:tcPr>
            <w:tcW w:w="1378" w:type="dxa"/>
            <w:tcBorders>
              <w:tl2br w:val="nil"/>
              <w:tr2bl w:val="nil"/>
            </w:tcBorders>
            <w:vAlign w:val="center"/>
          </w:tcPr>
          <w:p>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厂长</w:t>
            </w:r>
          </w:p>
        </w:tc>
        <w:tc>
          <w:tcPr>
            <w:tcW w:w="1721" w:type="dxa"/>
            <w:tcBorders>
              <w:tl2br w:val="nil"/>
              <w:tr2bl w:val="nil"/>
            </w:tcBorders>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陶桂平</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雨水排口、应急池</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污水排口</w:t>
            </w:r>
          </w:p>
        </w:tc>
        <w:tc>
          <w:tcPr>
            <w:tcW w:w="1378" w:type="dxa"/>
            <w:tcBorders>
              <w:tl2br w:val="nil"/>
              <w:tr2bl w:val="nil"/>
            </w:tcBorders>
            <w:vAlign w:val="center"/>
          </w:tcPr>
          <w:p>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厂长</w:t>
            </w:r>
          </w:p>
        </w:tc>
        <w:tc>
          <w:tcPr>
            <w:tcW w:w="1721" w:type="dxa"/>
            <w:tcBorders>
              <w:tl2br w:val="nil"/>
              <w:tr2bl w:val="nil"/>
            </w:tcBorders>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陶桂平</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bl>
    <w:p>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59" w:name="_Toc10025"/>
      <w:bookmarkStart w:id="260" w:name="_Toc24558"/>
      <w:bookmarkStart w:id="261" w:name="_Toc5822"/>
      <w:r>
        <w:rPr>
          <w:rFonts w:hint="eastAsia" w:eastAsia="宋体"/>
          <w:color w:val="000000" w:themeColor="text1"/>
          <w:sz w:val="24"/>
          <w:szCs w:val="24"/>
          <w14:textFill>
            <w14:solidFill>
              <w14:schemeClr w14:val="tx1"/>
            </w14:solidFill>
          </w14:textFill>
        </w:rPr>
        <w:t>5.2 环境风险防控与应急措施</w:t>
      </w:r>
      <w:bookmarkEnd w:id="255"/>
      <w:bookmarkEnd w:id="256"/>
      <w:bookmarkEnd w:id="257"/>
      <w:bookmarkEnd w:id="258"/>
      <w:bookmarkEnd w:id="259"/>
      <w:bookmarkEnd w:id="260"/>
      <w:bookmarkEnd w:id="261"/>
    </w:p>
    <w:p>
      <w:pPr>
        <w:adjustRightInd w:val="0"/>
        <w:snapToGrid w:val="0"/>
        <w:spacing w:line="500" w:lineRule="exact"/>
        <w:ind w:firstLine="480" w:firstLineChars="200"/>
        <w:jc w:val="left"/>
        <w:rPr>
          <w:rFonts w:eastAsia="宋体"/>
        </w:rPr>
      </w:pPr>
      <w:r>
        <w:rPr>
          <w:rFonts w:eastAsia="宋体"/>
        </w:rPr>
        <w:t>企业环境风险防范与应急措施情况见表5-4。</w:t>
      </w:r>
    </w:p>
    <w:p>
      <w:pPr>
        <w:adjustRightInd w:val="0"/>
        <w:snapToGrid w:val="0"/>
        <w:spacing w:line="500" w:lineRule="exact"/>
        <w:jc w:val="center"/>
        <w:rPr>
          <w:rFonts w:eastAsia="宋体"/>
          <w:b/>
        </w:rPr>
      </w:pPr>
      <w:r>
        <w:rPr>
          <w:rFonts w:eastAsia="宋体"/>
          <w:b/>
        </w:rPr>
        <w:t>表5-4 环境风险防控与应急措施差距分析对比表</w:t>
      </w:r>
    </w:p>
    <w:tbl>
      <w:tblPr>
        <w:tblStyle w:val="38"/>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序号</w:t>
            </w:r>
          </w:p>
        </w:tc>
        <w:tc>
          <w:tcPr>
            <w:tcW w:w="2253"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环境风险防控与应急措施要求</w:t>
            </w:r>
          </w:p>
        </w:tc>
        <w:tc>
          <w:tcPr>
            <w:tcW w:w="1335"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企业现状</w:t>
            </w:r>
          </w:p>
        </w:tc>
        <w:tc>
          <w:tcPr>
            <w:tcW w:w="1152"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1</w:t>
            </w:r>
          </w:p>
        </w:tc>
        <w:tc>
          <w:tcPr>
            <w:tcW w:w="2253"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pPr>
              <w:adjustRightInd w:val="0"/>
              <w:snapToGrid w:val="0"/>
              <w:spacing w:line="320" w:lineRule="exact"/>
              <w:jc w:val="left"/>
              <w:rPr>
                <w:rFonts w:eastAsia="宋体"/>
                <w:sz w:val="21"/>
                <w:szCs w:val="21"/>
              </w:rPr>
            </w:pPr>
            <w:r>
              <w:rPr>
                <w:rFonts w:eastAsia="宋体"/>
                <w:sz w:val="21"/>
                <w:szCs w:val="21"/>
              </w:rPr>
              <w:t>公司废气排放口设置采样孔，虽已配备专人负责巡回检查废气处理装置的运转情况，但无监督核查机制，无法确保责任人是否履职。公司实行“雨污分流”制，雨水收集后经厂区雨水管网排入市政雨水管网。</w:t>
            </w:r>
          </w:p>
        </w:tc>
        <w:tc>
          <w:tcPr>
            <w:tcW w:w="1152"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配备专人巡查，并由</w:t>
            </w:r>
            <w:r>
              <w:rPr>
                <w:rFonts w:hint="eastAsia" w:eastAsia="宋体"/>
                <w:sz w:val="21"/>
                <w:szCs w:val="21"/>
              </w:rPr>
              <w:t>安环</w:t>
            </w:r>
            <w:r>
              <w:rPr>
                <w:rFonts w:eastAsia="宋体"/>
                <w:sz w:val="21"/>
                <w:szCs w:val="21"/>
              </w:rPr>
              <w:t>部门进行监督检查。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2</w:t>
            </w:r>
          </w:p>
        </w:tc>
        <w:tc>
          <w:tcPr>
            <w:tcW w:w="2253"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pPr>
              <w:adjustRightInd w:val="0"/>
              <w:snapToGrid w:val="0"/>
              <w:rPr>
                <w:rFonts w:eastAsia="宋体"/>
                <w:sz w:val="21"/>
                <w:szCs w:val="21"/>
              </w:rPr>
            </w:pPr>
            <w:r>
              <w:rPr>
                <w:rFonts w:hint="eastAsia" w:eastAsia="宋体"/>
                <w:sz w:val="21"/>
                <w:szCs w:val="21"/>
              </w:rPr>
              <w:t>（</w:t>
            </w:r>
            <w:r>
              <w:rPr>
                <w:rFonts w:eastAsia="宋体"/>
                <w:sz w:val="21"/>
                <w:szCs w:val="21"/>
              </w:rPr>
              <w:t>1）危废仓库设置导流沟和收集槽；</w:t>
            </w:r>
          </w:p>
          <w:p>
            <w:pPr>
              <w:adjustRightInd w:val="0"/>
              <w:snapToGrid w:val="0"/>
              <w:rPr>
                <w:rFonts w:eastAsia="宋体"/>
                <w:sz w:val="21"/>
                <w:szCs w:val="21"/>
              </w:rPr>
            </w:pPr>
            <w:r>
              <w:rPr>
                <w:rFonts w:eastAsia="宋体"/>
                <w:sz w:val="21"/>
                <w:szCs w:val="21"/>
              </w:rPr>
              <w:t>（2）本公司消防尾水全部排入</w:t>
            </w:r>
            <w:r>
              <w:rPr>
                <w:rFonts w:hint="eastAsia" w:eastAsia="宋体"/>
                <w:sz w:val="21"/>
                <w:szCs w:val="21"/>
              </w:rPr>
              <w:t>厂区的</w:t>
            </w:r>
            <w:r>
              <w:rPr>
                <w:rFonts w:eastAsia="宋体"/>
                <w:sz w:val="21"/>
                <w:szCs w:val="21"/>
              </w:rPr>
              <w:t>事故应急池（</w:t>
            </w:r>
            <w:r>
              <w:rPr>
                <w:rFonts w:hint="eastAsia" w:eastAsia="宋体"/>
                <w:sz w:val="21"/>
                <w:szCs w:val="21"/>
                <w:highlight w:val="none"/>
                <w:lang w:val="en-US" w:eastAsia="zh-CN"/>
              </w:rPr>
              <w:t>352</w:t>
            </w:r>
            <w:r>
              <w:rPr>
                <w:rFonts w:hint="eastAsia" w:eastAsia="宋体"/>
                <w:sz w:val="21"/>
                <w:szCs w:val="21"/>
              </w:rPr>
              <w:t>m</w:t>
            </w:r>
            <w:r>
              <w:rPr>
                <w:rFonts w:hint="eastAsia" w:eastAsia="宋体"/>
                <w:sz w:val="21"/>
                <w:szCs w:val="21"/>
                <w:vertAlign w:val="superscript"/>
              </w:rPr>
              <w:t>3</w:t>
            </w:r>
            <w:r>
              <w:rPr>
                <w:rFonts w:eastAsia="宋体"/>
                <w:sz w:val="21"/>
                <w:szCs w:val="21"/>
              </w:rPr>
              <w:t>），</w:t>
            </w:r>
            <w:r>
              <w:rPr>
                <w:rFonts w:hint="eastAsia" w:eastAsia="宋体"/>
                <w:sz w:val="21"/>
                <w:szCs w:val="21"/>
              </w:rPr>
              <w:t>应急事故</w:t>
            </w:r>
            <w:r>
              <w:rPr>
                <w:rFonts w:eastAsia="宋体"/>
                <w:sz w:val="21"/>
                <w:szCs w:val="21"/>
              </w:rPr>
              <w:t>池位于</w:t>
            </w:r>
            <w:r>
              <w:rPr>
                <w:rFonts w:hint="eastAsia" w:eastAsia="宋体"/>
                <w:sz w:val="21"/>
                <w:szCs w:val="21"/>
              </w:rPr>
              <w:t>雨</w:t>
            </w:r>
            <w:r>
              <w:rPr>
                <w:rFonts w:eastAsia="宋体"/>
                <w:sz w:val="21"/>
                <w:szCs w:val="21"/>
              </w:rPr>
              <w:t>水收集管道的末端，能保证事故状态下顺利收集泄漏物，并已设置抽水设备，可将泄漏物运送至污水处理厂处理。</w:t>
            </w:r>
          </w:p>
        </w:tc>
        <w:tc>
          <w:tcPr>
            <w:tcW w:w="1152"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上述措施合理有效，但未能定岗定员，需安排专门人员并严格执行，方可有效控制事故排放。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3</w:t>
            </w:r>
          </w:p>
        </w:tc>
        <w:tc>
          <w:tcPr>
            <w:tcW w:w="2253" w:type="pct"/>
            <w:tcBorders>
              <w:tl2br w:val="nil"/>
              <w:tr2bl w:val="nil"/>
            </w:tcBorders>
            <w:vAlign w:val="center"/>
          </w:tcPr>
          <w:p>
            <w:pPr>
              <w:adjustRightInd w:val="0"/>
              <w:snapToGrid w:val="0"/>
              <w:spacing w:line="320" w:lineRule="exact"/>
              <w:jc w:val="center"/>
              <w:rPr>
                <w:rFonts w:eastAsia="宋体"/>
                <w:sz w:val="21"/>
                <w:szCs w:val="21"/>
              </w:rPr>
            </w:pPr>
            <w:r>
              <w:rPr>
                <w:rFonts w:eastAsia="宋体"/>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不涉及</w:t>
            </w:r>
          </w:p>
        </w:tc>
        <w:tc>
          <w:tcPr>
            <w:tcW w:w="1152" w:type="pct"/>
            <w:tcBorders>
              <w:tl2br w:val="nil"/>
              <w:tr2bl w:val="nil"/>
            </w:tcBorders>
            <w:vAlign w:val="center"/>
          </w:tcPr>
          <w:p>
            <w:pPr>
              <w:adjustRightInd w:val="0"/>
              <w:snapToGrid w:val="0"/>
              <w:spacing w:line="320" w:lineRule="exact"/>
              <w:jc w:val="center"/>
              <w:rPr>
                <w:rFonts w:eastAsia="宋体"/>
                <w:sz w:val="21"/>
                <w:szCs w:val="21"/>
              </w:rPr>
            </w:pPr>
            <w:r>
              <w:rPr>
                <w:rFonts w:eastAsia="宋体"/>
                <w:sz w:val="21"/>
                <w:szCs w:val="21"/>
              </w:rPr>
              <w:t>不涉及</w:t>
            </w:r>
          </w:p>
        </w:tc>
      </w:tr>
    </w:tbl>
    <w:p>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62" w:name="_Toc24990"/>
      <w:bookmarkStart w:id="263" w:name="_Toc16479"/>
      <w:bookmarkStart w:id="264" w:name="_Toc31733"/>
      <w:bookmarkStart w:id="265" w:name="_Toc14196"/>
      <w:r>
        <w:rPr>
          <w:rFonts w:hint="eastAsia" w:eastAsia="宋体"/>
          <w:color w:val="000000" w:themeColor="text1"/>
          <w:sz w:val="24"/>
          <w:szCs w:val="24"/>
          <w14:textFill>
            <w14:solidFill>
              <w14:schemeClr w14:val="tx1"/>
            </w14:solidFill>
          </w14:textFill>
        </w:rPr>
        <w:t>5.3 环境应急资源</w:t>
      </w:r>
      <w:bookmarkEnd w:id="262"/>
      <w:bookmarkEnd w:id="263"/>
      <w:bookmarkEnd w:id="264"/>
      <w:bookmarkEnd w:id="265"/>
    </w:p>
    <w:p>
      <w:pPr>
        <w:adjustRightInd w:val="0"/>
        <w:snapToGrid w:val="0"/>
        <w:spacing w:line="500" w:lineRule="exact"/>
        <w:ind w:firstLine="480" w:firstLineChars="200"/>
        <w:rPr>
          <w:rFonts w:eastAsia="宋体"/>
          <w:color w:val="000000" w:themeColor="text1"/>
          <w:szCs w:val="28"/>
          <w14:textFill>
            <w14:solidFill>
              <w14:schemeClr w14:val="tx1"/>
            </w14:solidFill>
          </w14:textFill>
        </w:rPr>
      </w:pPr>
      <w:r>
        <w:rPr>
          <w:rFonts w:eastAsia="宋体"/>
          <w:color w:val="000000" w:themeColor="text1"/>
          <w:szCs w:val="28"/>
          <w14:textFill>
            <w14:solidFill>
              <w14:schemeClr w14:val="tx1"/>
            </w14:solidFill>
          </w14:textFill>
        </w:rPr>
        <w:t>公司环境应急资源见表5-5。</w:t>
      </w:r>
    </w:p>
    <w:p>
      <w:pPr>
        <w:adjustRightInd w:val="0"/>
        <w:snapToGrid w:val="0"/>
        <w:spacing w:line="480" w:lineRule="exact"/>
        <w:jc w:val="center"/>
        <w:rPr>
          <w:rFonts w:eastAsia="宋体"/>
          <w:b/>
        </w:rPr>
      </w:pPr>
      <w:r>
        <w:rPr>
          <w:rFonts w:eastAsia="宋体"/>
          <w:b/>
        </w:rPr>
        <w:t>表5-5 公司环境应急资源情况</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序号</w:t>
            </w:r>
          </w:p>
        </w:tc>
        <w:tc>
          <w:tcPr>
            <w:tcW w:w="1886"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环境应急资源</w:t>
            </w:r>
          </w:p>
        </w:tc>
        <w:tc>
          <w:tcPr>
            <w:tcW w:w="2041"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企业现状</w:t>
            </w:r>
          </w:p>
        </w:tc>
        <w:tc>
          <w:tcPr>
            <w:tcW w:w="838"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1</w:t>
            </w:r>
          </w:p>
        </w:tc>
        <w:tc>
          <w:tcPr>
            <w:tcW w:w="1886"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是否配备必要的应急物资和应急装备（包括应急监测）</w:t>
            </w:r>
          </w:p>
        </w:tc>
        <w:tc>
          <w:tcPr>
            <w:tcW w:w="2041"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已配备大部分的应急物资和应急装备</w:t>
            </w:r>
            <w:r>
              <w:rPr>
                <w:rFonts w:hint="eastAsia" w:eastAsia="宋体"/>
                <w:sz w:val="21"/>
                <w:szCs w:val="21"/>
              </w:rPr>
              <w:t>，</w:t>
            </w:r>
            <w:r>
              <w:rPr>
                <w:rFonts w:eastAsia="宋体"/>
                <w:sz w:val="21"/>
                <w:szCs w:val="21"/>
              </w:rPr>
              <w:t>应急监测委托专业的监测队伍进行</w:t>
            </w:r>
          </w:p>
        </w:tc>
        <w:tc>
          <w:tcPr>
            <w:tcW w:w="838" w:type="pct"/>
            <w:tcBorders>
              <w:tl2br w:val="nil"/>
              <w:tr2bl w:val="nil"/>
            </w:tcBorders>
            <w:vAlign w:val="center"/>
          </w:tcPr>
          <w:p>
            <w:pPr>
              <w:tabs>
                <w:tab w:val="left" w:pos="432"/>
              </w:tabs>
              <w:adjustRightInd w:val="0"/>
              <w:snapToGrid w:val="0"/>
              <w:jc w:val="center"/>
              <w:rPr>
                <w:rFonts w:eastAsia="宋体"/>
                <w:sz w:val="21"/>
                <w:szCs w:val="21"/>
              </w:rPr>
            </w:pPr>
            <w:r>
              <w:rPr>
                <w:rFonts w:hint="eastAsia" w:eastAsia="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2</w:t>
            </w:r>
          </w:p>
        </w:tc>
        <w:tc>
          <w:tcPr>
            <w:tcW w:w="1886"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是否已设专职或兼职人员组成的应急救援队伍</w:t>
            </w:r>
          </w:p>
        </w:tc>
        <w:tc>
          <w:tcPr>
            <w:tcW w:w="2041"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已设置专门的应急救援队伍，由不同部门人员兼职。</w:t>
            </w:r>
          </w:p>
        </w:tc>
        <w:tc>
          <w:tcPr>
            <w:tcW w:w="838"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3</w:t>
            </w:r>
          </w:p>
        </w:tc>
        <w:tc>
          <w:tcPr>
            <w:tcW w:w="1886" w:type="pct"/>
            <w:tcBorders>
              <w:tl2br w:val="nil"/>
              <w:tr2bl w:val="nil"/>
            </w:tcBorders>
            <w:vAlign w:val="center"/>
          </w:tcPr>
          <w:p>
            <w:pPr>
              <w:tabs>
                <w:tab w:val="left" w:pos="432"/>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pPr>
              <w:tabs>
                <w:tab w:val="left" w:pos="432"/>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与</w:t>
            </w:r>
            <w:r>
              <w:rPr>
                <w:rFonts w:hint="eastAsia" w:eastAsia="宋体"/>
                <w:color w:val="000000" w:themeColor="text1"/>
                <w:sz w:val="21"/>
                <w:szCs w:val="21"/>
                <w:lang w:val="en-US" w:eastAsia="zh-CN"/>
                <w14:textFill>
                  <w14:solidFill>
                    <w14:schemeClr w14:val="tx1"/>
                  </w14:solidFill>
                </w14:textFill>
              </w:rPr>
              <w:t>君致家具海安有限公司</w:t>
            </w:r>
            <w:r>
              <w:rPr>
                <w:rFonts w:eastAsia="宋体"/>
                <w:color w:val="000000" w:themeColor="text1"/>
                <w:sz w:val="21"/>
                <w:szCs w:val="21"/>
                <w14:textFill>
                  <w14:solidFill>
                    <w14:schemeClr w14:val="tx1"/>
                  </w14:solidFill>
                </w14:textFill>
              </w:rPr>
              <w:t>签订互救协议。</w:t>
            </w:r>
          </w:p>
        </w:tc>
        <w:tc>
          <w:tcPr>
            <w:tcW w:w="838"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4</w:t>
            </w:r>
          </w:p>
        </w:tc>
        <w:tc>
          <w:tcPr>
            <w:tcW w:w="1886"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是否签订突发环境事件应急监测协议</w:t>
            </w:r>
          </w:p>
        </w:tc>
        <w:tc>
          <w:tcPr>
            <w:tcW w:w="2041"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与</w:t>
            </w:r>
            <w:r>
              <w:rPr>
                <w:rFonts w:hint="eastAsia" w:eastAsia="宋体"/>
                <w:sz w:val="21"/>
                <w:szCs w:val="21"/>
              </w:rPr>
              <w:t>江苏裕和检测技术有限公司</w:t>
            </w:r>
            <w:r>
              <w:rPr>
                <w:rFonts w:eastAsia="宋体"/>
                <w:sz w:val="21"/>
                <w:szCs w:val="21"/>
              </w:rPr>
              <w:t>签订应急监测协议。</w:t>
            </w:r>
          </w:p>
        </w:tc>
        <w:tc>
          <w:tcPr>
            <w:tcW w:w="838"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w:t>
            </w:r>
          </w:p>
        </w:tc>
      </w:tr>
      <w:bookmarkEnd w:id="248"/>
      <w:bookmarkEnd w:id="254"/>
    </w:tbl>
    <w:p>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66" w:name="_Toc14351"/>
      <w:bookmarkStart w:id="267" w:name="_Toc496887138"/>
      <w:bookmarkStart w:id="268" w:name="_Toc7855"/>
      <w:bookmarkStart w:id="269" w:name="_Toc402776220"/>
      <w:bookmarkStart w:id="270" w:name="_Toc19935"/>
      <w:bookmarkStart w:id="271" w:name="_Toc510092966"/>
      <w:bookmarkStart w:id="272" w:name="_Toc22853"/>
      <w:bookmarkStart w:id="273" w:name="_Toc402776225"/>
      <w:bookmarkStart w:id="274" w:name="_Toc353379551"/>
      <w:r>
        <w:rPr>
          <w:rFonts w:hint="eastAsia" w:eastAsia="宋体"/>
          <w:color w:val="000000" w:themeColor="text1"/>
          <w:sz w:val="24"/>
          <w:szCs w:val="24"/>
          <w14:textFill>
            <w14:solidFill>
              <w14:schemeClr w14:val="tx1"/>
            </w14:solidFill>
          </w14:textFill>
        </w:rPr>
        <w:t>5.4 历史经验教训总结</w:t>
      </w:r>
      <w:bookmarkEnd w:id="266"/>
      <w:bookmarkEnd w:id="267"/>
      <w:bookmarkEnd w:id="268"/>
      <w:bookmarkEnd w:id="269"/>
      <w:bookmarkEnd w:id="270"/>
      <w:bookmarkEnd w:id="271"/>
      <w:bookmarkEnd w:id="272"/>
    </w:p>
    <w:p>
      <w:pPr>
        <w:adjustRightInd w:val="0"/>
        <w:snapToGrid w:val="0"/>
        <w:spacing w:line="500" w:lineRule="exact"/>
        <w:ind w:firstLine="480" w:firstLineChars="200"/>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pPr>
        <w:adjustRightInd w:val="0"/>
        <w:snapToGrid w:val="0"/>
        <w:spacing w:line="500" w:lineRule="exact"/>
        <w:ind w:firstLine="480" w:firstLineChars="200"/>
        <w:rPr>
          <w:rFonts w:ascii="宋体" w:hAnsi="宋体" w:eastAsia="宋体" w:cs="宋体"/>
        </w:rPr>
      </w:pPr>
      <w:r>
        <w:rPr>
          <w:rFonts w:hint="eastAsia" w:ascii="宋体" w:hAnsi="宋体" w:eastAsia="宋体" w:cs="宋体"/>
          <w:szCs w:val="28"/>
        </w:rPr>
        <w:t>公司生产装置、储存场所以及需要提醒人员注意的地点需设置各种安全标志；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危险化学物质等运输转移工作。</w:t>
      </w:r>
    </w:p>
    <w:p>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75" w:name="_Toc9941"/>
      <w:bookmarkStart w:id="276" w:name="_Toc510092967"/>
      <w:bookmarkStart w:id="277" w:name="_Toc402776221"/>
      <w:bookmarkStart w:id="278" w:name="_Toc29208"/>
      <w:bookmarkStart w:id="279" w:name="_Toc23361"/>
      <w:bookmarkStart w:id="280" w:name="_Toc496887139"/>
      <w:bookmarkStart w:id="281" w:name="_Toc2535"/>
      <w:r>
        <w:rPr>
          <w:rFonts w:hint="eastAsia" w:eastAsia="宋体"/>
          <w:color w:val="000000" w:themeColor="text1"/>
          <w:sz w:val="24"/>
          <w:szCs w:val="24"/>
          <w14:textFill>
            <w14:solidFill>
              <w14:schemeClr w14:val="tx1"/>
            </w14:solidFill>
          </w14:textFill>
        </w:rPr>
        <w:t>5.5 需要整改的短期、中期和长期项目内容</w:t>
      </w:r>
      <w:bookmarkEnd w:id="275"/>
      <w:bookmarkEnd w:id="276"/>
      <w:bookmarkEnd w:id="277"/>
      <w:bookmarkEnd w:id="278"/>
      <w:bookmarkEnd w:id="279"/>
      <w:bookmarkEnd w:id="280"/>
      <w:bookmarkEnd w:id="281"/>
    </w:p>
    <w:p>
      <w:pPr>
        <w:adjustRightInd w:val="0"/>
        <w:snapToGrid w:val="0"/>
        <w:spacing w:line="500" w:lineRule="exact"/>
        <w:ind w:firstLine="480" w:firstLineChars="200"/>
        <w:rPr>
          <w:rFonts w:eastAsia="宋体"/>
        </w:rPr>
      </w:pPr>
      <w:r>
        <w:rPr>
          <w:rFonts w:eastAsia="宋体"/>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pPr>
        <w:adjustRightInd w:val="0"/>
        <w:snapToGrid w:val="0"/>
        <w:spacing w:line="500" w:lineRule="exact"/>
        <w:ind w:firstLine="480" w:firstLineChars="200"/>
        <w:rPr>
          <w:rFonts w:eastAsia="宋体"/>
        </w:rPr>
      </w:pPr>
      <w:r>
        <w:rPr>
          <w:rFonts w:eastAsia="宋体"/>
        </w:rPr>
        <w:t>通过本次对公司的检查，发现公司存在的事故隐患及需要整改的内容见表5-6。</w:t>
      </w:r>
    </w:p>
    <w:p>
      <w:pPr>
        <w:adjustRightInd w:val="0"/>
        <w:snapToGrid w:val="0"/>
        <w:spacing w:line="480" w:lineRule="exact"/>
        <w:jc w:val="center"/>
        <w:rPr>
          <w:rFonts w:eastAsia="宋体"/>
          <w:b/>
        </w:rPr>
      </w:pPr>
      <w:r>
        <w:rPr>
          <w:rFonts w:eastAsia="宋体"/>
          <w:b/>
        </w:rPr>
        <w:t>表5-6 存在的事故隐患及需整改内容表</w:t>
      </w:r>
    </w:p>
    <w:tbl>
      <w:tblPr>
        <w:tblStyle w:val="38"/>
        <w:tblW w:w="51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81"/>
        <w:gridCol w:w="7721"/>
        <w:gridCol w:w="9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序号</w:t>
            </w:r>
          </w:p>
        </w:tc>
        <w:tc>
          <w:tcPr>
            <w:tcW w:w="4114"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存在问题</w:t>
            </w:r>
          </w:p>
        </w:tc>
        <w:tc>
          <w:tcPr>
            <w:tcW w:w="522"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整改期限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pPr>
              <w:tabs>
                <w:tab w:val="left" w:pos="432"/>
              </w:tabs>
              <w:adjustRightInd w:val="0"/>
              <w:snapToGrid w:val="0"/>
              <w:jc w:val="center"/>
              <w:rPr>
                <w:rFonts w:eastAsia="宋体"/>
                <w:sz w:val="21"/>
                <w:szCs w:val="21"/>
              </w:rPr>
            </w:pPr>
            <w:r>
              <w:rPr>
                <w:rFonts w:hint="eastAsia" w:eastAsia="宋体"/>
                <w:sz w:val="21"/>
                <w:szCs w:val="21"/>
              </w:rPr>
              <w:t>1</w:t>
            </w:r>
          </w:p>
        </w:tc>
        <w:tc>
          <w:tcPr>
            <w:tcW w:w="4114" w:type="pct"/>
            <w:tcBorders>
              <w:tl2br w:val="nil"/>
              <w:tr2bl w:val="nil"/>
            </w:tcBorders>
            <w:vAlign w:val="center"/>
          </w:tcPr>
          <w:p>
            <w:pPr>
              <w:tabs>
                <w:tab w:val="left" w:pos="432"/>
              </w:tabs>
              <w:adjustRightInd w:val="0"/>
              <w:snapToGrid w:val="0"/>
              <w:jc w:val="center"/>
              <w:rPr>
                <w:rFonts w:hint="default" w:eastAsia="宋体"/>
                <w:sz w:val="21"/>
                <w:szCs w:val="21"/>
                <w:lang w:val="en-US" w:eastAsia="zh-CN"/>
              </w:rPr>
            </w:pPr>
            <w:r>
              <w:rPr>
                <w:rFonts w:hint="eastAsia" w:eastAsia="宋体"/>
                <w:sz w:val="21"/>
                <w:szCs w:val="21"/>
                <w:lang w:val="en-US" w:eastAsia="zh-CN"/>
              </w:rPr>
              <w:t>未制定隐患排查年度计划</w:t>
            </w:r>
          </w:p>
        </w:tc>
        <w:tc>
          <w:tcPr>
            <w:tcW w:w="522" w:type="pct"/>
            <w:tcBorders>
              <w:tl2br w:val="nil"/>
              <w:tr2bl w:val="nil"/>
            </w:tcBorders>
            <w:vAlign w:val="center"/>
          </w:tcPr>
          <w:p>
            <w:pPr>
              <w:tabs>
                <w:tab w:val="left" w:pos="432"/>
              </w:tabs>
              <w:adjustRightInd w:val="0"/>
              <w:snapToGrid w:val="0"/>
              <w:jc w:val="center"/>
              <w:rPr>
                <w:rFonts w:eastAsia="宋体"/>
                <w:sz w:val="21"/>
                <w:szCs w:val="21"/>
              </w:rPr>
            </w:pPr>
            <w:r>
              <w:rPr>
                <w:rFonts w:hint="eastAsia" w:eastAsia="宋体"/>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2</w:t>
            </w:r>
          </w:p>
        </w:tc>
        <w:tc>
          <w:tcPr>
            <w:tcW w:w="4114" w:type="pct"/>
            <w:tcBorders>
              <w:tl2br w:val="nil"/>
              <w:tr2bl w:val="nil"/>
            </w:tcBorders>
            <w:vAlign w:val="center"/>
          </w:tcPr>
          <w:p>
            <w:pPr>
              <w:tabs>
                <w:tab w:val="left" w:pos="432"/>
              </w:tabs>
              <w:adjustRightInd w:val="0"/>
              <w:snapToGrid w:val="0"/>
              <w:jc w:val="center"/>
              <w:rPr>
                <w:rFonts w:hint="default" w:eastAsia="宋体"/>
                <w:sz w:val="21"/>
                <w:szCs w:val="21"/>
                <w:lang w:val="en-US" w:eastAsia="zh-CN"/>
              </w:rPr>
            </w:pPr>
            <w:r>
              <w:rPr>
                <w:rFonts w:hint="eastAsia" w:eastAsia="宋体"/>
                <w:sz w:val="21"/>
                <w:szCs w:val="21"/>
                <w:lang w:val="en-US" w:eastAsia="zh-CN"/>
              </w:rPr>
              <w:t>环保设施未进行安全风险评价</w:t>
            </w:r>
          </w:p>
        </w:tc>
        <w:tc>
          <w:tcPr>
            <w:tcW w:w="522" w:type="pct"/>
            <w:tcBorders>
              <w:tl2br w:val="nil"/>
              <w:tr2bl w:val="nil"/>
            </w:tcBorders>
            <w:vAlign w:val="center"/>
          </w:tcPr>
          <w:p>
            <w:pPr>
              <w:tabs>
                <w:tab w:val="left" w:pos="432"/>
              </w:tabs>
              <w:adjustRightInd w:val="0"/>
              <w:snapToGrid w:val="0"/>
              <w:jc w:val="center"/>
              <w:rPr>
                <w:rFonts w:hint="eastAsia" w:eastAsia="宋体"/>
                <w:sz w:val="21"/>
                <w:szCs w:val="21"/>
                <w:lang w:val="en-US" w:eastAsia="zh-CN"/>
              </w:rPr>
            </w:pPr>
            <w:r>
              <w:rPr>
                <w:rFonts w:hint="eastAsia" w:eastAsia="宋体"/>
                <w:sz w:val="21"/>
                <w:szCs w:val="21"/>
                <w:lang w:val="en-US" w:eastAsia="zh-CN"/>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pPr>
              <w:tabs>
                <w:tab w:val="left" w:pos="432"/>
              </w:tabs>
              <w:adjustRightInd w:val="0"/>
              <w:snapToGrid w:val="0"/>
              <w:jc w:val="center"/>
              <w:rPr>
                <w:rFonts w:ascii="Times New Roman" w:hAnsi="Times New Roman" w:eastAsia="宋体" w:cs="Times New Roman"/>
                <w:kern w:val="2"/>
                <w:sz w:val="21"/>
                <w:szCs w:val="21"/>
                <w:lang w:val="en-US" w:eastAsia="zh-CN" w:bidi="ar-SA"/>
              </w:rPr>
            </w:pPr>
            <w:r>
              <w:rPr>
                <w:rFonts w:hint="eastAsia" w:eastAsia="宋体"/>
                <w:sz w:val="21"/>
                <w:szCs w:val="21"/>
              </w:rPr>
              <w:t>3</w:t>
            </w:r>
          </w:p>
        </w:tc>
        <w:tc>
          <w:tcPr>
            <w:tcW w:w="4114"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风险单元巡查定岗定责，并确定监督检查机制</w:t>
            </w:r>
          </w:p>
        </w:tc>
        <w:tc>
          <w:tcPr>
            <w:tcW w:w="522" w:type="pct"/>
            <w:tcBorders>
              <w:tl2br w:val="nil"/>
              <w:tr2bl w:val="nil"/>
            </w:tcBorders>
            <w:vAlign w:val="center"/>
          </w:tcPr>
          <w:p>
            <w:pPr>
              <w:tabs>
                <w:tab w:val="left" w:pos="432"/>
              </w:tabs>
              <w:adjustRightInd w:val="0"/>
              <w:snapToGrid w:val="0"/>
              <w:jc w:val="center"/>
              <w:rPr>
                <w:rFonts w:eastAsia="宋体"/>
                <w:sz w:val="21"/>
                <w:szCs w:val="21"/>
              </w:rPr>
            </w:pPr>
            <w:r>
              <w:rPr>
                <w:rFonts w:hint="eastAsia" w:eastAsia="宋体"/>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pPr>
              <w:tabs>
                <w:tab w:val="left" w:pos="432"/>
              </w:tabs>
              <w:adjustRightInd w:val="0"/>
              <w:snapToGrid w:val="0"/>
              <w:jc w:val="center"/>
              <w:rPr>
                <w:rFonts w:ascii="Times New Roman" w:hAnsi="Times New Roman" w:eastAsia="宋体" w:cs="Times New Roman"/>
                <w:kern w:val="2"/>
                <w:sz w:val="21"/>
                <w:szCs w:val="21"/>
                <w:lang w:val="en-US" w:eastAsia="zh-CN" w:bidi="ar-SA"/>
              </w:rPr>
            </w:pPr>
            <w:r>
              <w:rPr>
                <w:rFonts w:hint="eastAsia" w:eastAsia="宋体"/>
                <w:sz w:val="21"/>
                <w:szCs w:val="21"/>
              </w:rPr>
              <w:t>4</w:t>
            </w:r>
          </w:p>
        </w:tc>
        <w:tc>
          <w:tcPr>
            <w:tcW w:w="4114"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公司未开展应急法律法规的宣传工作，也未对职工进行环境风险和环境应急管理方面</w:t>
            </w:r>
            <w:r>
              <w:rPr>
                <w:rFonts w:hint="eastAsia" w:eastAsia="宋体"/>
                <w:sz w:val="21"/>
                <w:szCs w:val="21"/>
              </w:rPr>
              <w:t xml:space="preserve"> </w:t>
            </w:r>
            <w:r>
              <w:rPr>
                <w:rFonts w:eastAsia="宋体"/>
                <w:sz w:val="21"/>
                <w:szCs w:val="21"/>
              </w:rPr>
              <w:t>“一案三制”的培训</w:t>
            </w:r>
          </w:p>
        </w:tc>
        <w:tc>
          <w:tcPr>
            <w:tcW w:w="522" w:type="pct"/>
            <w:tcBorders>
              <w:tl2br w:val="nil"/>
              <w:tr2bl w:val="nil"/>
            </w:tcBorders>
            <w:vAlign w:val="center"/>
          </w:tcPr>
          <w:p>
            <w:pPr>
              <w:tabs>
                <w:tab w:val="left" w:pos="432"/>
              </w:tabs>
              <w:adjustRightInd w:val="0"/>
              <w:snapToGrid w:val="0"/>
              <w:jc w:val="center"/>
              <w:rPr>
                <w:rFonts w:eastAsia="宋体"/>
                <w:sz w:val="21"/>
                <w:szCs w:val="21"/>
              </w:rPr>
            </w:pPr>
            <w:r>
              <w:rPr>
                <w:rFonts w:hint="eastAsia" w:eastAsia="宋体"/>
                <w:sz w:val="21"/>
                <w:szCs w:val="21"/>
              </w:rPr>
              <w:t>中</w:t>
            </w:r>
            <w:r>
              <w:rPr>
                <w:rFonts w:eastAsia="宋体"/>
                <w:sz w:val="21"/>
                <w:szCs w:val="21"/>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pPr>
              <w:tabs>
                <w:tab w:val="left" w:pos="432"/>
              </w:tabs>
              <w:adjustRightInd w:val="0"/>
              <w:snapToGrid w:val="0"/>
              <w:jc w:val="center"/>
              <w:rPr>
                <w:rFonts w:hint="eastAsia" w:eastAsia="宋体"/>
                <w:sz w:val="21"/>
                <w:szCs w:val="21"/>
                <w:lang w:eastAsia="zh-CN"/>
              </w:rPr>
            </w:pPr>
            <w:r>
              <w:rPr>
                <w:rFonts w:hint="eastAsia" w:eastAsia="宋体"/>
                <w:sz w:val="21"/>
                <w:szCs w:val="21"/>
                <w:lang w:val="en-US" w:eastAsia="zh-CN"/>
              </w:rPr>
              <w:t>5</w:t>
            </w:r>
          </w:p>
        </w:tc>
        <w:tc>
          <w:tcPr>
            <w:tcW w:w="4114"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需要进行进一步的宣传工作，确保周边敏感目标对应急疏散的措施和手段有所了解</w:t>
            </w:r>
          </w:p>
        </w:tc>
        <w:tc>
          <w:tcPr>
            <w:tcW w:w="522"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长期</w:t>
            </w:r>
          </w:p>
        </w:tc>
      </w:tr>
    </w:tbl>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cols w:space="720" w:num="1"/>
          <w:docGrid w:linePitch="326" w:charSpace="0"/>
        </w:sectPr>
      </w:pPr>
      <w:bookmarkStart w:id="282" w:name="_Toc402776222"/>
    </w:p>
    <w:p>
      <w:pPr>
        <w:pStyle w:val="3"/>
        <w:adjustRightInd w:val="0"/>
        <w:snapToGrid w:val="0"/>
        <w:spacing w:line="500" w:lineRule="exact"/>
        <w:rPr>
          <w:rFonts w:eastAsia="宋体"/>
          <w:color w:val="000000" w:themeColor="text1"/>
          <w:sz w:val="24"/>
          <w:szCs w:val="24"/>
          <w14:textFill>
            <w14:solidFill>
              <w14:schemeClr w14:val="tx1"/>
            </w14:solidFill>
          </w14:textFill>
        </w:rPr>
      </w:pPr>
      <w:bookmarkStart w:id="283" w:name="_Toc21425"/>
      <w:bookmarkStart w:id="284" w:name="_Toc4096"/>
      <w:bookmarkStart w:id="285" w:name="_Toc31696"/>
      <w:bookmarkStart w:id="286" w:name="_Toc496887140"/>
      <w:bookmarkStart w:id="287" w:name="_Toc510092968"/>
      <w:bookmarkStart w:id="288" w:name="_Toc594"/>
      <w:r>
        <w:rPr>
          <w:rFonts w:hint="eastAsia" w:eastAsia="宋体"/>
          <w:color w:val="000000" w:themeColor="text1"/>
          <w:sz w:val="24"/>
          <w:szCs w:val="24"/>
          <w14:textFill>
            <w14:solidFill>
              <w14:schemeClr w14:val="tx1"/>
            </w14:solidFill>
          </w14:textFill>
        </w:rPr>
        <w:t>6 完善环境风险防控和应急措施的实施计划</w:t>
      </w:r>
      <w:bookmarkEnd w:id="282"/>
      <w:bookmarkEnd w:id="283"/>
      <w:bookmarkEnd w:id="284"/>
      <w:bookmarkEnd w:id="285"/>
      <w:bookmarkEnd w:id="286"/>
      <w:bookmarkEnd w:id="287"/>
      <w:bookmarkEnd w:id="288"/>
    </w:p>
    <w:p>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89" w:name="_Toc8362"/>
      <w:bookmarkStart w:id="290" w:name="_Toc510092969"/>
      <w:bookmarkStart w:id="291" w:name="_Toc17059"/>
      <w:bookmarkStart w:id="292" w:name="_Toc30219"/>
      <w:bookmarkStart w:id="293" w:name="_Toc15485"/>
      <w:r>
        <w:rPr>
          <w:rFonts w:hint="eastAsia" w:eastAsia="宋体"/>
          <w:color w:val="000000" w:themeColor="text1"/>
          <w:sz w:val="24"/>
          <w:szCs w:val="24"/>
          <w14:textFill>
            <w14:solidFill>
              <w14:schemeClr w14:val="tx1"/>
            </w14:solidFill>
          </w14:textFill>
        </w:rPr>
        <w:t>6.1 短期整改内容及实施计划</w:t>
      </w:r>
      <w:bookmarkEnd w:id="289"/>
      <w:bookmarkEnd w:id="290"/>
      <w:bookmarkEnd w:id="291"/>
      <w:bookmarkEnd w:id="292"/>
      <w:bookmarkEnd w:id="293"/>
    </w:p>
    <w:p>
      <w:pPr>
        <w:adjustRightInd w:val="0"/>
        <w:snapToGrid w:val="0"/>
        <w:spacing w:line="500" w:lineRule="exact"/>
        <w:ind w:firstLine="480" w:firstLineChars="200"/>
        <w:jc w:val="left"/>
        <w:rPr>
          <w:rFonts w:eastAsia="宋体"/>
        </w:rPr>
      </w:pPr>
      <w:r>
        <w:rPr>
          <w:rFonts w:eastAsia="宋体"/>
        </w:rPr>
        <w:t>公司列入短期整改内容及实施计划见表6-1。</w:t>
      </w:r>
    </w:p>
    <w:p>
      <w:pPr>
        <w:adjustRightInd w:val="0"/>
        <w:snapToGrid w:val="0"/>
        <w:spacing w:line="500" w:lineRule="exact"/>
        <w:ind w:firstLine="482" w:firstLineChars="200"/>
        <w:jc w:val="center"/>
        <w:rPr>
          <w:rFonts w:eastAsia="宋体"/>
        </w:rPr>
      </w:pPr>
      <w:r>
        <w:rPr>
          <w:rFonts w:eastAsia="宋体"/>
          <w:b/>
          <w:bCs/>
        </w:rPr>
        <w:t>表6-1 短期整改内容及实施计划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pPr>
              <w:adjustRightInd w:val="0"/>
              <w:snapToGrid w:val="0"/>
              <w:jc w:val="center"/>
              <w:rPr>
                <w:rFonts w:eastAsia="宋体"/>
                <w:sz w:val="21"/>
                <w:szCs w:val="21"/>
              </w:rPr>
            </w:pPr>
            <w:r>
              <w:rPr>
                <w:rFonts w:eastAsia="宋体"/>
                <w:sz w:val="21"/>
                <w:szCs w:val="21"/>
              </w:rPr>
              <w:t>序号</w:t>
            </w:r>
          </w:p>
        </w:tc>
        <w:tc>
          <w:tcPr>
            <w:tcW w:w="1606" w:type="pct"/>
            <w:tcBorders>
              <w:tl2br w:val="nil"/>
              <w:tr2bl w:val="nil"/>
            </w:tcBorders>
            <w:vAlign w:val="center"/>
          </w:tcPr>
          <w:p>
            <w:pPr>
              <w:adjustRightInd w:val="0"/>
              <w:snapToGrid w:val="0"/>
              <w:jc w:val="center"/>
              <w:rPr>
                <w:rFonts w:eastAsia="宋体"/>
                <w:sz w:val="21"/>
                <w:szCs w:val="21"/>
              </w:rPr>
            </w:pPr>
            <w:r>
              <w:rPr>
                <w:rFonts w:eastAsia="宋体"/>
                <w:sz w:val="21"/>
                <w:szCs w:val="21"/>
              </w:rPr>
              <w:t>问题</w:t>
            </w:r>
          </w:p>
        </w:tc>
        <w:tc>
          <w:tcPr>
            <w:tcW w:w="1849" w:type="pct"/>
            <w:tcBorders>
              <w:tl2br w:val="nil"/>
              <w:tr2bl w:val="nil"/>
            </w:tcBorders>
            <w:vAlign w:val="center"/>
          </w:tcPr>
          <w:p>
            <w:pPr>
              <w:adjustRightInd w:val="0"/>
              <w:snapToGrid w:val="0"/>
              <w:jc w:val="center"/>
              <w:rPr>
                <w:rFonts w:eastAsia="宋体"/>
                <w:sz w:val="21"/>
                <w:szCs w:val="21"/>
              </w:rPr>
            </w:pPr>
            <w:r>
              <w:rPr>
                <w:rFonts w:eastAsia="宋体"/>
                <w:sz w:val="21"/>
                <w:szCs w:val="21"/>
              </w:rPr>
              <w:t>整改方案</w:t>
            </w:r>
          </w:p>
        </w:tc>
        <w:tc>
          <w:tcPr>
            <w:tcW w:w="786" w:type="pct"/>
            <w:tcBorders>
              <w:tl2br w:val="nil"/>
              <w:tr2bl w:val="nil"/>
            </w:tcBorders>
            <w:vAlign w:val="center"/>
          </w:tcPr>
          <w:p>
            <w:pPr>
              <w:adjustRightInd w:val="0"/>
              <w:snapToGrid w:val="0"/>
              <w:jc w:val="center"/>
              <w:rPr>
                <w:rFonts w:eastAsia="宋体"/>
                <w:sz w:val="21"/>
                <w:szCs w:val="21"/>
              </w:rPr>
            </w:pPr>
            <w:r>
              <w:rPr>
                <w:rFonts w:eastAsia="宋体"/>
                <w:sz w:val="21"/>
                <w:szCs w:val="21"/>
              </w:rPr>
              <w:t>完成时间</w:t>
            </w:r>
          </w:p>
        </w:tc>
        <w:tc>
          <w:tcPr>
            <w:tcW w:w="443" w:type="pct"/>
            <w:tcBorders>
              <w:tl2br w:val="nil"/>
              <w:tr2bl w:val="nil"/>
            </w:tcBorders>
            <w:vAlign w:val="center"/>
          </w:tcPr>
          <w:p>
            <w:pPr>
              <w:adjustRightInd w:val="0"/>
              <w:snapToGrid w:val="0"/>
              <w:jc w:val="center"/>
              <w:rPr>
                <w:rFonts w:eastAsia="宋体"/>
                <w:sz w:val="21"/>
                <w:szCs w:val="21"/>
              </w:rPr>
            </w:pPr>
            <w:r>
              <w:rPr>
                <w:rFonts w:eastAsia="宋体"/>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eastAsia="宋体"/>
                <w:sz w:val="21"/>
                <w:szCs w:val="21"/>
              </w:rPr>
            </w:pPr>
            <w:bookmarkStart w:id="294" w:name="_Toc402776224"/>
            <w:bookmarkStart w:id="295" w:name="_Toc510092970"/>
            <w:bookmarkStart w:id="296" w:name="_Toc24534"/>
            <w:r>
              <w:rPr>
                <w:rFonts w:hint="eastAsia" w:eastAsia="宋体"/>
                <w:sz w:val="21"/>
                <w:szCs w:val="21"/>
              </w:rPr>
              <w:t>1</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未制定隐患排查年度计划</w:t>
            </w:r>
          </w:p>
        </w:tc>
        <w:tc>
          <w:tcPr>
            <w:tcW w:w="1849" w:type="pct"/>
            <w:tcBorders>
              <w:tl2br w:val="nil"/>
              <w:tr2bl w:val="nil"/>
            </w:tcBorders>
            <w:vAlign w:val="center"/>
          </w:tcPr>
          <w:p>
            <w:pPr>
              <w:adjustRightInd w:val="0"/>
              <w:snapToGrid w:val="0"/>
              <w:jc w:val="center"/>
              <w:rPr>
                <w:rFonts w:eastAsia="宋体"/>
                <w:sz w:val="21"/>
                <w:szCs w:val="21"/>
              </w:rPr>
            </w:pPr>
            <w:r>
              <w:rPr>
                <w:rFonts w:hint="eastAsia" w:eastAsia="宋体"/>
                <w:sz w:val="21"/>
                <w:szCs w:val="21"/>
                <w:lang w:val="en-US" w:eastAsia="zh-CN"/>
              </w:rPr>
              <w:t>制定隐患排查年度计划</w:t>
            </w:r>
          </w:p>
        </w:tc>
        <w:tc>
          <w:tcPr>
            <w:tcW w:w="786" w:type="pct"/>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2022年</w:t>
            </w:r>
            <w:r>
              <w:rPr>
                <w:rFonts w:hint="eastAsia" w:eastAsia="宋体"/>
                <w:sz w:val="21"/>
                <w:szCs w:val="21"/>
                <w:lang w:val="en-US" w:eastAsia="zh-CN"/>
              </w:rPr>
              <w:t>2</w:t>
            </w:r>
            <w:r>
              <w:rPr>
                <w:rFonts w:hint="eastAsia" w:eastAsia="宋体"/>
                <w:sz w:val="21"/>
                <w:szCs w:val="21"/>
              </w:rPr>
              <w:t>月</w:t>
            </w:r>
          </w:p>
        </w:tc>
        <w:tc>
          <w:tcPr>
            <w:tcW w:w="443" w:type="pct"/>
            <w:tcBorders>
              <w:tl2br w:val="nil"/>
              <w:tr2bl w:val="nil"/>
            </w:tcBorders>
            <w:vAlign w:val="center"/>
          </w:tcPr>
          <w:p>
            <w:pPr>
              <w:adjustRightInd w:val="0"/>
              <w:snapToGrid w:val="0"/>
              <w:jc w:val="center"/>
              <w:rPr>
                <w:rFonts w:hint="eastAsia" w:eastAsia="宋体"/>
                <w:sz w:val="21"/>
                <w:szCs w:val="21"/>
                <w:lang w:eastAsia="zh-CN"/>
              </w:rPr>
            </w:pPr>
            <w:r>
              <w:rPr>
                <w:rFonts w:hint="eastAsia" w:eastAsia="宋体"/>
                <w:color w:val="000000"/>
                <w:sz w:val="21"/>
                <w:szCs w:val="21"/>
                <w:lang w:eastAsia="zh-CN"/>
              </w:rPr>
              <w:t>邱家锋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eastAsia" w:eastAsia="宋体"/>
                <w:sz w:val="21"/>
                <w:szCs w:val="21"/>
                <w:lang w:val="en-US" w:eastAsia="zh-CN"/>
              </w:rPr>
            </w:pPr>
            <w:r>
              <w:rPr>
                <w:rFonts w:hint="eastAsia" w:eastAsia="宋体"/>
                <w:sz w:val="21"/>
                <w:szCs w:val="21"/>
                <w:lang w:val="en-US" w:eastAsia="zh-CN"/>
              </w:rPr>
              <w:t>2</w:t>
            </w:r>
          </w:p>
        </w:tc>
        <w:tc>
          <w:tcPr>
            <w:tcW w:w="1606" w:type="pct"/>
            <w:tcBorders>
              <w:tl2br w:val="nil"/>
              <w:tr2bl w:val="nil"/>
            </w:tcBorders>
            <w:vAlign w:val="center"/>
          </w:tcPr>
          <w:p>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环保设施未进行安全风险评价</w:t>
            </w:r>
          </w:p>
        </w:tc>
        <w:tc>
          <w:tcPr>
            <w:tcW w:w="1849" w:type="pct"/>
            <w:tcBorders>
              <w:tl2br w:val="nil"/>
              <w:tr2bl w:val="nil"/>
            </w:tcBorders>
            <w:vAlign w:val="center"/>
          </w:tcPr>
          <w:p>
            <w:pPr>
              <w:adjustRightInd w:val="0"/>
              <w:snapToGrid w:val="0"/>
              <w:jc w:val="center"/>
              <w:rPr>
                <w:rFonts w:hint="eastAsia" w:eastAsia="宋体"/>
                <w:sz w:val="21"/>
                <w:szCs w:val="21"/>
              </w:rPr>
            </w:pPr>
            <w:r>
              <w:rPr>
                <w:rFonts w:hint="eastAsia" w:eastAsia="宋体"/>
                <w:sz w:val="21"/>
                <w:szCs w:val="21"/>
                <w:lang w:val="en-US" w:eastAsia="zh-CN"/>
              </w:rPr>
              <w:t>环保设施进行安全风险评价</w:t>
            </w:r>
          </w:p>
        </w:tc>
        <w:tc>
          <w:tcPr>
            <w:tcW w:w="786"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2022年</w:t>
            </w:r>
            <w:r>
              <w:rPr>
                <w:rFonts w:hint="eastAsia" w:eastAsia="宋体"/>
                <w:sz w:val="21"/>
                <w:szCs w:val="21"/>
                <w:lang w:val="en-US" w:eastAsia="zh-CN"/>
              </w:rPr>
              <w:t>2</w:t>
            </w:r>
            <w:r>
              <w:rPr>
                <w:rFonts w:hint="eastAsia" w:eastAsia="宋体"/>
                <w:sz w:val="21"/>
                <w:szCs w:val="21"/>
              </w:rPr>
              <w:t>月</w:t>
            </w:r>
          </w:p>
        </w:tc>
        <w:tc>
          <w:tcPr>
            <w:tcW w:w="443"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olor w:val="000000"/>
                <w:sz w:val="21"/>
                <w:szCs w:val="21"/>
                <w:lang w:eastAsia="zh-CN"/>
              </w:rPr>
              <w:t>邱家锋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eastAsia" w:eastAsia="宋体"/>
                <w:sz w:val="21"/>
                <w:szCs w:val="21"/>
                <w:lang w:eastAsia="zh-CN"/>
              </w:rPr>
            </w:pPr>
            <w:r>
              <w:rPr>
                <w:rFonts w:hint="eastAsia" w:eastAsia="宋体"/>
                <w:sz w:val="21"/>
                <w:szCs w:val="21"/>
                <w:lang w:val="en-US" w:eastAsia="zh-CN"/>
              </w:rPr>
              <w:t>3</w:t>
            </w:r>
          </w:p>
        </w:tc>
        <w:tc>
          <w:tcPr>
            <w:tcW w:w="1606"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风险单元巡查定岗定责，并确定监督检查机制</w:t>
            </w:r>
          </w:p>
        </w:tc>
        <w:tc>
          <w:tcPr>
            <w:tcW w:w="1849" w:type="pct"/>
            <w:tcBorders>
              <w:tl2br w:val="nil"/>
              <w:tr2bl w:val="nil"/>
            </w:tcBorders>
            <w:vAlign w:val="center"/>
          </w:tcPr>
          <w:p>
            <w:pPr>
              <w:adjustRightInd w:val="0"/>
              <w:snapToGrid w:val="0"/>
              <w:jc w:val="center"/>
              <w:rPr>
                <w:rFonts w:eastAsia="宋体"/>
                <w:sz w:val="21"/>
                <w:szCs w:val="21"/>
              </w:rPr>
            </w:pPr>
            <w:r>
              <w:rPr>
                <w:rFonts w:eastAsia="宋体"/>
                <w:sz w:val="21"/>
                <w:szCs w:val="21"/>
              </w:rPr>
              <w:t>编制监督检查制度并落实至责任人</w:t>
            </w:r>
          </w:p>
        </w:tc>
        <w:tc>
          <w:tcPr>
            <w:tcW w:w="786" w:type="pct"/>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2022年</w:t>
            </w:r>
            <w:r>
              <w:rPr>
                <w:rFonts w:hint="eastAsia" w:eastAsia="宋体"/>
                <w:sz w:val="21"/>
                <w:szCs w:val="21"/>
                <w:lang w:val="en-US" w:eastAsia="zh-CN"/>
              </w:rPr>
              <w:t>12</w:t>
            </w:r>
            <w:r>
              <w:rPr>
                <w:rFonts w:hint="eastAsia" w:eastAsia="宋体"/>
                <w:sz w:val="21"/>
                <w:szCs w:val="21"/>
              </w:rPr>
              <w:t>月</w:t>
            </w:r>
          </w:p>
        </w:tc>
        <w:tc>
          <w:tcPr>
            <w:tcW w:w="443" w:type="pct"/>
            <w:tcBorders>
              <w:tl2br w:val="nil"/>
              <w:tr2bl w:val="nil"/>
            </w:tcBorders>
            <w:vAlign w:val="center"/>
          </w:tcPr>
          <w:p>
            <w:pPr>
              <w:adjustRightInd w:val="0"/>
              <w:snapToGrid w:val="0"/>
              <w:jc w:val="center"/>
              <w:rPr>
                <w:rFonts w:hint="eastAsia" w:eastAsia="宋体"/>
                <w:sz w:val="21"/>
                <w:szCs w:val="21"/>
                <w:lang w:eastAsia="zh-CN"/>
              </w:rPr>
            </w:pPr>
            <w:r>
              <w:rPr>
                <w:rFonts w:hint="eastAsia" w:eastAsia="宋体"/>
                <w:color w:val="000000"/>
                <w:sz w:val="21"/>
                <w:szCs w:val="21"/>
                <w:lang w:eastAsia="zh-CN"/>
              </w:rPr>
              <w:t>邱家锋</w:t>
            </w:r>
          </w:p>
        </w:tc>
      </w:tr>
    </w:tbl>
    <w:p>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297" w:name="_Toc1274"/>
      <w:bookmarkStart w:id="298" w:name="_Toc25535"/>
      <w:bookmarkStart w:id="299" w:name="_Toc28359"/>
      <w:r>
        <w:rPr>
          <w:rFonts w:hint="eastAsia" w:eastAsia="宋体"/>
          <w:color w:val="000000" w:themeColor="text1"/>
          <w:sz w:val="24"/>
          <w:szCs w:val="24"/>
          <w14:textFill>
            <w14:solidFill>
              <w14:schemeClr w14:val="tx1"/>
            </w14:solidFill>
          </w14:textFill>
        </w:rPr>
        <w:t>6.2 中、长期整改内容及实施计划</w:t>
      </w:r>
      <w:bookmarkEnd w:id="294"/>
      <w:bookmarkEnd w:id="295"/>
      <w:bookmarkEnd w:id="296"/>
      <w:bookmarkEnd w:id="297"/>
      <w:bookmarkEnd w:id="298"/>
      <w:bookmarkEnd w:id="299"/>
    </w:p>
    <w:p>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公司列入中、长期整改内容及实施计划见表6-2。</w:t>
      </w:r>
    </w:p>
    <w:p>
      <w:pPr>
        <w:adjustRightInd w:val="0"/>
        <w:snapToGrid w:val="0"/>
        <w:spacing w:line="500" w:lineRule="exact"/>
        <w:jc w:val="center"/>
        <w:rPr>
          <w:rFonts w:eastAsia="宋体"/>
          <w:b/>
          <w:bCs/>
        </w:rPr>
      </w:pPr>
      <w:r>
        <w:rPr>
          <w:rFonts w:eastAsia="宋体"/>
          <w:b/>
          <w:bCs/>
        </w:rPr>
        <w:t>表6-2 中、长期整改内容及实施计划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pPr>
              <w:adjustRightInd w:val="0"/>
              <w:snapToGrid w:val="0"/>
              <w:jc w:val="center"/>
              <w:rPr>
                <w:rFonts w:eastAsia="宋体"/>
                <w:sz w:val="21"/>
                <w:szCs w:val="21"/>
              </w:rPr>
            </w:pPr>
            <w:r>
              <w:rPr>
                <w:rFonts w:eastAsia="宋体"/>
                <w:sz w:val="21"/>
                <w:szCs w:val="21"/>
              </w:rPr>
              <w:t>序号</w:t>
            </w:r>
          </w:p>
        </w:tc>
        <w:tc>
          <w:tcPr>
            <w:tcW w:w="1368" w:type="pct"/>
            <w:tcBorders>
              <w:tl2br w:val="nil"/>
              <w:tr2bl w:val="nil"/>
            </w:tcBorders>
            <w:vAlign w:val="center"/>
          </w:tcPr>
          <w:p>
            <w:pPr>
              <w:adjustRightInd w:val="0"/>
              <w:snapToGrid w:val="0"/>
              <w:jc w:val="center"/>
              <w:rPr>
                <w:rFonts w:eastAsia="宋体"/>
                <w:sz w:val="21"/>
                <w:szCs w:val="21"/>
              </w:rPr>
            </w:pPr>
            <w:r>
              <w:rPr>
                <w:rFonts w:eastAsia="宋体"/>
                <w:sz w:val="21"/>
                <w:szCs w:val="21"/>
              </w:rPr>
              <w:t>问题</w:t>
            </w:r>
          </w:p>
        </w:tc>
        <w:tc>
          <w:tcPr>
            <w:tcW w:w="1792" w:type="pct"/>
            <w:tcBorders>
              <w:tl2br w:val="nil"/>
              <w:tr2bl w:val="nil"/>
            </w:tcBorders>
            <w:vAlign w:val="center"/>
          </w:tcPr>
          <w:p>
            <w:pPr>
              <w:adjustRightInd w:val="0"/>
              <w:snapToGrid w:val="0"/>
              <w:jc w:val="center"/>
              <w:rPr>
                <w:rFonts w:eastAsia="宋体"/>
                <w:sz w:val="21"/>
                <w:szCs w:val="21"/>
              </w:rPr>
            </w:pPr>
            <w:r>
              <w:rPr>
                <w:rFonts w:eastAsia="宋体"/>
                <w:sz w:val="21"/>
                <w:szCs w:val="21"/>
              </w:rPr>
              <w:t>整改方案</w:t>
            </w:r>
          </w:p>
        </w:tc>
        <w:tc>
          <w:tcPr>
            <w:tcW w:w="850" w:type="pct"/>
            <w:tcBorders>
              <w:tl2br w:val="nil"/>
              <w:tr2bl w:val="nil"/>
            </w:tcBorders>
            <w:vAlign w:val="center"/>
          </w:tcPr>
          <w:p>
            <w:pPr>
              <w:adjustRightInd w:val="0"/>
              <w:snapToGrid w:val="0"/>
              <w:jc w:val="center"/>
              <w:rPr>
                <w:rFonts w:eastAsia="宋体"/>
                <w:sz w:val="21"/>
                <w:szCs w:val="21"/>
              </w:rPr>
            </w:pPr>
            <w:r>
              <w:rPr>
                <w:rFonts w:eastAsia="宋体"/>
                <w:sz w:val="21"/>
                <w:szCs w:val="21"/>
              </w:rPr>
              <w:t>完成时间</w:t>
            </w:r>
          </w:p>
        </w:tc>
        <w:tc>
          <w:tcPr>
            <w:tcW w:w="570" w:type="pct"/>
            <w:tcBorders>
              <w:tl2br w:val="nil"/>
              <w:tr2bl w:val="nil"/>
            </w:tcBorders>
            <w:vAlign w:val="center"/>
          </w:tcPr>
          <w:p>
            <w:pPr>
              <w:adjustRightInd w:val="0"/>
              <w:snapToGrid w:val="0"/>
              <w:jc w:val="center"/>
              <w:rPr>
                <w:rFonts w:eastAsia="宋体"/>
                <w:sz w:val="21"/>
                <w:szCs w:val="21"/>
              </w:rPr>
            </w:pPr>
            <w:r>
              <w:rPr>
                <w:rFonts w:eastAsia="宋体"/>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5" w:hRule="atLeast"/>
          <w:jc w:val="center"/>
        </w:trPr>
        <w:tc>
          <w:tcPr>
            <w:tcW w:w="417" w:type="pct"/>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1</w:t>
            </w:r>
          </w:p>
        </w:tc>
        <w:tc>
          <w:tcPr>
            <w:tcW w:w="1368"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公司未开展应急法律法规的宣传工作，也未对职工进行环境风险和环境应急管理方面“一案三制”的培训</w:t>
            </w:r>
          </w:p>
        </w:tc>
        <w:tc>
          <w:tcPr>
            <w:tcW w:w="1792" w:type="pct"/>
            <w:tcBorders>
              <w:tl2br w:val="nil"/>
              <w:tr2bl w:val="nil"/>
            </w:tcBorders>
            <w:vAlign w:val="center"/>
          </w:tcPr>
          <w:p>
            <w:pPr>
              <w:adjustRightInd w:val="0"/>
              <w:snapToGrid w:val="0"/>
              <w:jc w:val="center"/>
              <w:rPr>
                <w:rFonts w:eastAsia="宋体"/>
                <w:sz w:val="21"/>
                <w:szCs w:val="21"/>
              </w:rPr>
            </w:pPr>
            <w:r>
              <w:rPr>
                <w:rFonts w:eastAsia="宋体"/>
                <w:sz w:val="21"/>
                <w:szCs w:val="21"/>
              </w:rPr>
              <w:t>对员工加强应急预案宣传和培训并组织演练</w:t>
            </w:r>
          </w:p>
        </w:tc>
        <w:tc>
          <w:tcPr>
            <w:tcW w:w="850" w:type="pct"/>
            <w:tcBorders>
              <w:tl2br w:val="nil"/>
              <w:tr2bl w:val="nil"/>
            </w:tcBorders>
            <w:vAlign w:val="center"/>
          </w:tcPr>
          <w:p>
            <w:pPr>
              <w:adjustRightInd w:val="0"/>
              <w:snapToGrid w:val="0"/>
              <w:jc w:val="center"/>
              <w:rPr>
                <w:rFonts w:eastAsia="宋体"/>
                <w:sz w:val="21"/>
                <w:szCs w:val="21"/>
              </w:rPr>
            </w:pPr>
            <w:r>
              <w:rPr>
                <w:rFonts w:eastAsia="宋体"/>
                <w:sz w:val="21"/>
                <w:szCs w:val="21"/>
              </w:rPr>
              <w:t>202</w:t>
            </w:r>
            <w:r>
              <w:rPr>
                <w:rFonts w:hint="eastAsia" w:eastAsia="宋体"/>
                <w:sz w:val="21"/>
                <w:szCs w:val="21"/>
                <w:lang w:val="en-US" w:eastAsia="zh-CN"/>
              </w:rPr>
              <w:t>3</w:t>
            </w:r>
            <w:r>
              <w:rPr>
                <w:rFonts w:eastAsia="宋体"/>
                <w:sz w:val="21"/>
                <w:szCs w:val="21"/>
              </w:rPr>
              <w:t>年</w:t>
            </w:r>
            <w:r>
              <w:rPr>
                <w:rFonts w:hint="eastAsia" w:eastAsia="宋体"/>
                <w:sz w:val="21"/>
                <w:szCs w:val="21"/>
                <w:lang w:val="en-US" w:eastAsia="zh-CN"/>
              </w:rPr>
              <w:t>3</w:t>
            </w:r>
            <w:r>
              <w:rPr>
                <w:rFonts w:eastAsia="宋体"/>
                <w:sz w:val="21"/>
                <w:szCs w:val="21"/>
              </w:rPr>
              <w:t>月</w:t>
            </w:r>
          </w:p>
        </w:tc>
        <w:tc>
          <w:tcPr>
            <w:tcW w:w="570" w:type="pct"/>
            <w:tcBorders>
              <w:tl2br w:val="nil"/>
              <w:tr2bl w:val="nil"/>
            </w:tcBorders>
            <w:vAlign w:val="center"/>
          </w:tcPr>
          <w:p>
            <w:pPr>
              <w:adjustRightInd w:val="0"/>
              <w:snapToGrid w:val="0"/>
              <w:jc w:val="center"/>
              <w:rPr>
                <w:rFonts w:hint="eastAsia" w:eastAsia="宋体"/>
                <w:sz w:val="21"/>
                <w:szCs w:val="21"/>
                <w:lang w:eastAsia="zh-CN"/>
              </w:rPr>
            </w:pPr>
            <w:r>
              <w:rPr>
                <w:rFonts w:hint="eastAsia" w:eastAsia="宋体"/>
                <w:color w:val="000000"/>
                <w:sz w:val="21"/>
                <w:szCs w:val="21"/>
                <w:lang w:eastAsia="zh-CN"/>
              </w:rPr>
              <w:t>邱家锋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eastAsia="宋体"/>
                <w:sz w:val="21"/>
                <w:szCs w:val="21"/>
              </w:rPr>
            </w:pPr>
            <w:r>
              <w:rPr>
                <w:rFonts w:hint="eastAsia" w:eastAsia="宋体"/>
                <w:sz w:val="21"/>
                <w:szCs w:val="21"/>
              </w:rPr>
              <w:t>2</w:t>
            </w:r>
          </w:p>
        </w:tc>
        <w:tc>
          <w:tcPr>
            <w:tcW w:w="1368" w:type="pct"/>
            <w:tcBorders>
              <w:tl2br w:val="nil"/>
              <w:tr2bl w:val="nil"/>
            </w:tcBorders>
            <w:vAlign w:val="center"/>
          </w:tcPr>
          <w:p>
            <w:pPr>
              <w:tabs>
                <w:tab w:val="left" w:pos="432"/>
              </w:tabs>
              <w:adjustRightInd w:val="0"/>
              <w:snapToGrid w:val="0"/>
              <w:jc w:val="center"/>
              <w:rPr>
                <w:rFonts w:eastAsia="宋体"/>
                <w:sz w:val="21"/>
                <w:szCs w:val="21"/>
              </w:rPr>
            </w:pPr>
            <w:r>
              <w:rPr>
                <w:rFonts w:eastAsia="宋体"/>
                <w:sz w:val="21"/>
                <w:szCs w:val="21"/>
              </w:rPr>
              <w:t>需要进行进一步的宣传工作，确保周边敏感目标对应急疏散的措施和手段有所了解</w:t>
            </w:r>
          </w:p>
        </w:tc>
        <w:tc>
          <w:tcPr>
            <w:tcW w:w="1792" w:type="pct"/>
            <w:tcBorders>
              <w:tl2br w:val="nil"/>
              <w:tr2bl w:val="nil"/>
            </w:tcBorders>
            <w:vAlign w:val="center"/>
          </w:tcPr>
          <w:p>
            <w:pPr>
              <w:adjustRightInd w:val="0"/>
              <w:snapToGrid w:val="0"/>
              <w:jc w:val="center"/>
              <w:rPr>
                <w:rFonts w:eastAsia="宋体"/>
                <w:sz w:val="21"/>
                <w:szCs w:val="21"/>
              </w:rPr>
            </w:pPr>
            <w:r>
              <w:rPr>
                <w:rFonts w:eastAsia="宋体"/>
                <w:sz w:val="21"/>
                <w:szCs w:val="21"/>
              </w:rPr>
              <w:t>加强宣传工作，可印制宣传手册分发至周边敏感目标</w:t>
            </w:r>
          </w:p>
        </w:tc>
        <w:tc>
          <w:tcPr>
            <w:tcW w:w="850" w:type="pct"/>
            <w:tcBorders>
              <w:tl2br w:val="nil"/>
              <w:tr2bl w:val="nil"/>
            </w:tcBorders>
            <w:vAlign w:val="center"/>
          </w:tcPr>
          <w:p>
            <w:pPr>
              <w:adjustRightInd w:val="0"/>
              <w:snapToGrid w:val="0"/>
              <w:jc w:val="center"/>
              <w:rPr>
                <w:rFonts w:eastAsia="宋体"/>
                <w:sz w:val="21"/>
                <w:szCs w:val="21"/>
              </w:rPr>
            </w:pPr>
            <w:r>
              <w:rPr>
                <w:rFonts w:eastAsia="宋体"/>
                <w:sz w:val="21"/>
                <w:szCs w:val="21"/>
              </w:rPr>
              <w:t>202</w:t>
            </w:r>
            <w:r>
              <w:rPr>
                <w:rFonts w:hint="eastAsia" w:eastAsia="宋体"/>
                <w:sz w:val="21"/>
                <w:szCs w:val="21"/>
              </w:rPr>
              <w:t>3</w:t>
            </w:r>
            <w:r>
              <w:rPr>
                <w:rFonts w:eastAsia="宋体"/>
                <w:sz w:val="21"/>
                <w:szCs w:val="21"/>
              </w:rPr>
              <w:t>年</w:t>
            </w:r>
            <w:r>
              <w:rPr>
                <w:rFonts w:hint="eastAsia" w:eastAsia="宋体"/>
                <w:sz w:val="21"/>
                <w:szCs w:val="21"/>
                <w:lang w:val="en-US" w:eastAsia="zh-CN"/>
              </w:rPr>
              <w:t>6</w:t>
            </w:r>
            <w:r>
              <w:rPr>
                <w:rFonts w:eastAsia="宋体"/>
                <w:sz w:val="21"/>
                <w:szCs w:val="21"/>
              </w:rPr>
              <w:t>月</w:t>
            </w:r>
          </w:p>
        </w:tc>
        <w:tc>
          <w:tcPr>
            <w:tcW w:w="570" w:type="pct"/>
            <w:tcBorders>
              <w:tl2br w:val="nil"/>
              <w:tr2bl w:val="nil"/>
            </w:tcBorders>
            <w:vAlign w:val="center"/>
          </w:tcPr>
          <w:p>
            <w:pPr>
              <w:adjustRightInd w:val="0"/>
              <w:snapToGrid w:val="0"/>
              <w:jc w:val="center"/>
              <w:rPr>
                <w:rFonts w:hint="eastAsia" w:eastAsia="宋体"/>
                <w:sz w:val="21"/>
                <w:szCs w:val="21"/>
                <w:lang w:eastAsia="zh-CN"/>
              </w:rPr>
            </w:pPr>
            <w:r>
              <w:rPr>
                <w:rFonts w:hint="eastAsia" w:eastAsia="宋体"/>
                <w:color w:val="000000"/>
                <w:sz w:val="21"/>
                <w:szCs w:val="21"/>
                <w:lang w:eastAsia="zh-CN"/>
              </w:rPr>
              <w:t>邱家锋</w:t>
            </w:r>
          </w:p>
        </w:tc>
      </w:tr>
    </w:tbl>
    <w:p>
      <w:pPr>
        <w:adjustRightInd w:val="0"/>
        <w:snapToGrid w:val="0"/>
        <w:spacing w:line="500" w:lineRule="exact"/>
        <w:ind w:firstLine="480" w:firstLineChars="200"/>
        <w:jc w:val="left"/>
        <w:rPr>
          <w:rFonts w:ascii="宋体" w:hAnsi="宋体" w:eastAsia="宋体" w:cs="宋体"/>
        </w:rPr>
      </w:pPr>
    </w:p>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cols w:space="720" w:num="1"/>
          <w:docGrid w:linePitch="326" w:charSpace="0"/>
        </w:sectPr>
      </w:pPr>
    </w:p>
    <w:bookmarkEnd w:id="273"/>
    <w:bookmarkEnd w:id="274"/>
    <w:p>
      <w:pPr>
        <w:pStyle w:val="3"/>
        <w:adjustRightInd w:val="0"/>
        <w:snapToGrid w:val="0"/>
        <w:spacing w:line="500" w:lineRule="exact"/>
        <w:rPr>
          <w:rFonts w:eastAsia="宋体"/>
          <w:sz w:val="24"/>
          <w:szCs w:val="24"/>
        </w:rPr>
      </w:pPr>
      <w:bookmarkStart w:id="300" w:name="_Toc535516085"/>
      <w:bookmarkStart w:id="301" w:name="_Toc12711"/>
      <w:bookmarkStart w:id="302" w:name="_Toc8571"/>
      <w:bookmarkStart w:id="303" w:name="_Toc22418"/>
      <w:bookmarkStart w:id="304" w:name="_Toc24013"/>
      <w:bookmarkStart w:id="305" w:name="_Toc353379552"/>
      <w:r>
        <w:rPr>
          <w:rFonts w:hint="eastAsia" w:eastAsia="宋体"/>
          <w:sz w:val="24"/>
          <w:szCs w:val="24"/>
        </w:rPr>
        <w:t>7 企业突发环境事件风险等级</w:t>
      </w:r>
      <w:bookmarkEnd w:id="300"/>
      <w:bookmarkEnd w:id="301"/>
      <w:bookmarkEnd w:id="302"/>
      <w:bookmarkEnd w:id="303"/>
      <w:bookmarkEnd w:id="304"/>
    </w:p>
    <w:p>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306" w:name="_Toc510102127"/>
      <w:bookmarkStart w:id="307" w:name="_Toc535516086"/>
      <w:bookmarkStart w:id="308" w:name="_Toc31961"/>
      <w:bookmarkStart w:id="309" w:name="_Toc534722043"/>
      <w:bookmarkStart w:id="310" w:name="_Toc1190"/>
      <w:bookmarkStart w:id="311" w:name="_Toc8659"/>
      <w:bookmarkStart w:id="312" w:name="_Toc10459"/>
      <w:bookmarkStart w:id="313" w:name="_Toc23014"/>
      <w:r>
        <w:rPr>
          <w:rFonts w:hint="eastAsia" w:eastAsia="宋体"/>
          <w:color w:val="000000" w:themeColor="text1"/>
          <w:sz w:val="24"/>
          <w:szCs w:val="24"/>
          <w14:textFill>
            <w14:solidFill>
              <w14:schemeClr w14:val="tx1"/>
            </w14:solidFill>
          </w14:textFill>
        </w:rPr>
        <w:t xml:space="preserve">7.1 </w:t>
      </w:r>
      <w:bookmarkEnd w:id="306"/>
      <w:bookmarkEnd w:id="307"/>
      <w:bookmarkEnd w:id="308"/>
      <w:bookmarkEnd w:id="309"/>
      <w:bookmarkEnd w:id="310"/>
      <w:r>
        <w:rPr>
          <w:rFonts w:hint="eastAsia" w:eastAsia="宋体"/>
          <w:color w:val="000000" w:themeColor="text1"/>
          <w:sz w:val="24"/>
          <w:szCs w:val="24"/>
          <w14:textFill>
            <w14:solidFill>
              <w14:schemeClr w14:val="tx1"/>
            </w14:solidFill>
          </w14:textFill>
        </w:rPr>
        <w:t>企业突发大气环境事件风险等级</w:t>
      </w:r>
      <w:bookmarkEnd w:id="311"/>
      <w:bookmarkEnd w:id="312"/>
      <w:bookmarkEnd w:id="313"/>
    </w:p>
    <w:p>
      <w:pPr>
        <w:pStyle w:val="2"/>
        <w:adjustRightInd w:val="0"/>
        <w:snapToGrid w:val="0"/>
        <w:spacing w:line="500" w:lineRule="exact"/>
        <w:jc w:val="left"/>
        <w:rPr>
          <w:rFonts w:eastAsia="宋体"/>
          <w:color w:val="000000" w:themeColor="text1"/>
          <w14:textFill>
            <w14:solidFill>
              <w14:schemeClr w14:val="tx1"/>
            </w14:solidFill>
          </w14:textFill>
        </w:rPr>
      </w:pPr>
      <w:bookmarkStart w:id="314" w:name="_Toc3108"/>
      <w:bookmarkStart w:id="315" w:name="_Toc14978"/>
      <w:bookmarkStart w:id="316" w:name="_Toc32695"/>
      <w:r>
        <w:rPr>
          <w:rFonts w:hint="eastAsia" w:eastAsia="宋体"/>
          <w:color w:val="000000" w:themeColor="text1"/>
          <w14:textFill>
            <w14:solidFill>
              <w14:schemeClr w14:val="tx1"/>
            </w14:solidFill>
          </w14:textFill>
        </w:rPr>
        <w:t>7.1.1 涉气风险物质数量与临界值比值（Q）</w:t>
      </w:r>
      <w:bookmarkEnd w:id="314"/>
      <w:bookmarkEnd w:id="315"/>
      <w:bookmarkEnd w:id="316"/>
    </w:p>
    <w:p>
      <w:pPr>
        <w:pStyle w:val="13"/>
        <w:spacing w:after="0" w:line="500" w:lineRule="exact"/>
        <w:ind w:firstLine="480" w:firstLineChars="200"/>
        <w:rPr>
          <w:rFonts w:eastAsia="宋体"/>
        </w:rPr>
      </w:pPr>
      <w:r>
        <w:rPr>
          <w:rFonts w:eastAsia="宋体"/>
        </w:rPr>
        <w:t>企业生产原料、成品、辅助生产物料、燃料、“三废”污染物等是否涉及大气</w:t>
      </w:r>
      <w:r>
        <w:rPr>
          <w:rFonts w:eastAsia="宋体"/>
          <w:spacing w:val="-5"/>
        </w:rPr>
        <w:t>环境风险物质</w:t>
      </w:r>
      <w:r>
        <w:rPr>
          <w:rFonts w:eastAsia="宋体"/>
        </w:rPr>
        <w:t>（</w:t>
      </w:r>
      <w:r>
        <w:rPr>
          <w:rFonts w:eastAsia="宋体"/>
          <w:spacing w:val="-1"/>
        </w:rPr>
        <w:t>混合或稀释的风险物质按其组分比例折算成纯物质</w:t>
      </w:r>
      <w:r>
        <w:rPr>
          <w:rFonts w:eastAsia="宋体"/>
          <w:spacing w:val="-31"/>
        </w:rPr>
        <w:t>）</w:t>
      </w:r>
      <w:r>
        <w:rPr>
          <w:rFonts w:eastAsia="宋体"/>
          <w:spacing w:val="-8"/>
        </w:rPr>
        <w:t>，计算涉气</w:t>
      </w:r>
      <w:r>
        <w:rPr>
          <w:rFonts w:eastAsia="宋体"/>
          <w:spacing w:val="-17"/>
        </w:rPr>
        <w:t>风险物质在厂界内的存在量</w:t>
      </w:r>
      <w:r>
        <w:rPr>
          <w:rFonts w:eastAsia="宋体"/>
        </w:rPr>
        <w:t>（</w:t>
      </w:r>
      <w:r>
        <w:rPr>
          <w:rFonts w:eastAsia="宋体"/>
          <w:spacing w:val="-10"/>
        </w:rPr>
        <w:t>如存在量呈动态变化，则按年度内最大存在量计算</w:t>
      </w:r>
      <w:r>
        <w:rPr>
          <w:rFonts w:eastAsia="宋体"/>
          <w:spacing w:val="-16"/>
        </w:rPr>
        <w:t>）</w:t>
      </w:r>
      <w:r>
        <w:rPr>
          <w:rFonts w:eastAsia="宋体"/>
          <w:spacing w:val="-3"/>
        </w:rPr>
        <w:t>与其在附录</w:t>
      </w:r>
      <w:r>
        <w:rPr>
          <w:rFonts w:eastAsia="宋体"/>
        </w:rPr>
        <w:t>A中临界量的比值Q：</w:t>
      </w:r>
    </w:p>
    <w:p>
      <w:pPr>
        <w:pStyle w:val="13"/>
        <w:spacing w:after="0" w:line="500" w:lineRule="exact"/>
        <w:ind w:firstLine="480" w:firstLineChars="200"/>
        <w:rPr>
          <w:rFonts w:eastAsia="宋体"/>
        </w:rPr>
      </w:pPr>
      <w:r>
        <w:rPr>
          <w:rFonts w:eastAsia="宋体"/>
        </w:rPr>
        <w:t>1、当企业只涉及一种化学物质时，该物质的总数量与其临界量比值，即为Q。</w:t>
      </w:r>
    </w:p>
    <w:p>
      <w:pPr>
        <w:pStyle w:val="13"/>
        <w:spacing w:after="0" w:line="500" w:lineRule="exact"/>
        <w:ind w:firstLine="480" w:firstLineChars="200"/>
        <w:rPr>
          <w:rFonts w:eastAsia="宋体"/>
        </w:rPr>
      </w:pPr>
      <w:r>
        <w:rPr>
          <w:rFonts w:eastAsia="宋体"/>
        </w:rPr>
        <w:t>2、当企业存在多种化学物质时，则按式（1）计算物质数量与其临界量比值（Q）：</w:t>
      </w:r>
    </w:p>
    <w:p>
      <w:pPr>
        <w:pStyle w:val="13"/>
        <w:spacing w:after="0" w:line="500" w:lineRule="exact"/>
        <w:ind w:firstLine="480" w:firstLineChars="200"/>
        <w:rPr>
          <w:rFonts w:eastAsia="宋体"/>
        </w:rPr>
      </w:pPr>
      <w:r>
        <w:rPr>
          <w:rFonts w:hint="eastAsia" w:ascii="宋体" w:hAnsi="宋体" w:eastAsia="宋体" w:cs="宋体"/>
        </w:rPr>
        <w:drawing>
          <wp:anchor distT="0" distB="0" distL="0" distR="0" simplePos="0" relativeHeight="251662336"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22"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eastAsia="宋体"/>
        </w:rPr>
        <w:t>式中：w1，w2，……，wn—每种危险物质实际存在量（</w:t>
      </w:r>
      <w:r>
        <w:rPr>
          <w:rFonts w:hint="eastAsia" w:eastAsia="宋体"/>
        </w:rPr>
        <w:t>t</w:t>
      </w:r>
      <w:r>
        <w:rPr>
          <w:rFonts w:eastAsia="宋体"/>
        </w:rPr>
        <w:t>）；</w:t>
      </w:r>
    </w:p>
    <w:p>
      <w:pPr>
        <w:pStyle w:val="13"/>
        <w:spacing w:after="0" w:line="500" w:lineRule="exact"/>
        <w:ind w:firstLine="480" w:firstLineChars="200"/>
        <w:rPr>
          <w:rFonts w:eastAsia="宋体"/>
        </w:rPr>
      </w:pPr>
      <w:r>
        <w:rPr>
          <w:rFonts w:eastAsia="宋体"/>
        </w:rPr>
        <w:t>W1，W</w:t>
      </w:r>
      <w:r>
        <w:rPr>
          <w:rFonts w:hint="eastAsia" w:eastAsia="宋体"/>
        </w:rPr>
        <w:t>2</w:t>
      </w:r>
      <w:r>
        <w:rPr>
          <w:rFonts w:eastAsia="宋体"/>
        </w:rPr>
        <w:t>，……，Wn—与各危险物质相对应的临界量（</w:t>
      </w:r>
      <w:r>
        <w:rPr>
          <w:rFonts w:hint="eastAsia" w:eastAsia="宋体"/>
        </w:rPr>
        <w:t>t</w:t>
      </w:r>
      <w:r>
        <w:rPr>
          <w:rFonts w:eastAsia="宋体"/>
        </w:rPr>
        <w:t>）</w:t>
      </w:r>
      <w:r>
        <w:rPr>
          <w:rFonts w:eastAsia="宋体"/>
          <w:spacing w:val="-16"/>
        </w:rPr>
        <w:t>。</w:t>
      </w:r>
      <w:r>
        <w:rPr>
          <w:rFonts w:eastAsia="宋体"/>
        </w:rPr>
        <w:t>按照数值大小，将Q划分为4个水平：</w:t>
      </w:r>
    </w:p>
    <w:p>
      <w:pPr>
        <w:pStyle w:val="13"/>
        <w:spacing w:after="0" w:line="500" w:lineRule="exact"/>
        <w:ind w:firstLine="480" w:firstLineChars="200"/>
        <w:rPr>
          <w:rFonts w:eastAsia="宋体"/>
        </w:rPr>
      </w:pPr>
      <w:r>
        <w:rPr>
          <w:rFonts w:eastAsia="宋体"/>
        </w:rPr>
        <w:t>（1）Q＜1</w:t>
      </w:r>
      <w:r>
        <w:rPr>
          <w:rFonts w:eastAsia="宋体"/>
          <w:spacing w:val="-1"/>
        </w:rPr>
        <w:t>，以</w:t>
      </w:r>
      <w:r>
        <w:rPr>
          <w:rFonts w:eastAsia="宋体"/>
        </w:rPr>
        <w:t>Q0表示，企业直接评为一般环境风险等级；</w:t>
      </w:r>
    </w:p>
    <w:p>
      <w:pPr>
        <w:pStyle w:val="13"/>
        <w:spacing w:after="0" w:line="500" w:lineRule="exact"/>
        <w:ind w:firstLine="480" w:firstLineChars="200"/>
        <w:rPr>
          <w:rFonts w:eastAsia="宋体"/>
        </w:rPr>
      </w:pPr>
      <w:r>
        <w:rPr>
          <w:rFonts w:eastAsia="宋体"/>
        </w:rPr>
        <w:t>（2）1≤Q＜10</w:t>
      </w:r>
      <w:r>
        <w:rPr>
          <w:rFonts w:eastAsia="宋体"/>
          <w:spacing w:val="-1"/>
        </w:rPr>
        <w:t>，以</w:t>
      </w:r>
      <w:r>
        <w:rPr>
          <w:rFonts w:eastAsia="宋体"/>
        </w:rPr>
        <w:t>Q1表示；</w:t>
      </w:r>
    </w:p>
    <w:p>
      <w:pPr>
        <w:pStyle w:val="13"/>
        <w:spacing w:after="0" w:line="500" w:lineRule="exact"/>
        <w:ind w:firstLine="480" w:firstLineChars="200"/>
        <w:rPr>
          <w:rFonts w:eastAsia="宋体"/>
        </w:rPr>
      </w:pPr>
      <w:r>
        <w:rPr>
          <w:rFonts w:eastAsia="宋体"/>
        </w:rPr>
        <w:t>（3）10≤Q＜100</w:t>
      </w:r>
      <w:r>
        <w:rPr>
          <w:rFonts w:eastAsia="宋体"/>
          <w:spacing w:val="-1"/>
        </w:rPr>
        <w:t>，以</w:t>
      </w:r>
      <w:r>
        <w:rPr>
          <w:rFonts w:eastAsia="宋体"/>
        </w:rPr>
        <w:t>Q2表示；</w:t>
      </w:r>
    </w:p>
    <w:p>
      <w:pPr>
        <w:pStyle w:val="13"/>
        <w:spacing w:after="0" w:line="500" w:lineRule="exact"/>
        <w:ind w:firstLine="480" w:firstLineChars="200"/>
        <w:rPr>
          <w:rFonts w:eastAsia="宋体"/>
        </w:rPr>
      </w:pPr>
      <w:r>
        <w:rPr>
          <w:rFonts w:eastAsia="宋体"/>
        </w:rPr>
        <w:t>（4）Q≥100</w:t>
      </w:r>
      <w:r>
        <w:rPr>
          <w:rFonts w:eastAsia="宋体"/>
          <w:spacing w:val="-1"/>
        </w:rPr>
        <w:t>，以</w:t>
      </w:r>
      <w:r>
        <w:rPr>
          <w:rFonts w:eastAsia="宋体"/>
        </w:rPr>
        <w:t>Q3表示。</w:t>
      </w:r>
    </w:p>
    <w:p>
      <w:pPr>
        <w:pStyle w:val="5"/>
        <w:spacing w:line="500" w:lineRule="exact"/>
        <w:ind w:firstLine="480"/>
      </w:pPr>
      <w:r>
        <w:rPr>
          <w:rFonts w:eastAsia="宋体"/>
        </w:rPr>
        <w:t>公司涉气环境风险物质有</w:t>
      </w:r>
      <w:r>
        <w:rPr>
          <w:rFonts w:hint="eastAsia" w:eastAsia="宋体"/>
        </w:rPr>
        <w:t>水性漆、固化剂、危废等</w:t>
      </w:r>
      <w:r>
        <w:rPr>
          <w:rFonts w:eastAsia="宋体"/>
        </w:rPr>
        <w:t>，计算情况见表 7-1。</w:t>
      </w:r>
    </w:p>
    <w:p>
      <w:pPr>
        <w:adjustRightInd w:val="0"/>
        <w:snapToGrid w:val="0"/>
        <w:spacing w:line="500" w:lineRule="exact"/>
        <w:jc w:val="center"/>
        <w:rPr>
          <w:rFonts w:eastAsia="宋体"/>
          <w:b/>
          <w:bCs/>
          <w:color w:val="FF0000"/>
        </w:rPr>
      </w:pPr>
      <w:r>
        <w:rPr>
          <w:rFonts w:eastAsia="宋体"/>
          <w:b/>
          <w:bCs/>
        </w:rPr>
        <w:t>表</w:t>
      </w:r>
      <w:r>
        <w:rPr>
          <w:rFonts w:hint="eastAsia" w:eastAsia="宋体"/>
          <w:b/>
          <w:bCs/>
        </w:rPr>
        <w:t>7-1</w:t>
      </w:r>
      <w:r>
        <w:rPr>
          <w:rFonts w:eastAsia="宋体"/>
          <w:b/>
          <w:bCs/>
        </w:rPr>
        <w:t xml:space="preserve"> 涉气环境风险物质Q值计算表</w:t>
      </w:r>
    </w:p>
    <w:tbl>
      <w:tblPr>
        <w:tblStyle w:val="38"/>
        <w:tblW w:w="87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eastAsia="宋体"/>
                <w:sz w:val="21"/>
                <w:szCs w:val="21"/>
              </w:rPr>
            </w:pPr>
            <w:r>
              <w:rPr>
                <w:rFonts w:hint="eastAsia" w:eastAsia="宋体"/>
                <w:sz w:val="21"/>
                <w:szCs w:val="21"/>
              </w:rPr>
              <w:t>油漆仓库</w:t>
            </w: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水性透明底漆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6</w:t>
            </w:r>
          </w:p>
        </w:tc>
        <w:tc>
          <w:tcPr>
            <w:tcW w:w="1249" w:type="dxa"/>
            <w:tcBorders>
              <w:tl2br w:val="nil"/>
              <w:tr2bl w:val="nil"/>
            </w:tcBorders>
            <w:vAlign w:val="center"/>
          </w:tcPr>
          <w:p>
            <w:pPr>
              <w:pStyle w:val="142"/>
              <w:rPr>
                <w:rFonts w:ascii="Times New Roman"/>
                <w:sz w:val="21"/>
              </w:rPr>
            </w:pPr>
            <w:r>
              <w:rPr>
                <w:rFonts w:hint="eastAsia" w:ascii="Times New Roman"/>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水性白底漆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4</w:t>
            </w:r>
          </w:p>
        </w:tc>
        <w:tc>
          <w:tcPr>
            <w:tcW w:w="1249" w:type="dxa"/>
            <w:tcBorders>
              <w:tl2br w:val="nil"/>
              <w:tr2bl w:val="nil"/>
            </w:tcBorders>
            <w:vAlign w:val="center"/>
          </w:tcPr>
          <w:p>
            <w:pPr>
              <w:pStyle w:val="142"/>
              <w:rPr>
                <w:rFonts w:ascii="Times New Roman"/>
                <w:sz w:val="21"/>
              </w:rPr>
            </w:pPr>
            <w:r>
              <w:rPr>
                <w:rFonts w:hint="eastAsia" w:ascii="Times New Roman"/>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水性清面漆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0.2</w:t>
            </w:r>
          </w:p>
        </w:tc>
        <w:tc>
          <w:tcPr>
            <w:tcW w:w="1249" w:type="dxa"/>
            <w:tcBorders>
              <w:tl2br w:val="nil"/>
              <w:tr2bl w:val="nil"/>
            </w:tcBorders>
            <w:vAlign w:val="center"/>
          </w:tcPr>
          <w:p>
            <w:pPr>
              <w:pStyle w:val="142"/>
              <w:rPr>
                <w:rFonts w:ascii="Times New Roman"/>
                <w:sz w:val="21"/>
              </w:rPr>
            </w:pPr>
            <w:r>
              <w:rPr>
                <w:rFonts w:hint="eastAsia" w:ascii="Times New Roman"/>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水性白面漆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0.2</w:t>
            </w:r>
          </w:p>
        </w:tc>
        <w:tc>
          <w:tcPr>
            <w:tcW w:w="1249" w:type="dxa"/>
            <w:tcBorders>
              <w:tl2br w:val="nil"/>
              <w:tr2bl w:val="nil"/>
            </w:tcBorders>
            <w:vAlign w:val="center"/>
          </w:tcPr>
          <w:p>
            <w:pPr>
              <w:pStyle w:val="142"/>
              <w:rPr>
                <w:rFonts w:ascii="Times New Roman"/>
                <w:sz w:val="21"/>
              </w:rPr>
            </w:pPr>
            <w:r>
              <w:rPr>
                <w:rFonts w:hint="eastAsia" w:ascii="Times New Roman"/>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水性漆用固化剂</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0.2</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白乳胶</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水性喷胶</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rPr>
              <w:t>0.0</w:t>
            </w:r>
            <w:r>
              <w:rPr>
                <w:rFonts w:hint="eastAsia" w:eastAsia="宋体"/>
                <w:sz w:val="21"/>
                <w:szCs w:val="21"/>
                <w:lang w:val="en-US" w:eastAsia="zh-CN"/>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eastAsia="宋体"/>
                <w:sz w:val="21"/>
                <w:szCs w:val="21"/>
              </w:rPr>
            </w:pPr>
            <w:r>
              <w:rPr>
                <w:rFonts w:hint="eastAsia" w:eastAsia="宋体"/>
                <w:sz w:val="21"/>
                <w:szCs w:val="21"/>
              </w:rPr>
              <w:t>生产车间</w:t>
            </w: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水性透明底漆</w:t>
            </w:r>
          </w:p>
        </w:tc>
        <w:tc>
          <w:tcPr>
            <w:tcW w:w="1567"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w:t>
            </w:r>
          </w:p>
        </w:tc>
        <w:tc>
          <w:tcPr>
            <w:tcW w:w="1249"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水性白底漆</w:t>
            </w:r>
          </w:p>
        </w:tc>
        <w:tc>
          <w:tcPr>
            <w:tcW w:w="1567"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w:t>
            </w:r>
          </w:p>
        </w:tc>
        <w:tc>
          <w:tcPr>
            <w:tcW w:w="1249"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水性清面漆</w:t>
            </w:r>
          </w:p>
        </w:tc>
        <w:tc>
          <w:tcPr>
            <w:tcW w:w="1567"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w:t>
            </w:r>
          </w:p>
        </w:tc>
        <w:tc>
          <w:tcPr>
            <w:tcW w:w="1249"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水性白面漆</w:t>
            </w:r>
          </w:p>
        </w:tc>
        <w:tc>
          <w:tcPr>
            <w:tcW w:w="1567"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w:t>
            </w:r>
          </w:p>
        </w:tc>
        <w:tc>
          <w:tcPr>
            <w:tcW w:w="1249"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水性漆用固化剂</w:t>
            </w:r>
          </w:p>
        </w:tc>
        <w:tc>
          <w:tcPr>
            <w:tcW w:w="1567" w:type="dxa"/>
            <w:tcBorders>
              <w:tl2br w:val="nil"/>
              <w:tr2bl w:val="nil"/>
            </w:tcBorders>
            <w:vAlign w:val="center"/>
          </w:tcPr>
          <w:p>
            <w:pPr>
              <w:pStyle w:val="142"/>
              <w:rPr>
                <w:rFonts w:hint="eastAsia"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白乳胶</w:t>
            </w:r>
          </w:p>
        </w:tc>
        <w:tc>
          <w:tcPr>
            <w:tcW w:w="1567" w:type="dxa"/>
            <w:tcBorders>
              <w:tl2br w:val="nil"/>
              <w:tr2bl w:val="nil"/>
            </w:tcBorders>
            <w:vAlign w:val="center"/>
          </w:tcPr>
          <w:p>
            <w:pPr>
              <w:pStyle w:val="142"/>
              <w:rPr>
                <w:rFonts w:hint="eastAsia"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0.025</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水性喷胶</w:t>
            </w:r>
          </w:p>
        </w:tc>
        <w:tc>
          <w:tcPr>
            <w:tcW w:w="1567" w:type="dxa"/>
            <w:tcBorders>
              <w:tl2br w:val="nil"/>
              <w:tr2bl w:val="nil"/>
            </w:tcBorders>
            <w:vAlign w:val="center"/>
          </w:tcPr>
          <w:p>
            <w:pPr>
              <w:pStyle w:val="142"/>
              <w:rPr>
                <w:rFonts w:hint="eastAsia"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0.025</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rPr>
              <w:t>0.00</w:t>
            </w:r>
            <w:r>
              <w:rPr>
                <w:rFonts w:hint="eastAsia" w:eastAsia="宋体"/>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eastAsia="宋体"/>
                <w:sz w:val="21"/>
                <w:szCs w:val="21"/>
              </w:rPr>
            </w:pPr>
            <w:r>
              <w:rPr>
                <w:rFonts w:hint="eastAsia" w:eastAsia="宋体"/>
                <w:sz w:val="21"/>
                <w:szCs w:val="21"/>
              </w:rPr>
              <w:t>危废仓库</w:t>
            </w:r>
          </w:p>
        </w:tc>
        <w:tc>
          <w:tcPr>
            <w:tcW w:w="1538"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lang w:val="zh-CN"/>
              </w:rPr>
              <w:t>漆渣</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2</w:t>
            </w:r>
          </w:p>
        </w:tc>
        <w:tc>
          <w:tcPr>
            <w:tcW w:w="1249" w:type="dxa"/>
            <w:tcBorders>
              <w:tl2br w:val="nil"/>
              <w:tr2bl w:val="nil"/>
            </w:tcBorders>
            <w:vAlign w:val="center"/>
          </w:tcPr>
          <w:p>
            <w:pPr>
              <w:pStyle w:val="142"/>
              <w:rPr>
                <w:rFonts w:ascii="Times New Roman"/>
                <w:sz w:val="21"/>
              </w:rPr>
            </w:pPr>
            <w:r>
              <w:rPr>
                <w:rFonts w:hint="eastAsia" w:ascii="Times New Roman"/>
                <w:sz w:val="21"/>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rPr>
              <w:t>0.0</w:t>
            </w:r>
            <w:r>
              <w:rPr>
                <w:rFonts w:hint="eastAsia" w:ascii="Times New Roman"/>
                <w:sz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lang w:val="zh-CN"/>
              </w:rPr>
              <w:t>废刷子</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0.02</w:t>
            </w:r>
          </w:p>
        </w:tc>
        <w:tc>
          <w:tcPr>
            <w:tcW w:w="1249" w:type="dxa"/>
            <w:tcBorders>
              <w:tl2br w:val="nil"/>
              <w:tr2bl w:val="nil"/>
            </w:tcBorders>
            <w:vAlign w:val="center"/>
          </w:tcPr>
          <w:p>
            <w:pPr>
              <w:pStyle w:val="142"/>
              <w:rPr>
                <w:rFonts w:ascii="Times New Roman"/>
                <w:sz w:val="21"/>
              </w:rPr>
            </w:pPr>
            <w:r>
              <w:rPr>
                <w:rFonts w:hint="eastAsia" w:ascii="Times New Roman"/>
                <w:sz w:val="21"/>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rPr>
              <w:t>0.00</w:t>
            </w:r>
            <w:r>
              <w:rPr>
                <w:rFonts w:hint="eastAsia" w:ascii="Times New Roman"/>
                <w:sz w:val="21"/>
                <w:lang w:val="en-US" w:eastAsia="zh-CN"/>
              </w:rPr>
              <w:t>0</w:t>
            </w:r>
            <w:r>
              <w:rPr>
                <w:rFonts w:hint="eastAsia" w:ascii="Times New Roman"/>
                <w:sz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lang w:val="zh-CN"/>
              </w:rPr>
              <w:t>废包装桶</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0.2</w:t>
            </w:r>
          </w:p>
        </w:tc>
        <w:tc>
          <w:tcPr>
            <w:tcW w:w="1249" w:type="dxa"/>
            <w:tcBorders>
              <w:tl2br w:val="nil"/>
              <w:tr2bl w:val="nil"/>
            </w:tcBorders>
            <w:vAlign w:val="center"/>
          </w:tcPr>
          <w:p>
            <w:pPr>
              <w:pStyle w:val="142"/>
              <w:rPr>
                <w:rFonts w:ascii="Times New Roman"/>
                <w:sz w:val="21"/>
              </w:rPr>
            </w:pPr>
            <w:r>
              <w:rPr>
                <w:rFonts w:hint="eastAsia" w:ascii="Times New Roman"/>
                <w:sz w:val="21"/>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lang w:val="zh-CN"/>
              </w:rPr>
              <w:t>空压机含油废液</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0.05</w:t>
            </w:r>
          </w:p>
        </w:tc>
        <w:tc>
          <w:tcPr>
            <w:tcW w:w="1249" w:type="dxa"/>
            <w:tcBorders>
              <w:tl2br w:val="nil"/>
              <w:tr2bl w:val="nil"/>
            </w:tcBorders>
            <w:vAlign w:val="center"/>
          </w:tcPr>
          <w:p>
            <w:pPr>
              <w:pStyle w:val="142"/>
              <w:rPr>
                <w:rFonts w:ascii="Times New Roman"/>
                <w:sz w:val="21"/>
              </w:rPr>
            </w:pPr>
            <w:r>
              <w:rPr>
                <w:rFonts w:hint="eastAsia" w:ascii="Times New Roman"/>
                <w:sz w:val="21"/>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lang w:val="zh-CN"/>
              </w:rPr>
              <w:t>废过滤棉</w:t>
            </w:r>
          </w:p>
        </w:tc>
        <w:tc>
          <w:tcPr>
            <w:tcW w:w="1567" w:type="dxa"/>
            <w:tcBorders>
              <w:tl2br w:val="nil"/>
              <w:tr2bl w:val="nil"/>
            </w:tcBorders>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0.5</w:t>
            </w:r>
          </w:p>
        </w:tc>
        <w:tc>
          <w:tcPr>
            <w:tcW w:w="1249" w:type="dxa"/>
            <w:tcBorders>
              <w:tl2br w:val="nil"/>
              <w:tr2bl w:val="nil"/>
            </w:tcBorders>
            <w:vAlign w:val="center"/>
          </w:tcPr>
          <w:p>
            <w:pPr>
              <w:pStyle w:val="142"/>
              <w:rPr>
                <w:rFonts w:ascii="Times New Roman"/>
                <w:sz w:val="21"/>
              </w:rPr>
            </w:pPr>
            <w:r>
              <w:rPr>
                <w:rFonts w:hint="eastAsia" w:ascii="Times New Roman"/>
                <w:sz w:val="21"/>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lang w:val="zh-CN"/>
              </w:rPr>
              <w:t>废活性炭</w:t>
            </w:r>
          </w:p>
        </w:tc>
        <w:tc>
          <w:tcPr>
            <w:tcW w:w="1567" w:type="dxa"/>
            <w:tcBorders>
              <w:tl2br w:val="nil"/>
              <w:tr2bl w:val="nil"/>
            </w:tcBorders>
            <w:vAlign w:val="center"/>
          </w:tcPr>
          <w:p>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2.5</w:t>
            </w:r>
          </w:p>
        </w:tc>
        <w:tc>
          <w:tcPr>
            <w:tcW w:w="1249" w:type="dxa"/>
            <w:tcBorders>
              <w:tl2br w:val="nil"/>
              <w:tr2bl w:val="nil"/>
            </w:tcBorders>
            <w:vAlign w:val="center"/>
          </w:tcPr>
          <w:p>
            <w:pPr>
              <w:pStyle w:val="142"/>
              <w:rPr>
                <w:rFonts w:hint="default" w:ascii="Times New Roman" w:eastAsia="宋体"/>
                <w:sz w:val="21"/>
                <w:lang w:val="en-US" w:eastAsia="zh-CN"/>
              </w:rPr>
            </w:pPr>
            <w:r>
              <w:rPr>
                <w:rFonts w:hint="eastAsia" w:ascii="Times New Roman"/>
                <w:sz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0.</w:t>
            </w:r>
            <w:r>
              <w:rPr>
                <w:rFonts w:hint="eastAsia" w:ascii="Times New Roman"/>
                <w:sz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仿宋_GB2312"/>
                <w:sz w:val="21"/>
                <w:szCs w:val="21"/>
                <w:lang w:val="en-US" w:eastAsia="zh-CN"/>
              </w:rPr>
            </w:pPr>
            <w:r>
              <w:rPr>
                <w:rFonts w:hint="eastAsia"/>
                <w:sz w:val="21"/>
              </w:rPr>
              <w:t>0.</w:t>
            </w:r>
            <w:r>
              <w:rPr>
                <w:rFonts w:hint="eastAsia"/>
                <w:sz w:val="21"/>
                <w:lang w:val="en-US" w:eastAsia="zh-CN"/>
              </w:rPr>
              <w:t>1054</w:t>
            </w:r>
          </w:p>
        </w:tc>
      </w:tr>
    </w:tbl>
    <w:p>
      <w:pPr>
        <w:adjustRightInd w:val="0"/>
        <w:snapToGrid w:val="0"/>
        <w:spacing w:line="500" w:lineRule="exact"/>
        <w:ind w:firstLine="480" w:firstLineChars="200"/>
        <w:rPr>
          <w:rFonts w:eastAsia="宋体"/>
        </w:rPr>
      </w:pPr>
      <w:r>
        <w:rPr>
          <w:rFonts w:eastAsia="宋体"/>
        </w:rPr>
        <w:t>根据上述计算，公司涉气风险物质数量与临界量比值为</w:t>
      </w:r>
      <w:r>
        <w:rPr>
          <w:rFonts w:hint="eastAsia" w:eastAsia="宋体"/>
        </w:rPr>
        <w:t>Q=0.0</w:t>
      </w:r>
      <w:r>
        <w:rPr>
          <w:rFonts w:hint="eastAsia" w:eastAsia="宋体"/>
          <w:lang w:val="en-US" w:eastAsia="zh-CN"/>
        </w:rPr>
        <w:t>18</w:t>
      </w:r>
      <w:r>
        <w:rPr>
          <w:rFonts w:hint="eastAsia" w:eastAsia="宋体"/>
        </w:rPr>
        <w:t>+0.00</w:t>
      </w:r>
      <w:r>
        <w:rPr>
          <w:rFonts w:hint="eastAsia" w:eastAsia="宋体"/>
          <w:lang w:val="en-US" w:eastAsia="zh-CN"/>
        </w:rPr>
        <w:t>15</w:t>
      </w:r>
      <w:r>
        <w:rPr>
          <w:rFonts w:hint="eastAsia" w:eastAsia="宋体"/>
        </w:rPr>
        <w:t>+0.</w:t>
      </w:r>
      <w:r>
        <w:rPr>
          <w:rFonts w:hint="eastAsia" w:eastAsia="宋体"/>
          <w:lang w:val="en-US" w:eastAsia="zh-CN"/>
        </w:rPr>
        <w:t>1054</w:t>
      </w:r>
      <w:r>
        <w:rPr>
          <w:rFonts w:hint="eastAsia" w:eastAsia="宋体"/>
        </w:rPr>
        <w:t>=0.</w:t>
      </w:r>
      <w:r>
        <w:rPr>
          <w:rFonts w:hint="eastAsia" w:eastAsia="宋体"/>
          <w:lang w:val="en-US" w:eastAsia="zh-CN"/>
        </w:rPr>
        <w:t>1249</w:t>
      </w:r>
      <w:r>
        <w:rPr>
          <w:rFonts w:eastAsia="宋体"/>
          <w:color w:val="000000" w:themeColor="text1"/>
          <w14:textFill>
            <w14:solidFill>
              <w14:schemeClr w14:val="tx1"/>
            </w14:solidFill>
          </w14:textFill>
        </w:rPr>
        <w:t>，Q＜1，</w:t>
      </w:r>
      <w:r>
        <w:rPr>
          <w:rFonts w:eastAsia="宋体"/>
        </w:rPr>
        <w:t>直接评为一般环境风险等级Q0。</w:t>
      </w:r>
    </w:p>
    <w:p>
      <w:pPr>
        <w:pStyle w:val="2"/>
        <w:adjustRightInd w:val="0"/>
        <w:snapToGrid w:val="0"/>
        <w:spacing w:line="500" w:lineRule="exact"/>
        <w:jc w:val="left"/>
        <w:rPr>
          <w:rFonts w:eastAsia="宋体"/>
          <w:color w:val="000000" w:themeColor="text1"/>
          <w14:textFill>
            <w14:solidFill>
              <w14:schemeClr w14:val="tx1"/>
            </w14:solidFill>
          </w14:textFill>
        </w:rPr>
      </w:pPr>
      <w:bookmarkStart w:id="317" w:name="_Toc818"/>
      <w:bookmarkStart w:id="318" w:name="_Toc8209"/>
      <w:bookmarkStart w:id="319" w:name="_Toc4575"/>
      <w:bookmarkStart w:id="320" w:name="_TOC_250020"/>
      <w:r>
        <w:rPr>
          <w:rFonts w:hint="eastAsia" w:eastAsia="宋体"/>
          <w:color w:val="000000" w:themeColor="text1"/>
          <w14:textFill>
            <w14:solidFill>
              <w14:schemeClr w14:val="tx1"/>
            </w14:solidFill>
          </w14:textFill>
        </w:rPr>
        <w:t>7.1.2 生产工艺过程与大气环境风险控制水平（M）评估</w:t>
      </w:r>
      <w:bookmarkEnd w:id="317"/>
      <w:bookmarkEnd w:id="318"/>
      <w:bookmarkEnd w:id="319"/>
    </w:p>
    <w:bookmarkEnd w:id="320"/>
    <w:p>
      <w:pPr>
        <w:pStyle w:val="13"/>
        <w:spacing w:after="0" w:line="500" w:lineRule="exact"/>
        <w:ind w:firstLine="480" w:firstLineChars="200"/>
        <w:rPr>
          <w:rFonts w:eastAsia="宋体"/>
        </w:rPr>
      </w:pPr>
      <w:r>
        <w:rPr>
          <w:rFonts w:eastAsia="宋体"/>
        </w:rPr>
        <w:t>采用评分法对企业生产工艺过程、大气环境风险防控措施及突发大气环境事</w:t>
      </w:r>
      <w:r>
        <w:rPr>
          <w:rFonts w:eastAsia="宋体"/>
          <w:spacing w:val="-8"/>
        </w:rPr>
        <w:t>件发生情况进行评估，将各项指标分值累加，确定企业生产工艺过程与大气环境</w:t>
      </w:r>
      <w:r>
        <w:rPr>
          <w:rFonts w:eastAsia="宋体"/>
        </w:rPr>
        <w:t>风险控制水平（M）。</w:t>
      </w:r>
    </w:p>
    <w:p>
      <w:pPr>
        <w:pStyle w:val="155"/>
        <w:numPr>
          <w:ilvl w:val="255"/>
          <w:numId w:val="0"/>
        </w:numPr>
        <w:tabs>
          <w:tab w:val="left" w:pos="1379"/>
        </w:tabs>
        <w:spacing w:line="500" w:lineRule="exact"/>
        <w:ind w:left="480" w:leftChars="200"/>
        <w:rPr>
          <w:rFonts w:eastAsia="宋体"/>
        </w:rPr>
      </w:pPr>
      <w:r>
        <w:rPr>
          <w:rFonts w:hint="eastAsia" w:eastAsia="宋体"/>
        </w:rPr>
        <w:t>（1）</w:t>
      </w:r>
      <w:r>
        <w:rPr>
          <w:rFonts w:eastAsia="宋体"/>
        </w:rPr>
        <w:t>生产工艺过程含有风险工艺和设备情况</w:t>
      </w:r>
    </w:p>
    <w:p>
      <w:pPr>
        <w:pStyle w:val="13"/>
        <w:spacing w:after="0" w:line="500" w:lineRule="exact"/>
        <w:ind w:firstLine="480" w:firstLineChars="200"/>
        <w:rPr>
          <w:rFonts w:eastAsia="宋体"/>
        </w:rPr>
      </w:pPr>
      <w:r>
        <w:rPr>
          <w:rFonts w:eastAsia="宋体"/>
        </w:rPr>
        <w:t>从上文章节3.5.</w:t>
      </w:r>
      <w:r>
        <w:rPr>
          <w:rFonts w:hint="eastAsia" w:eastAsia="宋体"/>
        </w:rPr>
        <w:t>3</w:t>
      </w:r>
      <w:r>
        <w:rPr>
          <w:rFonts w:eastAsia="宋体"/>
        </w:rPr>
        <w:t>可知，企业生产工艺过程评分为</w:t>
      </w:r>
      <w:r>
        <w:rPr>
          <w:rFonts w:hint="eastAsia" w:eastAsia="宋体"/>
        </w:rPr>
        <w:t>5</w:t>
      </w:r>
      <w:r>
        <w:rPr>
          <w:rFonts w:eastAsia="宋体"/>
        </w:rPr>
        <w:t>分。</w:t>
      </w:r>
    </w:p>
    <w:p>
      <w:pPr>
        <w:pStyle w:val="155"/>
        <w:numPr>
          <w:ilvl w:val="255"/>
          <w:numId w:val="0"/>
        </w:numPr>
        <w:tabs>
          <w:tab w:val="left" w:pos="1379"/>
        </w:tabs>
        <w:spacing w:line="500" w:lineRule="exact"/>
        <w:ind w:left="480" w:leftChars="200"/>
        <w:rPr>
          <w:rFonts w:eastAsia="宋体"/>
        </w:rPr>
      </w:pPr>
      <w:r>
        <w:rPr>
          <w:rFonts w:hint="eastAsia" w:eastAsia="宋体"/>
        </w:rPr>
        <w:t>（2）</w:t>
      </w:r>
      <w:r>
        <w:rPr>
          <w:rFonts w:eastAsia="宋体"/>
        </w:rPr>
        <w:t>大气环境风险防控措施及突发大气环境事件发生情况</w:t>
      </w:r>
    </w:p>
    <w:p>
      <w:pPr>
        <w:snapToGrid w:val="0"/>
        <w:spacing w:line="500" w:lineRule="exact"/>
        <w:rPr>
          <w:rFonts w:eastAsia="宋体"/>
        </w:rPr>
      </w:pPr>
      <w:r>
        <w:rPr>
          <w:rFonts w:eastAsia="宋体"/>
        </w:rPr>
        <w:t>公司大气环境风险防控措施与突发大气环境事件发生情况评估评估指标见7-2。对各项评估指标分别评分、计算总和，各项指标分值合计最高为70分。</w:t>
      </w:r>
    </w:p>
    <w:p>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7-2</w:t>
      </w:r>
      <w:r>
        <w:rPr>
          <w:rFonts w:eastAsiaTheme="minorEastAsia"/>
          <w:b/>
          <w:color w:val="000000" w:themeColor="text1"/>
          <w14:textFill>
            <w14:solidFill>
              <w14:schemeClr w14:val="tx1"/>
            </w14:solidFill>
          </w14:textFill>
        </w:rPr>
        <w:t xml:space="preserve"> </w:t>
      </w:r>
      <w:r>
        <w:rPr>
          <w:rFonts w:hint="eastAsia" w:eastAsiaTheme="minorEastAsia"/>
          <w:b/>
          <w:color w:val="000000" w:themeColor="text1"/>
          <w14:textFill>
            <w14:solidFill>
              <w14:schemeClr w14:val="tx1"/>
            </w14:solidFill>
          </w14:textFill>
        </w:rPr>
        <w:t>大气</w:t>
      </w:r>
      <w:r>
        <w:rPr>
          <w:rFonts w:eastAsiaTheme="minorEastAsia"/>
          <w:b/>
          <w:color w:val="000000" w:themeColor="text1"/>
          <w14:textFill>
            <w14:solidFill>
              <w14:schemeClr w14:val="tx1"/>
            </w14:solidFill>
          </w14:textFill>
        </w:rPr>
        <w:t>环境风险防控措施与突发环境事件发生情况评估</w:t>
      </w:r>
    </w:p>
    <w:tbl>
      <w:tblPr>
        <w:tblStyle w:val="38"/>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评估指标</w:t>
            </w:r>
          </w:p>
        </w:tc>
        <w:tc>
          <w:tcPr>
            <w:tcW w:w="2896" w:type="pct"/>
            <w:vAlign w:val="center"/>
          </w:tcPr>
          <w:p>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275" w:type="pct"/>
            <w:vAlign w:val="center"/>
          </w:tcPr>
          <w:p>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1012" w:type="pct"/>
            <w:vAlign w:val="center"/>
          </w:tcPr>
          <w:p>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309" w:type="pct"/>
            <w:vAlign w:val="center"/>
          </w:tcPr>
          <w:p>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毒性气体泄漏监控预警措施</w:t>
            </w:r>
          </w:p>
        </w:tc>
        <w:tc>
          <w:tcPr>
            <w:tcW w:w="2896" w:type="pct"/>
            <w:vAlign w:val="center"/>
          </w:tcPr>
          <w:p>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（1）不涉及附录A中有毒有害气体的；或</w:t>
            </w:r>
          </w:p>
          <w:p>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restart"/>
            <w:vAlign w:val="center"/>
          </w:tcPr>
          <w:p>
            <w:pP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25</w:t>
            </w:r>
          </w:p>
        </w:tc>
        <w:tc>
          <w:tcPr>
            <w:tcW w:w="1012" w:type="pct"/>
            <w:vMerge w:val="continue"/>
            <w:vAlign w:val="center"/>
          </w:tcPr>
          <w:p>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符合防护距离情况</w:t>
            </w:r>
          </w:p>
        </w:tc>
        <w:tc>
          <w:tcPr>
            <w:tcW w:w="2896" w:type="pct"/>
            <w:vAlign w:val="center"/>
          </w:tcPr>
          <w:p>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restart"/>
            <w:vAlign w:val="center"/>
          </w:tcPr>
          <w:p>
            <w:pPr>
              <w:widowControl/>
              <w:rPr>
                <w:rFonts w:eastAsiaTheme="minorEastAsia"/>
                <w:color w:val="000000" w:themeColor="text1"/>
                <w:sz w:val="21"/>
                <w:szCs w:val="21"/>
                <w14:textFill>
                  <w14:solidFill>
                    <w14:schemeClr w14:val="tx1"/>
                  </w14:solidFill>
                </w14:textFill>
              </w:rPr>
            </w:pPr>
            <w:r>
              <w:rPr>
                <w:rFonts w:hint="eastAsia" w:eastAsia="宋体"/>
                <w:kern w:val="0"/>
                <w:sz w:val="21"/>
                <w:szCs w:val="21"/>
              </w:rPr>
              <w:t>防护距离内无敏感目标</w:t>
            </w:r>
          </w:p>
        </w:tc>
        <w:tc>
          <w:tcPr>
            <w:tcW w:w="309" w:type="pct"/>
            <w:vMerge w:val="restart"/>
            <w:vAlign w:val="center"/>
          </w:tcPr>
          <w:p>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25</w:t>
            </w:r>
          </w:p>
        </w:tc>
        <w:tc>
          <w:tcPr>
            <w:tcW w:w="1012"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20</w:t>
            </w:r>
          </w:p>
        </w:tc>
        <w:tc>
          <w:tcPr>
            <w:tcW w:w="1012" w:type="pct"/>
            <w:vMerge w:val="restart"/>
            <w:vAlign w:val="center"/>
          </w:tcPr>
          <w:p>
            <w:pPr>
              <w:widowControl/>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w:t>
            </w:r>
          </w:p>
        </w:tc>
        <w:tc>
          <w:tcPr>
            <w:tcW w:w="1012"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w:t>
            </w:r>
          </w:p>
        </w:tc>
        <w:tc>
          <w:tcPr>
            <w:tcW w:w="1012"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未发生突发大气环境事件的</w:t>
            </w:r>
          </w:p>
        </w:tc>
        <w:tc>
          <w:tcPr>
            <w:tcW w:w="275" w:type="pct"/>
            <w:vAlign w:val="center"/>
          </w:tcPr>
          <w:p>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eastAsiaTheme="minorEastAsia"/>
                <w:color w:val="000000" w:themeColor="text1"/>
                <w:sz w:val="21"/>
                <w:szCs w:val="21"/>
                <w14:textFill>
                  <w14:solidFill>
                    <w14:schemeClr w14:val="tx1"/>
                  </w14:solidFill>
                </w14:textFill>
              </w:rPr>
            </w:pPr>
          </w:p>
        </w:tc>
      </w:tr>
    </w:tbl>
    <w:p>
      <w:pPr>
        <w:pStyle w:val="13"/>
        <w:spacing w:after="0" w:line="500" w:lineRule="exact"/>
        <w:ind w:firstLine="480" w:firstLineChars="200"/>
        <w:rPr>
          <w:rFonts w:eastAsia="宋体"/>
        </w:rPr>
      </w:pPr>
      <w:r>
        <w:rPr>
          <w:rFonts w:eastAsia="宋体"/>
        </w:rPr>
        <w:t>从上表可知，得分为0分。</w:t>
      </w:r>
    </w:p>
    <w:p>
      <w:pPr>
        <w:pStyle w:val="155"/>
        <w:numPr>
          <w:ilvl w:val="255"/>
          <w:numId w:val="0"/>
        </w:numPr>
        <w:tabs>
          <w:tab w:val="left" w:pos="1379"/>
        </w:tabs>
        <w:spacing w:line="500" w:lineRule="exact"/>
        <w:ind w:firstLine="480"/>
        <w:rPr>
          <w:rFonts w:eastAsia="宋体"/>
        </w:rPr>
      </w:pPr>
      <w:r>
        <w:rPr>
          <w:rFonts w:eastAsia="宋体"/>
        </w:rPr>
        <w:t>（3）企业生产工艺过程与大气环境风险控制水平</w:t>
      </w:r>
    </w:p>
    <w:p>
      <w:pPr>
        <w:spacing w:line="500" w:lineRule="exact"/>
        <w:ind w:firstLine="440" w:firstLineChars="200"/>
        <w:rPr>
          <w:rFonts w:eastAsia="宋体"/>
        </w:rPr>
      </w:pPr>
      <w:r>
        <w:rPr>
          <w:rFonts w:eastAsia="宋体"/>
          <w:spacing w:val="-10"/>
        </w:rPr>
        <w:t>将企业生产工艺过程、大气环境风险防控措施及突发大气环境事件发生情况</w:t>
      </w:r>
      <w:r>
        <w:rPr>
          <w:rFonts w:eastAsia="宋体"/>
          <w:spacing w:val="-8"/>
        </w:rPr>
        <w:t>各项指标评估分值累加，得出生产工艺过程与大气环境风险控制水平值，按照表</w:t>
      </w:r>
      <w:r>
        <w:rPr>
          <w:rFonts w:eastAsia="宋体"/>
        </w:rPr>
        <w:t>7-3</w:t>
      </w:r>
      <w:r>
        <w:rPr>
          <w:rFonts w:eastAsia="宋体"/>
          <w:spacing w:val="-16"/>
        </w:rPr>
        <w:t>划分为</w:t>
      </w:r>
      <w:r>
        <w:rPr>
          <w:rFonts w:eastAsia="宋体"/>
        </w:rPr>
        <w:t>4个类型。</w:t>
      </w:r>
    </w:p>
    <w:p>
      <w:pPr>
        <w:adjustRightInd w:val="0"/>
        <w:snapToGrid w:val="0"/>
        <w:spacing w:line="500" w:lineRule="exact"/>
        <w:jc w:val="center"/>
        <w:rPr>
          <w:rFonts w:eastAsia="宋体"/>
          <w:snapToGrid w:val="0"/>
          <w:kern w:val="0"/>
        </w:rPr>
      </w:pPr>
      <w:r>
        <w:rPr>
          <w:rFonts w:eastAsia="宋体"/>
          <w:b/>
          <w:bCs/>
          <w:snapToGrid w:val="0"/>
          <w:kern w:val="0"/>
        </w:rPr>
        <w:t>表</w:t>
      </w:r>
      <w:r>
        <w:rPr>
          <w:rFonts w:hint="eastAsia" w:eastAsia="宋体"/>
          <w:b/>
          <w:bCs/>
          <w:snapToGrid w:val="0"/>
          <w:kern w:val="0"/>
        </w:rPr>
        <w:t>7-3</w:t>
      </w:r>
      <w:r>
        <w:rPr>
          <w:rFonts w:eastAsia="宋体"/>
          <w:b/>
          <w:bCs/>
          <w:snapToGrid w:val="0"/>
          <w:kern w:val="0"/>
        </w:rPr>
        <w:t xml:space="preserve"> 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生产工艺过程与环境风险控制水平值(M)</w:t>
            </w:r>
          </w:p>
        </w:tc>
        <w:tc>
          <w:tcPr>
            <w:tcW w:w="2459" w:type="pct"/>
            <w:tcBorders>
              <w:tl2br w:val="nil"/>
              <w:tr2bl w:val="nil"/>
            </w:tcBorders>
            <w:vAlign w:val="center"/>
          </w:tcPr>
          <w:p>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生产工艺过程与环境风险及其控制水平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pPr>
              <w:adjustRightInd w:val="0"/>
              <w:snapToGrid w:val="0"/>
              <w:jc w:val="center"/>
              <w:rPr>
                <w:rFonts w:eastAsia="宋体"/>
                <w:snapToGrid w:val="0"/>
                <w:kern w:val="0"/>
                <w:sz w:val="21"/>
                <w:szCs w:val="21"/>
              </w:rPr>
            </w:pPr>
            <w:r>
              <w:rPr>
                <w:rFonts w:eastAsia="宋体"/>
                <w:snapToGrid w:val="0"/>
                <w:kern w:val="0"/>
                <w:sz w:val="21"/>
                <w:szCs w:val="21"/>
              </w:rPr>
              <w:t>M＜25</w:t>
            </w:r>
          </w:p>
        </w:tc>
        <w:tc>
          <w:tcPr>
            <w:tcW w:w="2459" w:type="pct"/>
            <w:tcBorders>
              <w:tl2br w:val="nil"/>
              <w:tr2bl w:val="nil"/>
            </w:tcBorders>
            <w:shd w:val="clear" w:color="auto" w:fill="FFFFFF" w:themeFill="background1"/>
            <w:vAlign w:val="center"/>
          </w:tcPr>
          <w:p>
            <w:pPr>
              <w:adjustRightInd w:val="0"/>
              <w:snapToGrid w:val="0"/>
              <w:jc w:val="center"/>
              <w:rPr>
                <w:rFonts w:eastAsia="宋体"/>
                <w:snapToGrid w:val="0"/>
                <w:kern w:val="0"/>
                <w:sz w:val="21"/>
                <w:szCs w:val="21"/>
              </w:rPr>
            </w:pPr>
            <w:r>
              <w:rPr>
                <w:rFonts w:eastAsia="宋体"/>
                <w:snapToGrid w:val="0"/>
                <w:kern w:val="0"/>
                <w:sz w:val="21"/>
                <w:szCs w:val="21"/>
              </w:rPr>
              <w:t>M1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pPr>
              <w:adjustRightInd w:val="0"/>
              <w:snapToGrid w:val="0"/>
              <w:jc w:val="center"/>
              <w:rPr>
                <w:rFonts w:eastAsia="宋体"/>
                <w:snapToGrid w:val="0"/>
                <w:kern w:val="0"/>
                <w:sz w:val="21"/>
                <w:szCs w:val="21"/>
              </w:rPr>
            </w:pPr>
            <w:r>
              <w:rPr>
                <w:rFonts w:eastAsia="宋体"/>
                <w:snapToGrid w:val="0"/>
                <w:kern w:val="0"/>
                <w:sz w:val="21"/>
                <w:szCs w:val="21"/>
              </w:rPr>
              <w:t>25≤M＜45</w:t>
            </w:r>
          </w:p>
        </w:tc>
        <w:tc>
          <w:tcPr>
            <w:tcW w:w="2459" w:type="pct"/>
            <w:tcBorders>
              <w:tl2br w:val="nil"/>
              <w:tr2bl w:val="nil"/>
            </w:tcBorders>
            <w:shd w:val="clear" w:color="auto" w:fill="auto"/>
            <w:vAlign w:val="center"/>
          </w:tcPr>
          <w:p>
            <w:pPr>
              <w:adjustRightInd w:val="0"/>
              <w:snapToGrid w:val="0"/>
              <w:jc w:val="center"/>
              <w:rPr>
                <w:rFonts w:eastAsia="宋体"/>
                <w:snapToGrid w:val="0"/>
                <w:kern w:val="0"/>
                <w:sz w:val="21"/>
                <w:szCs w:val="21"/>
              </w:rPr>
            </w:pPr>
            <w:r>
              <w:rPr>
                <w:rFonts w:eastAsia="宋体"/>
                <w:snapToGrid w:val="0"/>
                <w:kern w:val="0"/>
                <w:sz w:val="21"/>
                <w:szCs w:val="21"/>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pPr>
              <w:adjustRightInd w:val="0"/>
              <w:snapToGrid w:val="0"/>
              <w:jc w:val="center"/>
              <w:rPr>
                <w:rFonts w:eastAsia="宋体"/>
                <w:snapToGrid w:val="0"/>
                <w:kern w:val="0"/>
                <w:sz w:val="21"/>
                <w:szCs w:val="21"/>
              </w:rPr>
            </w:pPr>
            <w:r>
              <w:rPr>
                <w:rFonts w:eastAsia="宋体"/>
                <w:snapToGrid w:val="0"/>
                <w:kern w:val="0"/>
                <w:sz w:val="21"/>
                <w:szCs w:val="21"/>
              </w:rPr>
              <w:t>45≤M＜60</w:t>
            </w:r>
          </w:p>
        </w:tc>
        <w:tc>
          <w:tcPr>
            <w:tcW w:w="2459" w:type="pct"/>
            <w:tcBorders>
              <w:tl2br w:val="nil"/>
              <w:tr2bl w:val="nil"/>
            </w:tcBorders>
            <w:vAlign w:val="center"/>
          </w:tcPr>
          <w:p>
            <w:pPr>
              <w:adjustRightInd w:val="0"/>
              <w:snapToGrid w:val="0"/>
              <w:jc w:val="center"/>
              <w:rPr>
                <w:rFonts w:eastAsia="宋体"/>
                <w:snapToGrid w:val="0"/>
                <w:kern w:val="0"/>
                <w:sz w:val="21"/>
                <w:szCs w:val="21"/>
              </w:rPr>
            </w:pPr>
            <w:r>
              <w:rPr>
                <w:rFonts w:eastAsia="宋体"/>
                <w:snapToGrid w:val="0"/>
                <w:kern w:val="0"/>
                <w:sz w:val="21"/>
                <w:szCs w:val="21"/>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pPr>
              <w:adjustRightInd w:val="0"/>
              <w:snapToGrid w:val="0"/>
              <w:jc w:val="center"/>
              <w:rPr>
                <w:rFonts w:eastAsia="宋体"/>
                <w:snapToGrid w:val="0"/>
                <w:kern w:val="0"/>
                <w:sz w:val="21"/>
                <w:szCs w:val="21"/>
              </w:rPr>
            </w:pPr>
            <w:r>
              <w:rPr>
                <w:rFonts w:eastAsia="宋体"/>
                <w:snapToGrid w:val="0"/>
                <w:kern w:val="0"/>
                <w:sz w:val="21"/>
                <w:szCs w:val="21"/>
              </w:rPr>
              <w:t>M≥60</w:t>
            </w:r>
          </w:p>
        </w:tc>
        <w:tc>
          <w:tcPr>
            <w:tcW w:w="2459" w:type="pct"/>
            <w:tcBorders>
              <w:tl2br w:val="nil"/>
              <w:tr2bl w:val="nil"/>
            </w:tcBorders>
            <w:vAlign w:val="center"/>
          </w:tcPr>
          <w:p>
            <w:pPr>
              <w:adjustRightInd w:val="0"/>
              <w:snapToGrid w:val="0"/>
              <w:jc w:val="center"/>
              <w:rPr>
                <w:rFonts w:eastAsia="宋体"/>
                <w:snapToGrid w:val="0"/>
                <w:kern w:val="0"/>
                <w:sz w:val="21"/>
                <w:szCs w:val="21"/>
              </w:rPr>
            </w:pPr>
            <w:r>
              <w:rPr>
                <w:rFonts w:eastAsia="宋体"/>
                <w:snapToGrid w:val="0"/>
                <w:kern w:val="0"/>
                <w:sz w:val="21"/>
                <w:szCs w:val="21"/>
              </w:rPr>
              <w:t>M4</w:t>
            </w:r>
          </w:p>
        </w:tc>
      </w:tr>
    </w:tbl>
    <w:p>
      <w:pPr>
        <w:pStyle w:val="13"/>
        <w:spacing w:after="0" w:line="365" w:lineRule="auto"/>
        <w:ind w:firstLine="440" w:firstLineChars="200"/>
        <w:rPr>
          <w:rFonts w:eastAsia="宋体"/>
          <w:spacing w:val="-10"/>
        </w:rPr>
      </w:pPr>
      <w:r>
        <w:rPr>
          <w:rFonts w:eastAsia="宋体"/>
          <w:spacing w:val="-10"/>
        </w:rPr>
        <w:t>由上文可知，公司环境风险及其控制水平（M）现状得分为</w:t>
      </w:r>
      <w:r>
        <w:rPr>
          <w:rFonts w:hint="eastAsia" w:eastAsia="宋体"/>
          <w:spacing w:val="-10"/>
        </w:rPr>
        <w:t>5</w:t>
      </w:r>
      <w:r>
        <w:rPr>
          <w:rFonts w:eastAsia="宋体"/>
          <w:spacing w:val="-10"/>
        </w:rPr>
        <w:t>分，企业大气环境风险及其控制水平为M1类水平。</w:t>
      </w:r>
    </w:p>
    <w:p>
      <w:pPr>
        <w:pStyle w:val="2"/>
        <w:adjustRightInd w:val="0"/>
        <w:snapToGrid w:val="0"/>
        <w:spacing w:line="500" w:lineRule="exact"/>
        <w:jc w:val="left"/>
        <w:rPr>
          <w:rFonts w:eastAsia="宋体"/>
          <w:color w:val="000000" w:themeColor="text1"/>
          <w14:textFill>
            <w14:solidFill>
              <w14:schemeClr w14:val="tx1"/>
            </w14:solidFill>
          </w14:textFill>
        </w:rPr>
      </w:pPr>
      <w:bookmarkStart w:id="321" w:name="7.1.3大气环境风险受体敏感程度（E）评估"/>
      <w:bookmarkEnd w:id="321"/>
      <w:bookmarkStart w:id="322" w:name="_Toc12402"/>
      <w:bookmarkStart w:id="323" w:name="_Toc15903"/>
      <w:bookmarkStart w:id="324" w:name="_Toc24236"/>
      <w:bookmarkStart w:id="325" w:name="_TOC_250019"/>
      <w:r>
        <w:rPr>
          <w:rFonts w:hint="eastAsia" w:eastAsia="宋体"/>
          <w:color w:val="000000" w:themeColor="text1"/>
          <w14:textFill>
            <w14:solidFill>
              <w14:schemeClr w14:val="tx1"/>
            </w14:solidFill>
          </w14:textFill>
        </w:rPr>
        <w:t>7.1.3 大气环境风险受体敏感程度（E）评估</w:t>
      </w:r>
      <w:bookmarkEnd w:id="322"/>
      <w:bookmarkEnd w:id="323"/>
      <w:bookmarkEnd w:id="324"/>
    </w:p>
    <w:bookmarkEnd w:id="325"/>
    <w:p>
      <w:pPr>
        <w:pStyle w:val="13"/>
        <w:spacing w:after="0" w:line="500" w:lineRule="exact"/>
        <w:ind w:firstLine="440" w:firstLineChars="200"/>
        <w:rPr>
          <w:rFonts w:eastAsia="宋体"/>
          <w:spacing w:val="-10"/>
        </w:rPr>
      </w:pPr>
      <w:r>
        <w:rPr>
          <w:rFonts w:eastAsia="宋体"/>
          <w:spacing w:val="-10"/>
        </w:rPr>
        <w:t>大气环境风险受体敏感程度类型按照企业周边人口数进行划分。按照企业周边5公里或500 米范围内人口数将大气环境风险受体敏感程度划分为类型1、类型2和类型3三种类型，分别以 E1、E2和E3表示，见表7-4。</w:t>
      </w:r>
    </w:p>
    <w:p>
      <w:pPr>
        <w:pStyle w:val="13"/>
        <w:spacing w:after="0" w:line="500" w:lineRule="exact"/>
        <w:ind w:firstLine="440" w:firstLineChars="200"/>
        <w:rPr>
          <w:rFonts w:eastAsia="宋体"/>
          <w:spacing w:val="-10"/>
        </w:rPr>
      </w:pPr>
      <w:r>
        <w:rPr>
          <w:rFonts w:eastAsia="宋体"/>
          <w:spacing w:val="-10"/>
        </w:rPr>
        <w:t>大气环境风险受体敏感程度按类型1、类型2和类型3顺序依次降低。若企业周边存在多种敏感程度类型的大气环境风险受体，则按敏感程度高者确定企业大气环境风险受体敏感程度类型。</w:t>
      </w:r>
    </w:p>
    <w:p>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7-4</w:t>
      </w:r>
      <w:r>
        <w:rPr>
          <w:rFonts w:eastAsiaTheme="minorEastAsia"/>
          <w:b/>
          <w:color w:val="000000" w:themeColor="text1"/>
          <w14:textFill>
            <w14:solidFill>
              <w14:schemeClr w14:val="tx1"/>
            </w14:solidFill>
          </w14:textFill>
        </w:rPr>
        <w:t xml:space="preserve"> 大气环境风险受体敏感程度划分</w:t>
      </w:r>
    </w:p>
    <w:tbl>
      <w:tblPr>
        <w:tblStyle w:val="3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pPr>
        <w:pStyle w:val="13"/>
        <w:spacing w:after="0" w:line="500" w:lineRule="exact"/>
        <w:ind w:firstLine="440" w:firstLineChars="200"/>
        <w:rPr>
          <w:rFonts w:eastAsia="宋体"/>
          <w:spacing w:val="-10"/>
        </w:rPr>
      </w:pPr>
      <w:r>
        <w:rPr>
          <w:rFonts w:eastAsia="宋体"/>
          <w:spacing w:val="-10"/>
        </w:rPr>
        <w:t>由章节3.2.1可知，</w:t>
      </w:r>
      <w:r>
        <w:rPr>
          <w:rFonts w:hint="eastAsia" w:eastAsia="宋体"/>
          <w:spacing w:val="-10"/>
        </w:rPr>
        <w:t>企业周边5公里内人口总数</w:t>
      </w:r>
      <w:r>
        <w:rPr>
          <w:rFonts w:eastAsia="宋体"/>
          <w:spacing w:val="-10"/>
        </w:rPr>
        <w:t>公司1万人以上、5万人以下</w:t>
      </w:r>
      <w:r>
        <w:rPr>
          <w:rFonts w:hint="eastAsia" w:eastAsia="宋体"/>
          <w:spacing w:val="-10"/>
        </w:rPr>
        <w:t>，</w:t>
      </w:r>
      <w:r>
        <w:rPr>
          <w:rFonts w:hint="eastAsia" w:eastAsia="宋体"/>
          <w:spacing w:val="-10"/>
          <w:lang w:val="en-US" w:eastAsia="zh-CN"/>
        </w:rPr>
        <w:t>但</w:t>
      </w:r>
      <w:r>
        <w:rPr>
          <w:rFonts w:hint="eastAsia" w:eastAsia="宋体"/>
          <w:spacing w:val="-10"/>
        </w:rPr>
        <w:t>企业周边</w:t>
      </w:r>
      <w:r>
        <w:rPr>
          <w:rFonts w:eastAsia="宋体"/>
          <w:spacing w:val="-10"/>
        </w:rPr>
        <w:t>500m范围内</w:t>
      </w:r>
      <w:r>
        <w:rPr>
          <w:rFonts w:hint="eastAsia" w:eastAsia="宋体"/>
          <w:spacing w:val="-10"/>
        </w:rPr>
        <w:t>总人数1000人以上</w:t>
      </w:r>
      <w:r>
        <w:rPr>
          <w:rFonts w:eastAsia="宋体"/>
          <w:spacing w:val="-10"/>
        </w:rPr>
        <w:t>，因此公司大气环境风险受体为类型</w:t>
      </w:r>
      <w:r>
        <w:rPr>
          <w:rFonts w:hint="eastAsia" w:eastAsia="宋体"/>
          <w:spacing w:val="-10"/>
        </w:rPr>
        <w:t>1</w:t>
      </w:r>
      <w:r>
        <w:rPr>
          <w:rFonts w:eastAsia="宋体"/>
          <w:spacing w:val="-10"/>
        </w:rPr>
        <w:t>（E</w:t>
      </w:r>
      <w:r>
        <w:rPr>
          <w:rFonts w:hint="eastAsia" w:eastAsia="宋体"/>
          <w:spacing w:val="-10"/>
        </w:rPr>
        <w:t>1</w:t>
      </w:r>
      <w:r>
        <w:rPr>
          <w:rFonts w:eastAsia="宋体"/>
          <w:spacing w:val="-10"/>
        </w:rPr>
        <w:t>）。</w:t>
      </w:r>
    </w:p>
    <w:p>
      <w:pPr>
        <w:pStyle w:val="2"/>
        <w:adjustRightInd w:val="0"/>
        <w:snapToGrid w:val="0"/>
        <w:spacing w:line="500" w:lineRule="exact"/>
        <w:jc w:val="left"/>
        <w:rPr>
          <w:rFonts w:eastAsia="宋体"/>
          <w:color w:val="000000" w:themeColor="text1"/>
          <w14:textFill>
            <w14:solidFill>
              <w14:schemeClr w14:val="tx1"/>
            </w14:solidFill>
          </w14:textFill>
        </w:rPr>
      </w:pPr>
      <w:bookmarkStart w:id="326" w:name="7.1.4突发大气环境事件风险等级确定"/>
      <w:bookmarkEnd w:id="326"/>
      <w:bookmarkStart w:id="327" w:name="_TOC_250018"/>
      <w:bookmarkEnd w:id="327"/>
      <w:bookmarkStart w:id="328" w:name="_Toc5160"/>
      <w:bookmarkStart w:id="329" w:name="_Toc1202"/>
      <w:bookmarkStart w:id="330" w:name="_Toc23652"/>
      <w:r>
        <w:rPr>
          <w:rFonts w:hint="eastAsia" w:eastAsia="宋体"/>
          <w:color w:val="000000" w:themeColor="text1"/>
          <w14:textFill>
            <w14:solidFill>
              <w14:schemeClr w14:val="tx1"/>
            </w14:solidFill>
          </w14:textFill>
        </w:rPr>
        <w:t>7.1.4 突发大气环境事件风险等级确定</w:t>
      </w:r>
      <w:bookmarkEnd w:id="328"/>
      <w:bookmarkEnd w:id="329"/>
      <w:bookmarkEnd w:id="330"/>
    </w:p>
    <w:p>
      <w:pPr>
        <w:pStyle w:val="13"/>
        <w:spacing w:after="0" w:line="500" w:lineRule="exact"/>
        <w:ind w:firstLine="440" w:firstLineChars="200"/>
        <w:rPr>
          <w:rFonts w:eastAsia="宋体"/>
          <w:spacing w:val="-10"/>
        </w:rPr>
      </w:pPr>
      <w:r>
        <w:rPr>
          <w:rFonts w:eastAsia="宋体"/>
          <w:spacing w:val="-10"/>
        </w:rPr>
        <w:t>根据企业周边大气环境风险受体敏感程度（E）、涉气风险物质数量与临界量比值（Q）和生产工艺过程与大气环境风险控制水平（M），按照表7-5 确定企业突发大气环境事件风险等级。</w:t>
      </w:r>
    </w:p>
    <w:p>
      <w:pPr>
        <w:pStyle w:val="13"/>
        <w:spacing w:after="0" w:line="500" w:lineRule="exact"/>
        <w:jc w:val="center"/>
        <w:rPr>
          <w:rFonts w:eastAsiaTheme="minorEastAsia"/>
          <w:spacing w:val="-10"/>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7-5</w:t>
      </w:r>
      <w:r>
        <w:rPr>
          <w:rFonts w:eastAsiaTheme="minorEastAsia"/>
          <w:b/>
          <w:color w:val="000000" w:themeColor="text1"/>
          <w14:textFill>
            <w14:solidFill>
              <w14:schemeClr w14:val="tx1"/>
            </w14:solidFill>
          </w14:textFill>
        </w:rPr>
        <w:t xml:space="preserve"> </w:t>
      </w:r>
      <w:r>
        <w:rPr>
          <w:rFonts w:hint="eastAsia" w:eastAsiaTheme="minorEastAsia"/>
          <w:b/>
          <w:color w:val="000000" w:themeColor="text1"/>
          <w14:textFill>
            <w14:solidFill>
              <w14:schemeClr w14:val="tx1"/>
            </w14:solidFill>
          </w14:textFill>
        </w:rPr>
        <w:t>企业突发环境事件风险分级矩阵表</w:t>
      </w:r>
    </w:p>
    <w:tbl>
      <w:tblPr>
        <w:tblStyle w:val="38"/>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pPr>
              <w:pStyle w:val="142"/>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pPr>
              <w:pStyle w:val="142"/>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pPr>
              <w:pStyle w:val="142"/>
              <w:rPr>
                <w:b/>
                <w:sz w:val="21"/>
              </w:rPr>
            </w:pPr>
            <w:r>
              <w:rPr>
                <w:b/>
                <w:sz w:val="21"/>
              </w:rPr>
              <w:t>生产工艺过程与环境风险控制水平（</w:t>
            </w:r>
            <w:r>
              <w:rPr>
                <w:rFonts w:ascii="Times New Roman" w:eastAsia="Times New Roman"/>
                <w:b/>
                <w:sz w:val="21"/>
              </w:rPr>
              <w:t>M</w:t>
            </w:r>
            <w:r>
              <w:rPr>
                <w:b/>
                <w:sz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pPr>
              <w:jc w:val="center"/>
              <w:rPr>
                <w:sz w:val="2"/>
                <w:szCs w:val="2"/>
              </w:rPr>
            </w:pPr>
          </w:p>
        </w:tc>
        <w:tc>
          <w:tcPr>
            <w:tcW w:w="1843" w:type="dxa"/>
            <w:vMerge w:val="continue"/>
            <w:tcBorders>
              <w:tl2br w:val="nil"/>
              <w:tr2bl w:val="nil"/>
            </w:tcBorders>
            <w:vAlign w:val="center"/>
          </w:tcPr>
          <w:p>
            <w:pPr>
              <w:jc w:val="center"/>
              <w:rPr>
                <w:sz w:val="2"/>
                <w:szCs w:val="2"/>
              </w:rPr>
            </w:pPr>
          </w:p>
        </w:tc>
        <w:tc>
          <w:tcPr>
            <w:tcW w:w="1259" w:type="dxa"/>
            <w:tcBorders>
              <w:tl2br w:val="nil"/>
              <w:tr2bl w:val="nil"/>
            </w:tcBorders>
            <w:vAlign w:val="center"/>
          </w:tcPr>
          <w:p>
            <w:pPr>
              <w:pStyle w:val="142"/>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pPr>
              <w:pStyle w:val="142"/>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pPr>
              <w:pStyle w:val="142"/>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pPr>
              <w:pStyle w:val="142"/>
              <w:rPr>
                <w:b/>
                <w:sz w:val="21"/>
              </w:rPr>
            </w:pPr>
            <w:r>
              <w:rPr>
                <w:rFonts w:ascii="Times New Roman" w:eastAsia="Times New Roman"/>
                <w:b/>
                <w:sz w:val="21"/>
              </w:rPr>
              <w:t>M4</w:t>
            </w:r>
            <w:r>
              <w:rPr>
                <w:b/>
                <w:sz w:val="21"/>
              </w:rPr>
              <w:t>类水平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pPr>
              <w:pStyle w:val="142"/>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pPr>
              <w:pStyle w:val="142"/>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pPr>
              <w:pStyle w:val="142"/>
              <w:rPr>
                <w:sz w:val="21"/>
              </w:rPr>
            </w:pPr>
            <w:r>
              <w:rPr>
                <w:sz w:val="21"/>
              </w:rPr>
              <w:t>较大</w:t>
            </w:r>
          </w:p>
        </w:tc>
        <w:tc>
          <w:tcPr>
            <w:tcW w:w="1260" w:type="dxa"/>
            <w:tcBorders>
              <w:tl2br w:val="nil"/>
              <w:tr2bl w:val="nil"/>
            </w:tcBorders>
            <w:vAlign w:val="center"/>
          </w:tcPr>
          <w:p>
            <w:pPr>
              <w:pStyle w:val="142"/>
              <w:rPr>
                <w:sz w:val="21"/>
              </w:rPr>
            </w:pPr>
            <w:r>
              <w:rPr>
                <w:sz w:val="21"/>
              </w:rPr>
              <w:t>较大</w:t>
            </w:r>
          </w:p>
        </w:tc>
        <w:tc>
          <w:tcPr>
            <w:tcW w:w="1259" w:type="dxa"/>
            <w:tcBorders>
              <w:tl2br w:val="nil"/>
              <w:tr2bl w:val="nil"/>
            </w:tcBorders>
            <w:vAlign w:val="center"/>
          </w:tcPr>
          <w:p>
            <w:pPr>
              <w:pStyle w:val="142"/>
              <w:rPr>
                <w:sz w:val="21"/>
              </w:rPr>
            </w:pPr>
            <w:r>
              <w:rPr>
                <w:sz w:val="21"/>
              </w:rPr>
              <w:t>重大</w:t>
            </w:r>
          </w:p>
        </w:tc>
        <w:tc>
          <w:tcPr>
            <w:tcW w:w="1260" w:type="dxa"/>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2"/>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pPr>
              <w:pStyle w:val="142"/>
              <w:rPr>
                <w:sz w:val="21"/>
              </w:rPr>
            </w:pPr>
            <w:r>
              <w:rPr>
                <w:sz w:val="21"/>
              </w:rPr>
              <w:t>较大</w:t>
            </w:r>
          </w:p>
        </w:tc>
        <w:tc>
          <w:tcPr>
            <w:tcW w:w="1260" w:type="dxa"/>
            <w:tcBorders>
              <w:tl2br w:val="nil"/>
              <w:tr2bl w:val="nil"/>
            </w:tcBorders>
            <w:vAlign w:val="center"/>
          </w:tcPr>
          <w:p>
            <w:pPr>
              <w:pStyle w:val="142"/>
              <w:rPr>
                <w:sz w:val="21"/>
              </w:rPr>
            </w:pPr>
            <w:r>
              <w:rPr>
                <w:sz w:val="21"/>
              </w:rPr>
              <w:t>重大</w:t>
            </w:r>
          </w:p>
        </w:tc>
        <w:tc>
          <w:tcPr>
            <w:tcW w:w="1259" w:type="dxa"/>
            <w:tcBorders>
              <w:tl2br w:val="nil"/>
              <w:tr2bl w:val="nil"/>
            </w:tcBorders>
            <w:vAlign w:val="center"/>
          </w:tcPr>
          <w:p>
            <w:pPr>
              <w:pStyle w:val="142"/>
              <w:rPr>
                <w:sz w:val="21"/>
              </w:rPr>
            </w:pPr>
            <w:r>
              <w:rPr>
                <w:sz w:val="21"/>
              </w:rPr>
              <w:t>重大</w:t>
            </w:r>
          </w:p>
        </w:tc>
        <w:tc>
          <w:tcPr>
            <w:tcW w:w="1260" w:type="dxa"/>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2"/>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pPr>
              <w:pStyle w:val="142"/>
              <w:rPr>
                <w:sz w:val="21"/>
              </w:rPr>
            </w:pPr>
            <w:r>
              <w:rPr>
                <w:sz w:val="21"/>
              </w:rPr>
              <w:t>重大</w:t>
            </w:r>
          </w:p>
        </w:tc>
        <w:tc>
          <w:tcPr>
            <w:tcW w:w="1260" w:type="dxa"/>
            <w:tcBorders>
              <w:tl2br w:val="nil"/>
              <w:tr2bl w:val="nil"/>
            </w:tcBorders>
            <w:vAlign w:val="center"/>
          </w:tcPr>
          <w:p>
            <w:pPr>
              <w:pStyle w:val="142"/>
              <w:rPr>
                <w:sz w:val="21"/>
              </w:rPr>
            </w:pPr>
            <w:r>
              <w:rPr>
                <w:sz w:val="21"/>
              </w:rPr>
              <w:t>重大</w:t>
            </w:r>
          </w:p>
        </w:tc>
        <w:tc>
          <w:tcPr>
            <w:tcW w:w="1259" w:type="dxa"/>
            <w:tcBorders>
              <w:tl2br w:val="nil"/>
              <w:tr2bl w:val="nil"/>
            </w:tcBorders>
            <w:vAlign w:val="center"/>
          </w:tcPr>
          <w:p>
            <w:pPr>
              <w:pStyle w:val="142"/>
              <w:rPr>
                <w:sz w:val="21"/>
              </w:rPr>
            </w:pPr>
            <w:r>
              <w:rPr>
                <w:sz w:val="21"/>
              </w:rPr>
              <w:t>重大</w:t>
            </w:r>
          </w:p>
        </w:tc>
        <w:tc>
          <w:tcPr>
            <w:tcW w:w="1260" w:type="dxa"/>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pPr>
              <w:pStyle w:val="142"/>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pPr>
              <w:pStyle w:val="142"/>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pPr>
              <w:pStyle w:val="142"/>
              <w:rPr>
                <w:sz w:val="21"/>
              </w:rPr>
            </w:pPr>
            <w:r>
              <w:rPr>
                <w:sz w:val="21"/>
              </w:rPr>
              <w:t>一般</w:t>
            </w:r>
          </w:p>
        </w:tc>
        <w:tc>
          <w:tcPr>
            <w:tcW w:w="1260" w:type="dxa"/>
            <w:tcBorders>
              <w:tl2br w:val="nil"/>
              <w:tr2bl w:val="nil"/>
            </w:tcBorders>
            <w:vAlign w:val="center"/>
          </w:tcPr>
          <w:p>
            <w:pPr>
              <w:pStyle w:val="142"/>
              <w:rPr>
                <w:sz w:val="21"/>
              </w:rPr>
            </w:pPr>
            <w:r>
              <w:rPr>
                <w:sz w:val="21"/>
              </w:rPr>
              <w:t>较大</w:t>
            </w:r>
          </w:p>
        </w:tc>
        <w:tc>
          <w:tcPr>
            <w:tcW w:w="1259" w:type="dxa"/>
            <w:tcBorders>
              <w:tl2br w:val="nil"/>
              <w:tr2bl w:val="nil"/>
            </w:tcBorders>
            <w:vAlign w:val="center"/>
          </w:tcPr>
          <w:p>
            <w:pPr>
              <w:pStyle w:val="142"/>
              <w:rPr>
                <w:sz w:val="21"/>
              </w:rPr>
            </w:pPr>
            <w:r>
              <w:rPr>
                <w:sz w:val="21"/>
              </w:rPr>
              <w:t>较大</w:t>
            </w:r>
          </w:p>
        </w:tc>
        <w:tc>
          <w:tcPr>
            <w:tcW w:w="1260" w:type="dxa"/>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2"/>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pPr>
              <w:pStyle w:val="142"/>
              <w:rPr>
                <w:sz w:val="21"/>
              </w:rPr>
            </w:pPr>
            <w:r>
              <w:rPr>
                <w:sz w:val="21"/>
              </w:rPr>
              <w:t>较大</w:t>
            </w:r>
          </w:p>
        </w:tc>
        <w:tc>
          <w:tcPr>
            <w:tcW w:w="1260" w:type="dxa"/>
            <w:tcBorders>
              <w:tl2br w:val="nil"/>
              <w:tr2bl w:val="nil"/>
            </w:tcBorders>
            <w:vAlign w:val="center"/>
          </w:tcPr>
          <w:p>
            <w:pPr>
              <w:pStyle w:val="142"/>
              <w:rPr>
                <w:sz w:val="21"/>
              </w:rPr>
            </w:pPr>
            <w:r>
              <w:rPr>
                <w:sz w:val="21"/>
              </w:rPr>
              <w:t>较大</w:t>
            </w:r>
          </w:p>
        </w:tc>
        <w:tc>
          <w:tcPr>
            <w:tcW w:w="1259" w:type="dxa"/>
            <w:tcBorders>
              <w:tl2br w:val="nil"/>
              <w:tr2bl w:val="nil"/>
            </w:tcBorders>
            <w:vAlign w:val="center"/>
          </w:tcPr>
          <w:p>
            <w:pPr>
              <w:pStyle w:val="142"/>
              <w:rPr>
                <w:sz w:val="21"/>
              </w:rPr>
            </w:pPr>
            <w:r>
              <w:rPr>
                <w:sz w:val="21"/>
              </w:rPr>
              <w:t>重大</w:t>
            </w:r>
          </w:p>
        </w:tc>
        <w:tc>
          <w:tcPr>
            <w:tcW w:w="1260" w:type="dxa"/>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2"/>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pPr>
              <w:pStyle w:val="142"/>
              <w:rPr>
                <w:sz w:val="21"/>
              </w:rPr>
            </w:pPr>
            <w:r>
              <w:rPr>
                <w:sz w:val="21"/>
              </w:rPr>
              <w:t>较大</w:t>
            </w:r>
          </w:p>
        </w:tc>
        <w:tc>
          <w:tcPr>
            <w:tcW w:w="1260" w:type="dxa"/>
            <w:tcBorders>
              <w:tl2br w:val="nil"/>
              <w:tr2bl w:val="nil"/>
            </w:tcBorders>
            <w:vAlign w:val="center"/>
          </w:tcPr>
          <w:p>
            <w:pPr>
              <w:pStyle w:val="142"/>
              <w:rPr>
                <w:sz w:val="21"/>
              </w:rPr>
            </w:pPr>
            <w:r>
              <w:rPr>
                <w:sz w:val="21"/>
              </w:rPr>
              <w:t>重大</w:t>
            </w:r>
          </w:p>
        </w:tc>
        <w:tc>
          <w:tcPr>
            <w:tcW w:w="1259" w:type="dxa"/>
            <w:tcBorders>
              <w:tl2br w:val="nil"/>
              <w:tr2bl w:val="nil"/>
            </w:tcBorders>
            <w:vAlign w:val="center"/>
          </w:tcPr>
          <w:p>
            <w:pPr>
              <w:pStyle w:val="142"/>
              <w:rPr>
                <w:sz w:val="21"/>
              </w:rPr>
            </w:pPr>
            <w:r>
              <w:rPr>
                <w:sz w:val="21"/>
              </w:rPr>
              <w:t>重大</w:t>
            </w:r>
          </w:p>
        </w:tc>
        <w:tc>
          <w:tcPr>
            <w:tcW w:w="1260" w:type="dxa"/>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pPr>
              <w:pStyle w:val="142"/>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pPr>
              <w:pStyle w:val="142"/>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pPr>
              <w:pStyle w:val="142"/>
              <w:rPr>
                <w:sz w:val="21"/>
              </w:rPr>
            </w:pPr>
            <w:r>
              <w:rPr>
                <w:sz w:val="21"/>
              </w:rPr>
              <w:t>一般</w:t>
            </w:r>
          </w:p>
        </w:tc>
        <w:tc>
          <w:tcPr>
            <w:tcW w:w="1260" w:type="dxa"/>
            <w:tcBorders>
              <w:tl2br w:val="nil"/>
              <w:tr2bl w:val="nil"/>
            </w:tcBorders>
            <w:vAlign w:val="center"/>
          </w:tcPr>
          <w:p>
            <w:pPr>
              <w:pStyle w:val="142"/>
              <w:rPr>
                <w:sz w:val="21"/>
              </w:rPr>
            </w:pPr>
            <w:r>
              <w:rPr>
                <w:sz w:val="21"/>
              </w:rPr>
              <w:t>一般</w:t>
            </w:r>
          </w:p>
        </w:tc>
        <w:tc>
          <w:tcPr>
            <w:tcW w:w="1259" w:type="dxa"/>
            <w:tcBorders>
              <w:tl2br w:val="nil"/>
              <w:tr2bl w:val="nil"/>
            </w:tcBorders>
            <w:vAlign w:val="center"/>
          </w:tcPr>
          <w:p>
            <w:pPr>
              <w:pStyle w:val="142"/>
              <w:rPr>
                <w:sz w:val="21"/>
              </w:rPr>
            </w:pPr>
            <w:r>
              <w:rPr>
                <w:sz w:val="21"/>
              </w:rPr>
              <w:t>较大</w:t>
            </w:r>
          </w:p>
        </w:tc>
        <w:tc>
          <w:tcPr>
            <w:tcW w:w="1260" w:type="dxa"/>
            <w:tcBorders>
              <w:tl2br w:val="nil"/>
              <w:tr2bl w:val="nil"/>
            </w:tcBorders>
            <w:vAlign w:val="center"/>
          </w:tcPr>
          <w:p>
            <w:pPr>
              <w:pStyle w:val="142"/>
              <w:rPr>
                <w:sz w:val="21"/>
              </w:rPr>
            </w:pPr>
            <w:r>
              <w:rPr>
                <w:sz w:val="21"/>
              </w:rPr>
              <w:t>较大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2"/>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pPr>
              <w:pStyle w:val="142"/>
              <w:rPr>
                <w:sz w:val="21"/>
              </w:rPr>
            </w:pPr>
            <w:r>
              <w:rPr>
                <w:sz w:val="21"/>
              </w:rPr>
              <w:t>一般</w:t>
            </w:r>
          </w:p>
        </w:tc>
        <w:tc>
          <w:tcPr>
            <w:tcW w:w="1260" w:type="dxa"/>
            <w:tcBorders>
              <w:tl2br w:val="nil"/>
              <w:tr2bl w:val="nil"/>
            </w:tcBorders>
            <w:vAlign w:val="center"/>
          </w:tcPr>
          <w:p>
            <w:pPr>
              <w:pStyle w:val="142"/>
              <w:rPr>
                <w:sz w:val="21"/>
              </w:rPr>
            </w:pPr>
            <w:r>
              <w:rPr>
                <w:sz w:val="21"/>
              </w:rPr>
              <w:t>较大</w:t>
            </w:r>
          </w:p>
        </w:tc>
        <w:tc>
          <w:tcPr>
            <w:tcW w:w="1259" w:type="dxa"/>
            <w:tcBorders>
              <w:tl2br w:val="nil"/>
              <w:tr2bl w:val="nil"/>
            </w:tcBorders>
            <w:vAlign w:val="center"/>
          </w:tcPr>
          <w:p>
            <w:pPr>
              <w:pStyle w:val="142"/>
              <w:rPr>
                <w:sz w:val="21"/>
              </w:rPr>
            </w:pPr>
            <w:r>
              <w:rPr>
                <w:sz w:val="21"/>
              </w:rPr>
              <w:t>较大</w:t>
            </w:r>
          </w:p>
        </w:tc>
        <w:tc>
          <w:tcPr>
            <w:tcW w:w="1260" w:type="dxa"/>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pPr>
              <w:jc w:val="center"/>
              <w:rPr>
                <w:sz w:val="2"/>
                <w:szCs w:val="2"/>
              </w:rPr>
            </w:pPr>
          </w:p>
        </w:tc>
        <w:tc>
          <w:tcPr>
            <w:tcW w:w="1843" w:type="dxa"/>
            <w:tcBorders>
              <w:tl2br w:val="nil"/>
              <w:tr2bl w:val="nil"/>
            </w:tcBorders>
            <w:vAlign w:val="center"/>
          </w:tcPr>
          <w:p>
            <w:pPr>
              <w:pStyle w:val="142"/>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pPr>
              <w:pStyle w:val="142"/>
              <w:rPr>
                <w:sz w:val="21"/>
              </w:rPr>
            </w:pPr>
            <w:r>
              <w:rPr>
                <w:sz w:val="21"/>
              </w:rPr>
              <w:t>较大</w:t>
            </w:r>
          </w:p>
        </w:tc>
        <w:tc>
          <w:tcPr>
            <w:tcW w:w="1260" w:type="dxa"/>
            <w:tcBorders>
              <w:tl2br w:val="nil"/>
              <w:tr2bl w:val="nil"/>
            </w:tcBorders>
            <w:vAlign w:val="center"/>
          </w:tcPr>
          <w:p>
            <w:pPr>
              <w:pStyle w:val="142"/>
              <w:rPr>
                <w:sz w:val="21"/>
              </w:rPr>
            </w:pPr>
            <w:r>
              <w:rPr>
                <w:sz w:val="21"/>
              </w:rPr>
              <w:t>较大</w:t>
            </w:r>
          </w:p>
        </w:tc>
        <w:tc>
          <w:tcPr>
            <w:tcW w:w="1259" w:type="dxa"/>
            <w:tcBorders>
              <w:tl2br w:val="nil"/>
              <w:tr2bl w:val="nil"/>
            </w:tcBorders>
            <w:vAlign w:val="center"/>
          </w:tcPr>
          <w:p>
            <w:pPr>
              <w:pStyle w:val="142"/>
              <w:rPr>
                <w:sz w:val="21"/>
              </w:rPr>
            </w:pPr>
            <w:r>
              <w:rPr>
                <w:sz w:val="21"/>
              </w:rPr>
              <w:t>重大</w:t>
            </w:r>
          </w:p>
        </w:tc>
        <w:tc>
          <w:tcPr>
            <w:tcW w:w="1260" w:type="dxa"/>
            <w:tcBorders>
              <w:tl2br w:val="nil"/>
              <w:tr2bl w:val="nil"/>
            </w:tcBorders>
            <w:vAlign w:val="center"/>
          </w:tcPr>
          <w:p>
            <w:pPr>
              <w:pStyle w:val="142"/>
              <w:rPr>
                <w:sz w:val="21"/>
              </w:rPr>
            </w:pPr>
            <w:r>
              <w:rPr>
                <w:sz w:val="21"/>
              </w:rPr>
              <w:t>重大</w:t>
            </w:r>
          </w:p>
        </w:tc>
      </w:tr>
    </w:tbl>
    <w:p>
      <w:pPr>
        <w:pStyle w:val="2"/>
        <w:adjustRightInd w:val="0"/>
        <w:snapToGrid w:val="0"/>
        <w:spacing w:line="500" w:lineRule="exact"/>
        <w:jc w:val="left"/>
        <w:rPr>
          <w:rFonts w:eastAsia="宋体"/>
          <w:color w:val="000000" w:themeColor="text1"/>
          <w14:textFill>
            <w14:solidFill>
              <w14:schemeClr w14:val="tx1"/>
            </w14:solidFill>
          </w14:textFill>
        </w:rPr>
      </w:pPr>
      <w:bookmarkStart w:id="331" w:name="7.1.5突发大气环境事件风险等级表征"/>
      <w:bookmarkEnd w:id="331"/>
      <w:bookmarkStart w:id="332" w:name="_TOC_250017"/>
      <w:bookmarkEnd w:id="332"/>
      <w:bookmarkStart w:id="333" w:name="_Toc32405"/>
      <w:bookmarkStart w:id="334" w:name="_Toc7690"/>
      <w:bookmarkStart w:id="335" w:name="_Toc30454"/>
      <w:r>
        <w:rPr>
          <w:rFonts w:hint="eastAsia" w:eastAsia="宋体"/>
          <w:color w:val="000000" w:themeColor="text1"/>
          <w14:textFill>
            <w14:solidFill>
              <w14:schemeClr w14:val="tx1"/>
            </w14:solidFill>
          </w14:textFill>
        </w:rPr>
        <w:t>7.1.5 突发大气环境事件风险等级表征</w:t>
      </w:r>
      <w:bookmarkEnd w:id="333"/>
      <w:bookmarkEnd w:id="334"/>
      <w:bookmarkEnd w:id="335"/>
    </w:p>
    <w:p>
      <w:pPr>
        <w:pStyle w:val="13"/>
        <w:spacing w:after="0" w:line="500" w:lineRule="exact"/>
        <w:ind w:firstLine="440" w:firstLineChars="200"/>
        <w:rPr>
          <w:rFonts w:eastAsia="宋体"/>
          <w:spacing w:val="-10"/>
        </w:rPr>
      </w:pPr>
      <w:r>
        <w:rPr>
          <w:rFonts w:eastAsia="宋体"/>
          <w:spacing w:val="-10"/>
        </w:rPr>
        <w:t>企业突发大气环境事件风险等级表征分为两种情况：</w:t>
      </w:r>
    </w:p>
    <w:p>
      <w:pPr>
        <w:pStyle w:val="13"/>
        <w:numPr>
          <w:ilvl w:val="0"/>
          <w:numId w:val="6"/>
        </w:numPr>
        <w:spacing w:after="0" w:line="500" w:lineRule="exact"/>
        <w:ind w:left="0" w:firstLine="440" w:firstLineChars="200"/>
        <w:rPr>
          <w:rFonts w:eastAsia="宋体"/>
          <w:spacing w:val="-10"/>
        </w:rPr>
      </w:pPr>
      <w:r>
        <w:rPr>
          <w:rFonts w:hint="eastAsia" w:eastAsia="宋体"/>
          <w:spacing w:val="-10"/>
        </w:rPr>
        <w:t>（1）</w:t>
      </w:r>
      <w:r>
        <w:rPr>
          <w:rFonts w:eastAsia="宋体"/>
          <w:spacing w:val="-10"/>
        </w:rPr>
        <w:t>Q＜1 时，企业突发大气环境事件风险等级表示为“一般-大气（Q0）”。</w:t>
      </w:r>
    </w:p>
    <w:p>
      <w:pPr>
        <w:pStyle w:val="13"/>
        <w:spacing w:after="0" w:line="500" w:lineRule="exact"/>
        <w:ind w:firstLine="440" w:firstLineChars="200"/>
        <w:rPr>
          <w:rFonts w:eastAsia="宋体"/>
          <w:spacing w:val="-10"/>
        </w:rPr>
      </w:pPr>
      <w:r>
        <w:rPr>
          <w:rFonts w:hint="eastAsia" w:eastAsia="宋体"/>
          <w:spacing w:val="-10"/>
        </w:rPr>
        <w:t>（2）</w:t>
      </w:r>
      <w:r>
        <w:rPr>
          <w:rFonts w:eastAsia="宋体"/>
          <w:spacing w:val="-10"/>
        </w:rPr>
        <w:t>Q≥1 时，企业突发大气环境事件风险等级表示为“环境风险等级-大气（Q水平-M类型-E类型）”。</w:t>
      </w:r>
    </w:p>
    <w:p>
      <w:pPr>
        <w:pStyle w:val="13"/>
        <w:spacing w:line="500" w:lineRule="exact"/>
        <w:ind w:firstLine="440" w:firstLineChars="200"/>
        <w:jc w:val="left"/>
        <w:rPr>
          <w:rFonts w:eastAsia="宋体"/>
          <w:spacing w:val="-10"/>
        </w:rPr>
      </w:pPr>
      <w:r>
        <w:rPr>
          <w:rFonts w:hint="eastAsia" w:eastAsia="宋体"/>
          <w:spacing w:val="-10"/>
          <w:lang w:eastAsia="zh-CN"/>
        </w:rPr>
        <w:t>家得福家具海安有限公司</w:t>
      </w:r>
      <w:r>
        <w:rPr>
          <w:rFonts w:eastAsia="宋体"/>
          <w:spacing w:val="-10"/>
        </w:rPr>
        <w:t>Q＜1（Q0），因此大气风险等级表示为“一般-大气（Q0）”。</w:t>
      </w:r>
    </w:p>
    <w:p>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336" w:name="_TOC_250016"/>
      <w:bookmarkEnd w:id="336"/>
      <w:bookmarkStart w:id="337" w:name="7.2企业突发水环境事件风险等级"/>
      <w:bookmarkEnd w:id="337"/>
      <w:bookmarkStart w:id="338" w:name="_Toc27596"/>
      <w:bookmarkStart w:id="339" w:name="_Toc14031"/>
      <w:bookmarkStart w:id="340" w:name="_Toc23797"/>
      <w:r>
        <w:rPr>
          <w:rFonts w:hint="eastAsia" w:eastAsia="宋体"/>
          <w:color w:val="000000" w:themeColor="text1"/>
          <w:sz w:val="24"/>
          <w:szCs w:val="24"/>
          <w14:textFill>
            <w14:solidFill>
              <w14:schemeClr w14:val="tx1"/>
            </w14:solidFill>
          </w14:textFill>
        </w:rPr>
        <w:t>7.2 企业突发水环境事件风险等级</w:t>
      </w:r>
      <w:bookmarkEnd w:id="338"/>
      <w:bookmarkEnd w:id="339"/>
      <w:bookmarkEnd w:id="340"/>
    </w:p>
    <w:p>
      <w:pPr>
        <w:pStyle w:val="2"/>
        <w:adjustRightInd w:val="0"/>
        <w:snapToGrid w:val="0"/>
        <w:spacing w:line="500" w:lineRule="exact"/>
        <w:jc w:val="left"/>
        <w:rPr>
          <w:rFonts w:eastAsia="宋体"/>
          <w:color w:val="000000" w:themeColor="text1"/>
          <w14:textFill>
            <w14:solidFill>
              <w14:schemeClr w14:val="tx1"/>
            </w14:solidFill>
          </w14:textFill>
        </w:rPr>
      </w:pPr>
      <w:bookmarkStart w:id="341" w:name="7.2.1涉水风险物质数量与临界量比值（Q）"/>
      <w:bookmarkEnd w:id="341"/>
      <w:bookmarkStart w:id="342" w:name="_Toc16147"/>
      <w:bookmarkStart w:id="343" w:name="_Toc14282"/>
      <w:bookmarkStart w:id="344" w:name="_Toc4502"/>
      <w:bookmarkStart w:id="345" w:name="_TOC_250015"/>
      <w:r>
        <w:rPr>
          <w:rFonts w:hint="eastAsia" w:eastAsia="宋体"/>
          <w:color w:val="000000" w:themeColor="text1"/>
          <w14:textFill>
            <w14:solidFill>
              <w14:schemeClr w14:val="tx1"/>
            </w14:solidFill>
          </w14:textFill>
        </w:rPr>
        <w:t>7.2.1 涉水风险物质数量与临界值比值（Q）</w:t>
      </w:r>
      <w:bookmarkEnd w:id="342"/>
      <w:bookmarkEnd w:id="343"/>
      <w:bookmarkEnd w:id="344"/>
    </w:p>
    <w:bookmarkEnd w:id="345"/>
    <w:p>
      <w:pPr>
        <w:pStyle w:val="13"/>
        <w:spacing w:after="0" w:line="500" w:lineRule="exact"/>
        <w:ind w:firstLine="440" w:firstLineChars="200"/>
        <w:jc w:val="left"/>
        <w:rPr>
          <w:rFonts w:eastAsia="宋体"/>
          <w:spacing w:val="-10"/>
        </w:rPr>
      </w:pPr>
      <w:r>
        <w:rPr>
          <w:rFonts w:eastAsia="宋体"/>
          <w:spacing w:val="-10"/>
        </w:rPr>
        <w:t>企业生产原料、成品、中间成品、副成品、催化剂、辅助生产物料、“三废”污染物等是否涉及水环境风险物质，计算涉水风险物质（混合或稀释的风险物质按其组分比例折算成纯物质）与其临界量的比值Q，计算方法同7.1.1部分。</w:t>
      </w:r>
    </w:p>
    <w:p>
      <w:pPr>
        <w:pStyle w:val="13"/>
        <w:spacing w:after="0" w:line="500" w:lineRule="exact"/>
        <w:ind w:firstLine="440" w:firstLineChars="200"/>
        <w:jc w:val="left"/>
      </w:pPr>
      <w:r>
        <w:rPr>
          <w:rFonts w:eastAsia="宋体"/>
          <w:spacing w:val="-10"/>
        </w:rPr>
        <w:t>涉水环境风险物质有</w:t>
      </w:r>
      <w:r>
        <w:rPr>
          <w:rFonts w:hint="eastAsia" w:eastAsia="宋体"/>
          <w:spacing w:val="-10"/>
        </w:rPr>
        <w:t>水性漆、</w:t>
      </w:r>
      <w:r>
        <w:rPr>
          <w:rFonts w:hint="eastAsia" w:eastAsia="宋体"/>
          <w:spacing w:val="-10"/>
          <w:lang w:val="en-US" w:eastAsia="zh-CN"/>
        </w:rPr>
        <w:t>固化剂</w:t>
      </w:r>
      <w:r>
        <w:rPr>
          <w:rFonts w:hint="eastAsia" w:eastAsia="宋体"/>
          <w:spacing w:val="-10"/>
        </w:rPr>
        <w:t>等</w:t>
      </w:r>
      <w:r>
        <w:rPr>
          <w:rFonts w:eastAsia="宋体"/>
          <w:spacing w:val="-10"/>
        </w:rPr>
        <w:t>，计算结果见表 7-6。</w:t>
      </w:r>
    </w:p>
    <w:p>
      <w:pPr>
        <w:pStyle w:val="13"/>
        <w:spacing w:after="0" w:line="500" w:lineRule="exact"/>
        <w:jc w:val="center"/>
        <w:rPr>
          <w:rFonts w:eastAsiaTheme="minorEastAsia"/>
          <w:spacing w:val="-10"/>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7-6</w:t>
      </w:r>
      <w:r>
        <w:rPr>
          <w:rFonts w:eastAsiaTheme="minorEastAsia"/>
          <w:b/>
          <w:color w:val="000000" w:themeColor="text1"/>
          <w14:textFill>
            <w14:solidFill>
              <w14:schemeClr w14:val="tx1"/>
            </w14:solidFill>
          </w14:textFill>
        </w:rPr>
        <w:t xml:space="preserve"> 企业主要涉水风险物质Q值计算一览表</w:t>
      </w:r>
    </w:p>
    <w:tbl>
      <w:tblPr>
        <w:tblStyle w:val="38"/>
        <w:tblW w:w="87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eastAsia="宋体"/>
                <w:sz w:val="21"/>
                <w:szCs w:val="21"/>
              </w:rPr>
            </w:pPr>
            <w:r>
              <w:rPr>
                <w:rFonts w:hint="eastAsia" w:eastAsia="宋体"/>
                <w:sz w:val="21"/>
                <w:szCs w:val="21"/>
              </w:rPr>
              <w:t>油漆仓库</w:t>
            </w: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水性透明底漆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6</w:t>
            </w:r>
          </w:p>
        </w:tc>
        <w:tc>
          <w:tcPr>
            <w:tcW w:w="1249" w:type="dxa"/>
            <w:tcBorders>
              <w:tl2br w:val="nil"/>
              <w:tr2bl w:val="nil"/>
            </w:tcBorders>
            <w:vAlign w:val="center"/>
          </w:tcPr>
          <w:p>
            <w:pPr>
              <w:pStyle w:val="142"/>
              <w:rPr>
                <w:rFonts w:ascii="Times New Roman"/>
                <w:sz w:val="21"/>
              </w:rPr>
            </w:pPr>
            <w:r>
              <w:rPr>
                <w:rFonts w:hint="eastAsia" w:ascii="Times New Roman"/>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水性白底漆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4</w:t>
            </w:r>
          </w:p>
        </w:tc>
        <w:tc>
          <w:tcPr>
            <w:tcW w:w="1249" w:type="dxa"/>
            <w:tcBorders>
              <w:tl2br w:val="nil"/>
              <w:tr2bl w:val="nil"/>
            </w:tcBorders>
            <w:vAlign w:val="center"/>
          </w:tcPr>
          <w:p>
            <w:pPr>
              <w:pStyle w:val="142"/>
              <w:rPr>
                <w:rFonts w:ascii="Times New Roman"/>
                <w:sz w:val="21"/>
              </w:rPr>
            </w:pPr>
            <w:r>
              <w:rPr>
                <w:rFonts w:hint="eastAsia" w:ascii="Times New Roman"/>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水性清面漆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0.2</w:t>
            </w:r>
          </w:p>
        </w:tc>
        <w:tc>
          <w:tcPr>
            <w:tcW w:w="1249" w:type="dxa"/>
            <w:tcBorders>
              <w:tl2br w:val="nil"/>
              <w:tr2bl w:val="nil"/>
            </w:tcBorders>
            <w:vAlign w:val="center"/>
          </w:tcPr>
          <w:p>
            <w:pPr>
              <w:pStyle w:val="142"/>
              <w:rPr>
                <w:rFonts w:ascii="Times New Roman"/>
                <w:sz w:val="21"/>
              </w:rPr>
            </w:pPr>
            <w:r>
              <w:rPr>
                <w:rFonts w:hint="eastAsia" w:ascii="Times New Roman"/>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水性白面漆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0.2</w:t>
            </w:r>
          </w:p>
        </w:tc>
        <w:tc>
          <w:tcPr>
            <w:tcW w:w="1249" w:type="dxa"/>
            <w:tcBorders>
              <w:tl2br w:val="nil"/>
              <w:tr2bl w:val="nil"/>
            </w:tcBorders>
            <w:vAlign w:val="center"/>
          </w:tcPr>
          <w:p>
            <w:pPr>
              <w:pStyle w:val="142"/>
              <w:rPr>
                <w:rFonts w:ascii="Times New Roman"/>
                <w:sz w:val="21"/>
              </w:rPr>
            </w:pPr>
            <w:r>
              <w:rPr>
                <w:rFonts w:hint="eastAsia" w:ascii="Times New Roman"/>
                <w:sz w:val="21"/>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水性漆用固化剂</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0.2</w:t>
            </w:r>
          </w:p>
        </w:tc>
        <w:tc>
          <w:tcPr>
            <w:tcW w:w="1249" w:type="dxa"/>
            <w:tcBorders>
              <w:tl2br w:val="nil"/>
              <w:tr2bl w:val="nil"/>
            </w:tcBorders>
            <w:vAlign w:val="center"/>
          </w:tcPr>
          <w:p>
            <w:pPr>
              <w:pStyle w:val="142"/>
              <w:rPr>
                <w:rFonts w:hint="default" w:ascii="Times New Roman"/>
                <w:sz w:val="21"/>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白乳胶</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水性喷胶</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0.1</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rPr>
              <w:t>0.0</w:t>
            </w:r>
            <w:r>
              <w:rPr>
                <w:rFonts w:hint="eastAsia" w:eastAsia="宋体"/>
                <w:sz w:val="21"/>
                <w:szCs w:val="21"/>
                <w:lang w:val="en-US" w:eastAsia="zh-CN"/>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eastAsia="宋体"/>
                <w:sz w:val="21"/>
                <w:szCs w:val="21"/>
              </w:rPr>
            </w:pPr>
            <w:r>
              <w:rPr>
                <w:rFonts w:hint="eastAsia" w:eastAsia="宋体"/>
                <w:sz w:val="21"/>
                <w:szCs w:val="21"/>
              </w:rPr>
              <w:t>生产车间</w:t>
            </w: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水性透明底漆</w:t>
            </w:r>
          </w:p>
        </w:tc>
        <w:tc>
          <w:tcPr>
            <w:tcW w:w="1567"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w:t>
            </w:r>
          </w:p>
        </w:tc>
        <w:tc>
          <w:tcPr>
            <w:tcW w:w="1249"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水性白底漆</w:t>
            </w:r>
          </w:p>
        </w:tc>
        <w:tc>
          <w:tcPr>
            <w:tcW w:w="1567"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w:t>
            </w:r>
          </w:p>
        </w:tc>
        <w:tc>
          <w:tcPr>
            <w:tcW w:w="1249"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水性清面漆</w:t>
            </w:r>
          </w:p>
        </w:tc>
        <w:tc>
          <w:tcPr>
            <w:tcW w:w="1567"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w:t>
            </w:r>
          </w:p>
        </w:tc>
        <w:tc>
          <w:tcPr>
            <w:tcW w:w="1249"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水性白面漆</w:t>
            </w:r>
          </w:p>
        </w:tc>
        <w:tc>
          <w:tcPr>
            <w:tcW w:w="1567"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w:t>
            </w:r>
          </w:p>
        </w:tc>
        <w:tc>
          <w:tcPr>
            <w:tcW w:w="1249" w:type="dxa"/>
            <w:tcBorders>
              <w:tl2br w:val="nil"/>
              <w:tr2bl w:val="nil"/>
            </w:tcBorders>
            <w:vAlign w:val="center"/>
          </w:tcPr>
          <w:p>
            <w:pPr>
              <w:pStyle w:val="142"/>
              <w:rPr>
                <w:rFonts w:ascii="Times New Roman" w:hAnsi="Times New Roman" w:eastAsia="宋体" w:cs="宋体"/>
                <w:bCs/>
                <w:kern w:val="2"/>
                <w:sz w:val="21"/>
                <w:szCs w:val="24"/>
                <w:lang w:val="en-US" w:eastAsia="zh-CN" w:bidi="ar-SA"/>
              </w:rPr>
            </w:pPr>
            <w:r>
              <w:rPr>
                <w:rFonts w:hint="eastAsia" w:ascii="Times New Roman" w:hAnsi="Times New Roman"/>
                <w:bCs/>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水性漆用固化剂</w:t>
            </w:r>
          </w:p>
        </w:tc>
        <w:tc>
          <w:tcPr>
            <w:tcW w:w="1567" w:type="dxa"/>
            <w:tcBorders>
              <w:tl2br w:val="nil"/>
              <w:tr2bl w:val="nil"/>
            </w:tcBorders>
            <w:vAlign w:val="center"/>
          </w:tcPr>
          <w:p>
            <w:pPr>
              <w:pStyle w:val="142"/>
              <w:rPr>
                <w:rFonts w:hint="eastAsia"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白乳胶</w:t>
            </w:r>
          </w:p>
        </w:tc>
        <w:tc>
          <w:tcPr>
            <w:tcW w:w="1567" w:type="dxa"/>
            <w:tcBorders>
              <w:tl2br w:val="nil"/>
              <w:tr2bl w:val="nil"/>
            </w:tcBorders>
            <w:vAlign w:val="center"/>
          </w:tcPr>
          <w:p>
            <w:pPr>
              <w:pStyle w:val="142"/>
              <w:rPr>
                <w:rFonts w:hint="eastAsia"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0.025</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tabs>
                <w:tab w:val="left" w:pos="3462"/>
              </w:tabs>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水性喷胶</w:t>
            </w:r>
          </w:p>
        </w:tc>
        <w:tc>
          <w:tcPr>
            <w:tcW w:w="1567" w:type="dxa"/>
            <w:tcBorders>
              <w:tl2br w:val="nil"/>
              <w:tr2bl w:val="nil"/>
            </w:tcBorders>
            <w:vAlign w:val="center"/>
          </w:tcPr>
          <w:p>
            <w:pPr>
              <w:pStyle w:val="142"/>
              <w:rPr>
                <w:rFonts w:hint="eastAsia" w:ascii="Times New Roman" w:hAnsi="Times New Roman" w:eastAsia="宋体" w:cs="宋体"/>
                <w:bCs/>
                <w:kern w:val="2"/>
                <w:sz w:val="21"/>
                <w:szCs w:val="24"/>
                <w:lang w:val="en-US" w:eastAsia="zh-CN" w:bidi="ar-SA"/>
              </w:rPr>
            </w:pPr>
            <w:r>
              <w:rPr>
                <w:rFonts w:hint="eastAsia" w:ascii="Times New Roman" w:hAnsi="Times New Roman"/>
                <w:bCs/>
                <w:sz w:val="21"/>
                <w:lang w:val="en-US" w:eastAsia="zh-CN"/>
              </w:rPr>
              <w:t>0.025</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lang w:val="en-US" w:eastAsia="zh-CN"/>
              </w:rPr>
              <w:t>0.00025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rPr>
              <w:t>0.00</w:t>
            </w:r>
            <w:r>
              <w:rPr>
                <w:rFonts w:hint="eastAsia" w:eastAsia="宋体"/>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tcBorders>
              <w:tl2br w:val="nil"/>
              <w:tr2bl w:val="nil"/>
            </w:tcBorders>
            <w:vAlign w:val="center"/>
          </w:tcPr>
          <w:p>
            <w:pPr>
              <w:pStyle w:val="142"/>
              <w:rPr>
                <w:rFonts w:ascii="Times New Roman" w:hAnsi="Times New Roman"/>
                <w:b/>
                <w:sz w:val="21"/>
              </w:rPr>
            </w:pPr>
            <w:r>
              <w:rPr>
                <w:rFonts w:hint="eastAsia" w:ascii="Times New Roman" w:hAnsi="Times New Roman"/>
                <w:bCs/>
                <w:sz w:val="21"/>
              </w:rPr>
              <w:t>污水处理设施</w:t>
            </w:r>
          </w:p>
        </w:tc>
        <w:tc>
          <w:tcPr>
            <w:tcW w:w="1538"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水帘废水</w:t>
            </w:r>
          </w:p>
        </w:tc>
        <w:tc>
          <w:tcPr>
            <w:tcW w:w="1567" w:type="dxa"/>
            <w:tcBorders>
              <w:tl2br w:val="nil"/>
              <w:tr2bl w:val="nil"/>
            </w:tcBorders>
            <w:vAlign w:val="center"/>
          </w:tcPr>
          <w:p>
            <w:pPr>
              <w:pStyle w:val="142"/>
              <w:rPr>
                <w:rFonts w:ascii="Times New Roman" w:hAnsi="Times New Roman"/>
                <w:bCs/>
                <w:sz w:val="21"/>
              </w:rPr>
            </w:pPr>
            <w:r>
              <w:rPr>
                <w:rFonts w:hint="eastAsia" w:ascii="Times New Roman" w:hAnsi="Times New Roman"/>
                <w:bCs/>
                <w:sz w:val="21"/>
              </w:rPr>
              <w:t>4</w:t>
            </w:r>
          </w:p>
        </w:tc>
        <w:tc>
          <w:tcPr>
            <w:tcW w:w="1249" w:type="dxa"/>
            <w:tcBorders>
              <w:tl2br w:val="nil"/>
              <w:tr2bl w:val="nil"/>
            </w:tcBorders>
            <w:vAlign w:val="center"/>
          </w:tcPr>
          <w:p>
            <w:pPr>
              <w:pStyle w:val="142"/>
              <w:rPr>
                <w:rFonts w:ascii="Times New Roman" w:hAnsi="Times New Roman"/>
                <w:b/>
                <w:sz w:val="21"/>
              </w:rPr>
            </w:pPr>
            <w:r>
              <w:rPr>
                <w:rFonts w:hint="eastAsia" w:ascii="Times New Roman" w:hAnsi="Times New Roman"/>
                <w:bCs/>
                <w:sz w:val="21"/>
              </w:rPr>
              <w:t>50</w:t>
            </w:r>
          </w:p>
        </w:tc>
        <w:tc>
          <w:tcPr>
            <w:tcW w:w="1761" w:type="dxa"/>
            <w:tcBorders>
              <w:tl2br w:val="nil"/>
              <w:tr2bl w:val="nil"/>
            </w:tcBorders>
            <w:vAlign w:val="center"/>
          </w:tcPr>
          <w:p>
            <w:pPr>
              <w:pStyle w:val="142"/>
              <w:rPr>
                <w:rFonts w:ascii="Times New Roman"/>
                <w:sz w:val="21"/>
              </w:rPr>
            </w:pPr>
            <w:r>
              <w:rPr>
                <w:sz w:val="21"/>
                <w:szCs w:val="21"/>
              </w:rPr>
              <w:t>八（其他类物质及污染物）</w:t>
            </w:r>
          </w:p>
        </w:tc>
        <w:tc>
          <w:tcPr>
            <w:tcW w:w="1150" w:type="dxa"/>
            <w:tcBorders>
              <w:tl2br w:val="nil"/>
              <w:tr2bl w:val="nil"/>
            </w:tcBorders>
            <w:vAlign w:val="center"/>
          </w:tcPr>
          <w:p>
            <w:pPr>
              <w:pStyle w:val="142"/>
              <w:rPr>
                <w:rFonts w:ascii="Times New Roman"/>
                <w:sz w:val="21"/>
              </w:rPr>
            </w:pPr>
            <w:r>
              <w:rPr>
                <w:rFonts w:hint="eastAsia" w:ascii="Times New Roman"/>
                <w:sz w:val="21"/>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pStyle w:val="142"/>
              <w:rPr>
                <w:rFonts w:ascii="Times New Roman"/>
                <w:sz w:val="21"/>
              </w:rPr>
            </w:pPr>
            <w:r>
              <w:rPr>
                <w:rFonts w:hint="eastAsia" w:ascii="Times New Roman"/>
                <w:sz w:val="21"/>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restart"/>
            <w:tcBorders>
              <w:tl2br w:val="nil"/>
              <w:tr2bl w:val="nil"/>
            </w:tcBorders>
            <w:vAlign w:val="center"/>
          </w:tcPr>
          <w:p>
            <w:pPr>
              <w:jc w:val="center"/>
              <w:rPr>
                <w:rFonts w:eastAsia="宋体"/>
                <w:sz w:val="21"/>
                <w:szCs w:val="21"/>
              </w:rPr>
            </w:pPr>
            <w:r>
              <w:rPr>
                <w:rFonts w:hint="eastAsia" w:eastAsia="宋体"/>
                <w:sz w:val="21"/>
                <w:szCs w:val="21"/>
              </w:rPr>
              <w:t>危废仓库</w:t>
            </w:r>
          </w:p>
        </w:tc>
        <w:tc>
          <w:tcPr>
            <w:tcW w:w="1538"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lang w:val="zh-CN"/>
              </w:rPr>
              <w:t>漆渣</w:t>
            </w:r>
          </w:p>
        </w:tc>
        <w:tc>
          <w:tcPr>
            <w:tcW w:w="1567" w:type="dxa"/>
            <w:tcBorders>
              <w:tl2br w:val="nil"/>
              <w:tr2bl w:val="nil"/>
            </w:tcBorders>
            <w:vAlign w:val="center"/>
          </w:tcPr>
          <w:p>
            <w:pPr>
              <w:jc w:val="center"/>
              <w:rPr>
                <w:rFonts w:ascii="Times New Roman" w:hAnsi="Times New Roman" w:eastAsia="宋体" w:cs="Times New Roman"/>
                <w:bCs/>
                <w:kern w:val="2"/>
                <w:sz w:val="21"/>
                <w:szCs w:val="21"/>
                <w:lang w:val="en-US" w:eastAsia="zh-CN" w:bidi="ar-SA"/>
              </w:rPr>
            </w:pPr>
            <w:r>
              <w:rPr>
                <w:rFonts w:hint="eastAsia" w:eastAsia="宋体"/>
                <w:bCs/>
                <w:sz w:val="21"/>
                <w:szCs w:val="21"/>
              </w:rPr>
              <w:t>3</w:t>
            </w:r>
          </w:p>
        </w:tc>
        <w:tc>
          <w:tcPr>
            <w:tcW w:w="1249"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rPr>
              <w:t>0.0</w:t>
            </w:r>
            <w:r>
              <w:rPr>
                <w:rFonts w:hint="eastAsia" w:ascii="Times New Roman"/>
                <w:sz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lang w:val="zh-CN"/>
              </w:rPr>
              <w:t>废刷子</w:t>
            </w:r>
          </w:p>
        </w:tc>
        <w:tc>
          <w:tcPr>
            <w:tcW w:w="1567" w:type="dxa"/>
            <w:tcBorders>
              <w:tl2br w:val="nil"/>
              <w:tr2bl w:val="nil"/>
            </w:tcBorders>
            <w:vAlign w:val="center"/>
          </w:tcPr>
          <w:p>
            <w:pPr>
              <w:jc w:val="center"/>
              <w:rPr>
                <w:rFonts w:ascii="Times New Roman" w:hAnsi="Times New Roman" w:eastAsia="宋体" w:cs="Times New Roman"/>
                <w:bCs/>
                <w:kern w:val="2"/>
                <w:sz w:val="21"/>
                <w:szCs w:val="21"/>
                <w:lang w:val="en-US" w:eastAsia="zh-CN" w:bidi="ar-SA"/>
              </w:rPr>
            </w:pPr>
            <w:r>
              <w:rPr>
                <w:rFonts w:hint="eastAsia" w:eastAsia="宋体"/>
                <w:bCs/>
                <w:sz w:val="21"/>
                <w:szCs w:val="21"/>
              </w:rPr>
              <w:t>0.2</w:t>
            </w:r>
          </w:p>
        </w:tc>
        <w:tc>
          <w:tcPr>
            <w:tcW w:w="1249"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rPr>
              <w:t>0.00</w:t>
            </w:r>
            <w:r>
              <w:rPr>
                <w:rFonts w:hint="eastAsia" w:ascii="Times New Roman"/>
                <w:sz w:val="21"/>
                <w:lang w:val="en-US" w:eastAsia="zh-CN"/>
              </w:rPr>
              <w:t>0</w:t>
            </w:r>
            <w:r>
              <w:rPr>
                <w:rFonts w:hint="eastAsia" w:ascii="Times New Roman"/>
                <w:sz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lang w:val="zh-CN"/>
              </w:rPr>
              <w:t>废包装桶</w:t>
            </w:r>
          </w:p>
        </w:tc>
        <w:tc>
          <w:tcPr>
            <w:tcW w:w="1567" w:type="dxa"/>
            <w:tcBorders>
              <w:tl2br w:val="nil"/>
              <w:tr2bl w:val="nil"/>
            </w:tcBorders>
            <w:vAlign w:val="center"/>
          </w:tcPr>
          <w:p>
            <w:pPr>
              <w:jc w:val="center"/>
              <w:rPr>
                <w:rFonts w:ascii="Times New Roman" w:hAnsi="Times New Roman" w:eastAsia="宋体" w:cs="Times New Roman"/>
                <w:bCs/>
                <w:kern w:val="2"/>
                <w:sz w:val="21"/>
                <w:szCs w:val="21"/>
                <w:lang w:val="en-US" w:eastAsia="zh-CN" w:bidi="ar-SA"/>
              </w:rPr>
            </w:pPr>
            <w:r>
              <w:rPr>
                <w:rFonts w:hint="eastAsia" w:eastAsia="宋体"/>
                <w:bCs/>
                <w:sz w:val="21"/>
                <w:szCs w:val="21"/>
              </w:rPr>
              <w:t>0.2</w:t>
            </w:r>
          </w:p>
        </w:tc>
        <w:tc>
          <w:tcPr>
            <w:tcW w:w="1249"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ascii="Times New Roman" w:hAnsi="宋体" w:eastAsia="宋体" w:cs="宋体"/>
                <w:kern w:val="2"/>
                <w:sz w:val="21"/>
                <w:szCs w:val="24"/>
                <w:lang w:val="en-US" w:eastAsia="zh-CN" w:bidi="ar-SA"/>
              </w:rPr>
            </w:pPr>
            <w:r>
              <w:rPr>
                <w:rFonts w:hint="eastAsia" w:ascii="Times New Roman"/>
                <w:sz w:val="21"/>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lang w:val="zh-CN"/>
              </w:rPr>
              <w:t>空压机含油废液</w:t>
            </w:r>
          </w:p>
        </w:tc>
        <w:tc>
          <w:tcPr>
            <w:tcW w:w="1567" w:type="dxa"/>
            <w:tcBorders>
              <w:tl2br w:val="nil"/>
              <w:tr2bl w:val="nil"/>
            </w:tcBorders>
            <w:vAlign w:val="center"/>
          </w:tcPr>
          <w:p>
            <w:pPr>
              <w:jc w:val="center"/>
              <w:rPr>
                <w:rFonts w:hint="eastAsia" w:ascii="Times New Roman" w:hAnsi="Times New Roman" w:eastAsia="宋体" w:cs="Times New Roman"/>
                <w:bCs/>
                <w:kern w:val="2"/>
                <w:sz w:val="21"/>
                <w:szCs w:val="21"/>
                <w:lang w:val="en-US" w:eastAsia="zh-CN" w:bidi="ar-SA"/>
              </w:rPr>
            </w:pPr>
            <w:r>
              <w:rPr>
                <w:rFonts w:hint="eastAsia" w:eastAsia="宋体"/>
                <w:bCs/>
                <w:sz w:val="21"/>
                <w:szCs w:val="21"/>
              </w:rPr>
              <w:t>0.05</w:t>
            </w:r>
          </w:p>
        </w:tc>
        <w:tc>
          <w:tcPr>
            <w:tcW w:w="1249"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pStyle w:val="142"/>
              <w:rPr>
                <w:rFonts w:hint="eastAsia" w:ascii="Times New Roman" w:hAnsi="宋体" w:eastAsia="宋体" w:cs="宋体"/>
                <w:kern w:val="2"/>
                <w:sz w:val="21"/>
                <w:szCs w:val="24"/>
                <w:lang w:val="en-US" w:eastAsia="zh-CN" w:bidi="ar-SA"/>
              </w:rPr>
            </w:pPr>
            <w:r>
              <w:rPr>
                <w:rFonts w:hint="eastAsia" w:ascii="Times New Roman"/>
                <w:sz w:val="21"/>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rPr>
              <w:t>0.0</w:t>
            </w:r>
            <w:r>
              <w:rPr>
                <w:rFonts w:hint="eastAsia" w:eastAsia="宋体"/>
                <w:sz w:val="21"/>
                <w:szCs w:val="21"/>
                <w:lang w:val="en-US" w:eastAsia="zh-CN"/>
              </w:rPr>
              <w:t>454</w:t>
            </w:r>
          </w:p>
        </w:tc>
      </w:tr>
    </w:tbl>
    <w:p>
      <w:pPr>
        <w:pStyle w:val="13"/>
        <w:spacing w:after="0" w:line="500" w:lineRule="exact"/>
        <w:ind w:firstLine="480" w:firstLineChars="200"/>
        <w:jc w:val="left"/>
        <w:rPr>
          <w:rFonts w:eastAsia="宋体"/>
          <w:spacing w:val="-10"/>
        </w:rPr>
      </w:pPr>
      <w:r>
        <w:rPr>
          <w:rFonts w:eastAsia="宋体"/>
        </w:rPr>
        <w:t>根据上述计算，公司涉</w:t>
      </w:r>
      <w:r>
        <w:rPr>
          <w:rFonts w:hint="eastAsia" w:eastAsia="宋体"/>
          <w:lang w:val="en-US" w:eastAsia="zh-CN"/>
        </w:rPr>
        <w:t>水</w:t>
      </w:r>
      <w:r>
        <w:rPr>
          <w:rFonts w:eastAsia="宋体"/>
        </w:rPr>
        <w:t>风险物质数量与临界量比值为</w:t>
      </w:r>
      <w:r>
        <w:rPr>
          <w:rFonts w:hint="eastAsia" w:eastAsia="宋体"/>
        </w:rPr>
        <w:t>Q=0.0</w:t>
      </w:r>
      <w:r>
        <w:rPr>
          <w:rFonts w:hint="eastAsia" w:eastAsia="宋体"/>
          <w:lang w:val="en-US" w:eastAsia="zh-CN"/>
        </w:rPr>
        <w:t>18</w:t>
      </w:r>
      <w:r>
        <w:rPr>
          <w:rFonts w:hint="eastAsia" w:eastAsia="宋体"/>
        </w:rPr>
        <w:t>+0.00</w:t>
      </w:r>
      <w:r>
        <w:rPr>
          <w:rFonts w:hint="eastAsia" w:eastAsia="宋体"/>
          <w:lang w:val="en-US" w:eastAsia="zh-CN"/>
        </w:rPr>
        <w:t>15</w:t>
      </w:r>
      <w:r>
        <w:rPr>
          <w:rFonts w:hint="eastAsia" w:eastAsia="宋体"/>
        </w:rPr>
        <w:t>+0.08+0.0</w:t>
      </w:r>
      <w:r>
        <w:rPr>
          <w:rFonts w:hint="eastAsia" w:eastAsia="宋体"/>
          <w:lang w:val="en-US" w:eastAsia="zh-CN"/>
        </w:rPr>
        <w:t>454</w:t>
      </w:r>
      <w:r>
        <w:rPr>
          <w:rFonts w:hint="eastAsia" w:eastAsia="宋体"/>
        </w:rPr>
        <w:t>=0.</w:t>
      </w:r>
      <w:r>
        <w:rPr>
          <w:rFonts w:hint="eastAsia" w:eastAsia="宋体"/>
          <w:lang w:val="en-US" w:eastAsia="zh-CN"/>
        </w:rPr>
        <w:t>1449</w:t>
      </w:r>
      <w:r>
        <w:rPr>
          <w:rFonts w:eastAsia="宋体"/>
          <w:color w:val="000000" w:themeColor="text1"/>
          <w14:textFill>
            <w14:solidFill>
              <w14:schemeClr w14:val="tx1"/>
            </w14:solidFill>
          </w14:textFill>
        </w:rPr>
        <w:t>，Q＜1，</w:t>
      </w:r>
      <w:r>
        <w:rPr>
          <w:rFonts w:eastAsia="宋体"/>
        </w:rPr>
        <w:t>直接评为一般环境风险等级Q0。</w:t>
      </w:r>
    </w:p>
    <w:p>
      <w:pPr>
        <w:pStyle w:val="2"/>
        <w:adjustRightInd w:val="0"/>
        <w:snapToGrid w:val="0"/>
        <w:spacing w:line="500" w:lineRule="exact"/>
        <w:jc w:val="left"/>
        <w:rPr>
          <w:rFonts w:eastAsia="宋体"/>
          <w:color w:val="000000" w:themeColor="text1"/>
          <w14:textFill>
            <w14:solidFill>
              <w14:schemeClr w14:val="tx1"/>
            </w14:solidFill>
          </w14:textFill>
        </w:rPr>
      </w:pPr>
      <w:bookmarkStart w:id="346" w:name="7.2.2生产工艺过程与水环境风险控制水平（M）评估"/>
      <w:bookmarkEnd w:id="346"/>
      <w:bookmarkStart w:id="347" w:name="_Toc3360"/>
      <w:bookmarkStart w:id="348" w:name="_Toc23938"/>
      <w:bookmarkStart w:id="349" w:name="_Toc30523"/>
      <w:bookmarkStart w:id="350" w:name="_TOC_250014"/>
      <w:r>
        <w:rPr>
          <w:rFonts w:hint="eastAsia" w:eastAsia="宋体"/>
          <w:color w:val="000000" w:themeColor="text1"/>
          <w14:textFill>
            <w14:solidFill>
              <w14:schemeClr w14:val="tx1"/>
            </w14:solidFill>
          </w14:textFill>
        </w:rPr>
        <w:t>7.2.2 生产工艺过程与水环境风险控制水平（M）评估</w:t>
      </w:r>
      <w:bookmarkEnd w:id="347"/>
      <w:bookmarkEnd w:id="348"/>
      <w:bookmarkEnd w:id="349"/>
    </w:p>
    <w:bookmarkEnd w:id="350"/>
    <w:p>
      <w:pPr>
        <w:pStyle w:val="13"/>
        <w:spacing w:after="0" w:line="500" w:lineRule="exact"/>
        <w:ind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采用评分法对企业生产工艺过程、水环境风险防控措施及突发水环境事件发生情况进行评估，将各项分值累加，确定企业生产工艺过程与水环境风险控制水平（M）。</w:t>
      </w:r>
    </w:p>
    <w:p>
      <w:pPr>
        <w:pStyle w:val="13"/>
        <w:numPr>
          <w:ilvl w:val="255"/>
          <w:numId w:val="0"/>
        </w:numPr>
        <w:spacing w:after="0" w:line="500" w:lineRule="exact"/>
        <w:ind w:left="480" w:leftChars="200"/>
        <w:jc w:val="left"/>
        <w:rPr>
          <w:rFonts w:eastAsia="宋体"/>
          <w:spacing w:val="-10"/>
        </w:rPr>
      </w:pPr>
      <w:r>
        <w:rPr>
          <w:rFonts w:hint="eastAsia" w:eastAsia="宋体"/>
          <w:spacing w:val="-10"/>
        </w:rPr>
        <w:t>（1）</w:t>
      </w:r>
      <w:r>
        <w:rPr>
          <w:rFonts w:eastAsia="宋体"/>
          <w:spacing w:val="-10"/>
        </w:rPr>
        <w:t>生产工艺过程含有风险工艺和设备情况</w:t>
      </w:r>
    </w:p>
    <w:p>
      <w:pPr>
        <w:pStyle w:val="13"/>
        <w:spacing w:after="0" w:line="500" w:lineRule="exact"/>
        <w:ind w:firstLine="440" w:firstLineChars="200"/>
        <w:jc w:val="left"/>
        <w:rPr>
          <w:rFonts w:eastAsia="宋体"/>
          <w:spacing w:val="-10"/>
        </w:rPr>
      </w:pPr>
      <w:r>
        <w:rPr>
          <w:rFonts w:eastAsia="宋体"/>
          <w:spacing w:val="-10"/>
        </w:rPr>
        <w:t>从上文章节3.5.</w:t>
      </w:r>
      <w:r>
        <w:rPr>
          <w:rFonts w:hint="eastAsia" w:eastAsia="宋体"/>
          <w:spacing w:val="-10"/>
        </w:rPr>
        <w:t>3</w:t>
      </w:r>
      <w:r>
        <w:rPr>
          <w:rFonts w:eastAsia="宋体"/>
          <w:spacing w:val="-10"/>
        </w:rPr>
        <w:t>可知，企业生产工艺过程评分为</w:t>
      </w:r>
      <w:r>
        <w:rPr>
          <w:rFonts w:hint="eastAsia" w:eastAsia="宋体"/>
          <w:spacing w:val="-10"/>
        </w:rPr>
        <w:t>5</w:t>
      </w:r>
      <w:r>
        <w:rPr>
          <w:rFonts w:eastAsia="宋体"/>
          <w:spacing w:val="-10"/>
        </w:rPr>
        <w:t>分。</w:t>
      </w:r>
    </w:p>
    <w:p>
      <w:pPr>
        <w:pStyle w:val="13"/>
        <w:numPr>
          <w:ilvl w:val="255"/>
          <w:numId w:val="0"/>
        </w:numPr>
        <w:spacing w:after="0" w:line="500" w:lineRule="exact"/>
        <w:ind w:left="480" w:leftChars="200"/>
        <w:jc w:val="left"/>
        <w:rPr>
          <w:rFonts w:eastAsia="宋体"/>
          <w:spacing w:val="-10"/>
        </w:rPr>
      </w:pPr>
      <w:r>
        <w:rPr>
          <w:rFonts w:hint="eastAsia" w:eastAsia="宋体"/>
          <w:spacing w:val="-10"/>
        </w:rPr>
        <w:t>（2）</w:t>
      </w:r>
      <w:r>
        <w:rPr>
          <w:rFonts w:eastAsia="宋体"/>
          <w:spacing w:val="-10"/>
        </w:rPr>
        <w:t>水环境风险防控措施及突发水环境事件发生情况</w:t>
      </w:r>
    </w:p>
    <w:p>
      <w:pPr>
        <w:pStyle w:val="13"/>
        <w:spacing w:after="0" w:line="500" w:lineRule="exact"/>
        <w:ind w:firstLine="440" w:firstLineChars="200"/>
        <w:jc w:val="left"/>
      </w:pPr>
      <w:r>
        <w:rPr>
          <w:rFonts w:eastAsia="宋体"/>
          <w:spacing w:val="-10"/>
        </w:rPr>
        <w:t>公司水环境风险防控措施与突发水环境事件发生情况评估评估指标见7-7。对各项评估指标分别评分、计算总和，各项指标分值合计最高为70分。</w:t>
      </w:r>
    </w:p>
    <w:p>
      <w:pPr>
        <w:spacing w:line="362" w:lineRule="auto"/>
        <w:sectPr>
          <w:pgSz w:w="11910" w:h="16840"/>
          <w:pgMar w:top="1360" w:right="1320" w:bottom="1200" w:left="1500" w:header="882" w:footer="1017" w:gutter="0"/>
          <w:cols w:space="720" w:num="1"/>
        </w:sectPr>
      </w:pPr>
    </w:p>
    <w:p>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7-7</w:t>
      </w:r>
      <w:r>
        <w:rPr>
          <w:rFonts w:eastAsiaTheme="minorEastAsia"/>
          <w:b/>
          <w:color w:val="000000" w:themeColor="text1"/>
          <w14:textFill>
            <w14:solidFill>
              <w14:schemeClr w14:val="tx1"/>
            </w14:solidFill>
          </w14:textFill>
        </w:rPr>
        <w:t xml:space="preserve"> 企业水环境风险防控措施及突发水环境事件发生情况评估</w:t>
      </w:r>
    </w:p>
    <w:tbl>
      <w:tblPr>
        <w:tblStyle w:val="38"/>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评估指标</w:t>
            </w:r>
          </w:p>
        </w:tc>
        <w:tc>
          <w:tcPr>
            <w:tcW w:w="7376" w:type="dxa"/>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540" w:type="dxa"/>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4188"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612" w:type="dxa"/>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截流措施</w:t>
            </w:r>
          </w:p>
        </w:tc>
        <w:tc>
          <w:tcPr>
            <w:tcW w:w="7376" w:type="dxa"/>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（1）环境风险单元设防渗漏、防腐蚀、防截流措施；且</w:t>
            </w:r>
          </w:p>
          <w:p>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eastAsiaTheme="minorEastAsia"/>
                <w:color w:val="000000" w:themeColor="text1"/>
                <w:sz w:val="21"/>
                <w:szCs w:val="21"/>
                <w14:textFill>
                  <w14:solidFill>
                    <w14:schemeClr w14:val="tx1"/>
                  </w14:solidFill>
                </w14:textFill>
              </w:rPr>
              <w:t>废</w:t>
            </w:r>
            <w:r>
              <w:rPr>
                <w:rFonts w:eastAsiaTheme="minorEastAsia"/>
                <w:color w:val="000000" w:themeColor="text1"/>
                <w:sz w:val="21"/>
                <w:szCs w:val="21"/>
                <w14:textFill>
                  <w14:solidFill>
                    <w14:schemeClr w14:val="tx1"/>
                  </w14:solidFill>
                </w14:textFill>
              </w:rPr>
              <w:t>水排放缓冲池或污</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系统的阀门打开；且</w:t>
            </w:r>
          </w:p>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 xml:space="preserve">①各个环境风险单元设防渗漏、防腐蚀、防淋溶、防流失措施； </w:t>
            </w:r>
          </w:p>
          <w:p>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②雨水排口均设置切断阀，企业设有专人对厂区进行巡视，负责排水装置阀门切换。</w:t>
            </w:r>
          </w:p>
        </w:tc>
        <w:tc>
          <w:tcPr>
            <w:tcW w:w="612"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事故废水收集措施</w:t>
            </w:r>
          </w:p>
        </w:tc>
        <w:tc>
          <w:tcPr>
            <w:tcW w:w="7376" w:type="dxa"/>
            <w:vAlign w:val="center"/>
          </w:tcPr>
          <w:p>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（3）通过协议单位或自建管线，能将所收集废水送至厂区内污</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设施处理</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pPr>
              <w:snapToGrid w:val="0"/>
              <w:rPr>
                <w:rFonts w:eastAsiaTheme="minorEastAsia"/>
                <w:color w:val="000000" w:themeColor="text1"/>
                <w:kern w:val="0"/>
                <w:sz w:val="21"/>
                <w:szCs w:val="21"/>
                <w:vertAlign w:val="superscript"/>
                <w14:textFill>
                  <w14:solidFill>
                    <w14:schemeClr w14:val="tx1"/>
                  </w14:solidFill>
                </w14:textFill>
              </w:rPr>
            </w:pPr>
            <w:r>
              <w:rPr>
                <w:rFonts w:eastAsiaTheme="minorEastAsia"/>
                <w:color w:val="000000" w:themeColor="text1"/>
                <w:sz w:val="21"/>
                <w:szCs w:val="21"/>
                <w14:textFill>
                  <w14:solidFill>
                    <w14:schemeClr w14:val="tx1"/>
                  </w14:solidFill>
                </w14:textFill>
              </w:rPr>
              <w:t>（1）</w:t>
            </w:r>
            <w:r>
              <w:rPr>
                <w:rFonts w:eastAsiaTheme="minorEastAsia"/>
                <w:color w:val="000000" w:themeColor="text1"/>
                <w:kern w:val="0"/>
                <w:sz w:val="21"/>
                <w:szCs w:val="21"/>
                <w14:textFill>
                  <w14:solidFill>
                    <w14:schemeClr w14:val="tx1"/>
                  </w14:solidFill>
                </w14:textFill>
              </w:rPr>
              <w:t>公司</w:t>
            </w:r>
            <w:r>
              <w:rPr>
                <w:rFonts w:hint="eastAsia" w:eastAsiaTheme="minorEastAsia"/>
                <w:color w:val="000000" w:themeColor="text1"/>
                <w:kern w:val="0"/>
                <w:sz w:val="21"/>
                <w:szCs w:val="21"/>
                <w14:textFill>
                  <w14:solidFill>
                    <w14:schemeClr w14:val="tx1"/>
                  </w14:solidFill>
                </w14:textFill>
              </w:rPr>
              <w:t>设置</w:t>
            </w:r>
            <w:r>
              <w:rPr>
                <w:rFonts w:hint="eastAsia" w:eastAsiaTheme="minorEastAsia"/>
                <w:color w:val="000000" w:themeColor="text1"/>
                <w:kern w:val="0"/>
                <w:sz w:val="21"/>
                <w:szCs w:val="21"/>
                <w:highlight w:val="none"/>
                <w:lang w:val="en-US" w:eastAsia="zh-CN"/>
                <w14:textFill>
                  <w14:solidFill>
                    <w14:schemeClr w14:val="tx1"/>
                  </w14:solidFill>
                </w14:textFill>
              </w:rPr>
              <w:t>352</w:t>
            </w:r>
            <w:r>
              <w:rPr>
                <w:rFonts w:hint="eastAsia" w:eastAsiaTheme="minorEastAsia"/>
                <w:color w:val="000000" w:themeColor="text1"/>
                <w:kern w:val="0"/>
                <w:sz w:val="21"/>
                <w:szCs w:val="21"/>
                <w:highlight w:val="none"/>
                <w14:textFill>
                  <w14:solidFill>
                    <w14:schemeClr w14:val="tx1"/>
                  </w14:solidFill>
                </w14:textFill>
              </w:rPr>
              <w:t>m</w:t>
            </w:r>
            <w:r>
              <w:rPr>
                <w:rFonts w:hint="eastAsia" w:eastAsiaTheme="minorEastAsia"/>
                <w:color w:val="000000" w:themeColor="text1"/>
                <w:kern w:val="0"/>
                <w:sz w:val="21"/>
                <w:szCs w:val="21"/>
                <w:vertAlign w:val="superscript"/>
                <w14:textFill>
                  <w14:solidFill>
                    <w14:schemeClr w14:val="tx1"/>
                  </w14:solidFill>
                </w14:textFill>
              </w:rPr>
              <w:t>3</w:t>
            </w:r>
            <w:r>
              <w:rPr>
                <w:rFonts w:eastAsiaTheme="minorEastAsia"/>
                <w:color w:val="000000" w:themeColor="text1"/>
                <w:kern w:val="0"/>
                <w:sz w:val="21"/>
                <w:szCs w:val="21"/>
                <w14:textFill>
                  <w14:solidFill>
                    <w14:schemeClr w14:val="tx1"/>
                  </w14:solidFill>
                </w14:textFill>
              </w:rPr>
              <w:t>事故应急池</w:t>
            </w:r>
            <w:r>
              <w:rPr>
                <w:rFonts w:hint="eastAsia" w:eastAsiaTheme="minorEastAsia"/>
                <w:color w:val="000000" w:themeColor="text1"/>
                <w:kern w:val="0"/>
                <w:sz w:val="21"/>
                <w:szCs w:val="21"/>
                <w14:textFill>
                  <w14:solidFill>
                    <w14:schemeClr w14:val="tx1"/>
                  </w14:solidFill>
                </w14:textFill>
              </w:rPr>
              <w:t>。</w:t>
            </w:r>
          </w:p>
          <w:p>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（2）事故应急事池位置合理，各区域废水</w:t>
            </w:r>
            <w:r>
              <w:rPr>
                <w:rFonts w:hint="eastAsia" w:eastAsiaTheme="minorEastAsia"/>
                <w:color w:val="000000" w:themeColor="text1"/>
                <w:sz w:val="21"/>
                <w:szCs w:val="21"/>
                <w14:textFill>
                  <w14:solidFill>
                    <w14:schemeClr w14:val="tx1"/>
                  </w14:solidFill>
                </w14:textFill>
              </w:rPr>
              <w:t>可自流</w:t>
            </w:r>
            <w:r>
              <w:rPr>
                <w:rFonts w:eastAsiaTheme="minorEastAsia"/>
                <w:color w:val="000000" w:themeColor="text1"/>
                <w:sz w:val="21"/>
                <w:szCs w:val="21"/>
                <w14:textFill>
                  <w14:solidFill>
                    <w14:schemeClr w14:val="tx1"/>
                  </w14:solidFill>
                </w14:textFill>
              </w:rPr>
              <w:t>进事故池内</w:t>
            </w:r>
          </w:p>
          <w:p>
            <w:pPr>
              <w:adjustRightInd w:val="0"/>
              <w:snapToGrid w:val="0"/>
              <w:jc w:val="left"/>
              <w:rPr>
                <w:rFonts w:eastAsiaTheme="minorEastAsia"/>
                <w:color w:val="000000" w:themeColor="text1"/>
                <w:sz w:val="21"/>
                <w:szCs w:val="21"/>
                <w14:textFill>
                  <w14:solidFill>
                    <w14:schemeClr w14:val="tx1"/>
                  </w14:solidFill>
                </w14:textFill>
              </w:rPr>
            </w:pPr>
          </w:p>
        </w:tc>
        <w:tc>
          <w:tcPr>
            <w:tcW w:w="612"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清净废水系统风险防控措施</w:t>
            </w:r>
          </w:p>
        </w:tc>
        <w:tc>
          <w:tcPr>
            <w:tcW w:w="7376" w:type="dxa"/>
            <w:vAlign w:val="center"/>
          </w:tcPr>
          <w:p>
            <w:pPr>
              <w:autoSpaceDE w:val="0"/>
              <w:autoSpaceDN w:val="0"/>
              <w:adjustRightInd w:val="0"/>
              <w:snapToGrid w:val="0"/>
              <w:ind w:right="38" w:rightChars="16"/>
              <w:jc w:val="left"/>
              <w:rPr>
                <w:rFonts w:eastAsiaTheme="minorEastAsia"/>
                <w:color w:val="000000" w:themeColor="text1"/>
                <w:sz w:val="21"/>
                <w:szCs w:val="21"/>
                <w:highlight w:val="yellow"/>
                <w14:textFill>
                  <w14:solidFill>
                    <w14:schemeClr w14:val="tx1"/>
                  </w14:solidFill>
                </w14:textFill>
              </w:rPr>
            </w:pPr>
            <w:r>
              <w:rPr>
                <w:rFonts w:eastAsiaTheme="minorEastAsia"/>
                <w:color w:val="000000" w:themeColor="text1"/>
                <w:sz w:val="21"/>
                <w:szCs w:val="21"/>
                <w14:textFill>
                  <w14:solidFill>
                    <w14:schemeClr w14:val="tx1"/>
                  </w14:solidFill>
                </w14:textFill>
              </w:rPr>
              <w:t>（1）不涉及清净废水</w:t>
            </w:r>
            <w:r>
              <w:rPr>
                <w:rFonts w:hint="eastAsia" w:eastAsiaTheme="minorEastAsia"/>
                <w:color w:val="000000" w:themeColor="text1"/>
                <w:sz w:val="21"/>
                <w:szCs w:val="21"/>
                <w14:textFill>
                  <w14:solidFill>
                    <w14:schemeClr w14:val="tx1"/>
                  </w14:solidFill>
                </w14:textFill>
              </w:rPr>
              <w:t>；或</w:t>
            </w:r>
          </w:p>
          <w:p>
            <w:pPr>
              <w:autoSpaceDE w:val="0"/>
              <w:autoSpaceDN w:val="0"/>
              <w:adjustRightInd w:val="0"/>
              <w:snapToGrid w:val="0"/>
              <w:ind w:right="38" w:rightChars="16"/>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（2）厂区内清净废水均可排入废</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系统；或清污分流，且清净废水系统具有下述所有措施：</w:t>
            </w:r>
          </w:p>
          <w:p>
            <w:pPr>
              <w:autoSpaceDE w:val="0"/>
              <w:autoSpaceDN w:val="0"/>
              <w:adjustRightInd w:val="0"/>
              <w:snapToGrid w:val="0"/>
              <w:ind w:firstLine="105" w:firstLineChars="5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具有收集受污染的清净废水</w:t>
            </w:r>
            <w:r>
              <w:rPr>
                <w:rFonts w:hint="eastAsia" w:eastAsiaTheme="minorEastAsia"/>
                <w:color w:val="000000" w:themeColor="text1"/>
                <w:spacing w:val="-4"/>
                <w:sz w:val="21"/>
                <w:szCs w:val="21"/>
                <w14:textFill>
                  <w14:solidFill>
                    <w14:schemeClr w14:val="tx1"/>
                  </w14:solidFill>
                </w14:textFill>
              </w:rPr>
              <w:t>的缓冲池</w:t>
            </w:r>
            <w:r>
              <w:rPr>
                <w:rFonts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eastAsiaTheme="minorEastAsia"/>
                <w:color w:val="000000" w:themeColor="text1"/>
                <w:spacing w:val="-4"/>
                <w:sz w:val="21"/>
                <w:szCs w:val="21"/>
                <w14:textFill>
                  <w14:solidFill>
                    <w14:schemeClr w14:val="tx1"/>
                  </w14:solidFill>
                </w14:textFill>
              </w:rPr>
              <w:t>收</w:t>
            </w:r>
            <w:r>
              <w:rPr>
                <w:rFonts w:eastAsiaTheme="minorEastAsia"/>
                <w:color w:val="000000" w:themeColor="text1"/>
                <w:spacing w:val="-4"/>
                <w:sz w:val="21"/>
                <w:szCs w:val="21"/>
                <w14:textFill>
                  <w14:solidFill>
                    <w14:schemeClr w14:val="tx1"/>
                  </w14:solidFill>
                </w14:textFill>
              </w:rPr>
              <w:t>集物送至厂区内污</w:t>
            </w:r>
            <w:r>
              <w:rPr>
                <w:rFonts w:hint="eastAsia" w:eastAsiaTheme="minorEastAsia"/>
                <w:color w:val="000000" w:themeColor="text1"/>
                <w:spacing w:val="-4"/>
                <w:sz w:val="21"/>
                <w:szCs w:val="21"/>
                <w14:textFill>
                  <w14:solidFill>
                    <w14:schemeClr w14:val="tx1"/>
                  </w14:solidFill>
                </w14:textFill>
              </w:rPr>
              <w:t>水处理</w:t>
            </w:r>
            <w:r>
              <w:rPr>
                <w:rFonts w:eastAsiaTheme="minorEastAsia"/>
                <w:color w:val="000000" w:themeColor="text1"/>
                <w:spacing w:val="-4"/>
                <w:sz w:val="21"/>
                <w:szCs w:val="21"/>
                <w14:textFill>
                  <w14:solidFill>
                    <w14:schemeClr w14:val="tx1"/>
                  </w14:solidFill>
                </w14:textFill>
              </w:rPr>
              <w:t>设施处理；</w:t>
            </w:r>
          </w:p>
          <w:p>
            <w:pPr>
              <w:autoSpaceDE w:val="0"/>
              <w:autoSpaceDN w:val="0"/>
              <w:adjustRightInd w:val="0"/>
              <w:snapToGrid w:val="0"/>
              <w:ind w:firstLine="105" w:firstLineChars="5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不涉及清净废水。</w:t>
            </w:r>
          </w:p>
        </w:tc>
        <w:tc>
          <w:tcPr>
            <w:tcW w:w="612"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雨排水系统风险防控措施</w:t>
            </w:r>
          </w:p>
        </w:tc>
        <w:tc>
          <w:tcPr>
            <w:tcW w:w="7376" w:type="dxa"/>
            <w:vAlign w:val="center"/>
          </w:tcPr>
          <w:p>
            <w:pPr>
              <w:autoSpaceDE w:val="0"/>
              <w:autoSpaceDN w:val="0"/>
              <w:adjustRightInd w:val="0"/>
              <w:snapToGrid w:val="0"/>
              <w:jc w:val="left"/>
              <w:rPr>
                <w:rFonts w:eastAsiaTheme="minorEastAsia"/>
                <w:color w:val="000000" w:themeColor="text1"/>
                <w:sz w:val="21"/>
                <w:szCs w:val="21"/>
                <w:highlight w:val="yellow"/>
                <w14:textFill>
                  <w14:solidFill>
                    <w14:schemeClr w14:val="tx1"/>
                  </w14:solidFill>
                </w14:textFill>
              </w:rPr>
            </w:pPr>
            <w:r>
              <w:rPr>
                <w:rFonts w:eastAsiaTheme="minorEastAsia"/>
                <w:color w:val="000000" w:themeColor="text1"/>
                <w:sz w:val="21"/>
                <w:szCs w:val="21"/>
                <w14:textFill>
                  <w14:solidFill>
                    <w14:schemeClr w14:val="tx1"/>
                  </w14:solidFill>
                </w14:textFill>
              </w:rPr>
              <w:t>（1）厂区内雨水均进入废</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系统；或雨污分流，且雨</w:t>
            </w:r>
            <w:r>
              <w:rPr>
                <w:rFonts w:hint="eastAsia" w:eastAsiaTheme="minorEastAsia"/>
                <w:color w:val="000000" w:themeColor="text1"/>
                <w:sz w:val="21"/>
                <w:szCs w:val="21"/>
                <w14:textFill>
                  <w14:solidFill>
                    <w14:schemeClr w14:val="tx1"/>
                  </w14:solidFill>
                </w14:textFill>
              </w:rPr>
              <w:t>水</w:t>
            </w:r>
            <w:r>
              <w:rPr>
                <w:rFonts w:eastAsiaTheme="minorEastAsia"/>
                <w:color w:val="000000" w:themeColor="text1"/>
                <w:sz w:val="21"/>
                <w:szCs w:val="21"/>
                <w14:textFill>
                  <w14:solidFill>
                    <w14:schemeClr w14:val="tx1"/>
                  </w14:solidFill>
                </w14:textFill>
              </w:rPr>
              <w:t>排水系统具有下述所有措施：</w:t>
            </w:r>
          </w:p>
          <w:p>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具有收集初期雨水的收集池或雨水监控池；池出水管上设置切断阀，正常情况下阀门关闭，防止受污染的雨水外排；池内设有提升设施或通过自流，能将所</w:t>
            </w:r>
            <w:r>
              <w:rPr>
                <w:rFonts w:hint="eastAsia" w:eastAsiaTheme="minorEastAsia"/>
                <w:color w:val="000000" w:themeColor="text1"/>
                <w:spacing w:val="-4"/>
                <w:sz w:val="21"/>
                <w:szCs w:val="21"/>
                <w14:textFill>
                  <w14:solidFill>
                    <w14:schemeClr w14:val="tx1"/>
                  </w14:solidFill>
                </w14:textFill>
              </w:rPr>
              <w:t>收</w:t>
            </w:r>
            <w:r>
              <w:rPr>
                <w:rFonts w:eastAsiaTheme="minorEastAsia"/>
                <w:color w:val="000000" w:themeColor="text1"/>
                <w:spacing w:val="-4"/>
                <w:sz w:val="21"/>
                <w:szCs w:val="21"/>
                <w14:textFill>
                  <w14:solidFill>
                    <w14:schemeClr w14:val="tx1"/>
                  </w14:solidFill>
                </w14:textFill>
              </w:rPr>
              <w:t>集物送至厂区内污</w:t>
            </w:r>
            <w:r>
              <w:rPr>
                <w:rFonts w:hint="eastAsia" w:eastAsiaTheme="minorEastAsia"/>
                <w:color w:val="000000" w:themeColor="text1"/>
                <w:spacing w:val="-4"/>
                <w:sz w:val="21"/>
                <w:szCs w:val="21"/>
                <w14:textFill>
                  <w14:solidFill>
                    <w14:schemeClr w14:val="tx1"/>
                  </w14:solidFill>
                </w14:textFill>
              </w:rPr>
              <w:t>水处理</w:t>
            </w:r>
            <w:r>
              <w:rPr>
                <w:rFonts w:eastAsiaTheme="minorEastAsia"/>
                <w:color w:val="000000" w:themeColor="text1"/>
                <w:spacing w:val="-4"/>
                <w:sz w:val="21"/>
                <w:szCs w:val="21"/>
                <w14:textFill>
                  <w14:solidFill>
                    <w14:schemeClr w14:val="tx1"/>
                  </w14:solidFill>
                </w14:textFill>
              </w:rPr>
              <w:t>设施处理；</w:t>
            </w:r>
          </w:p>
          <w:p>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pPr>
              <w:keepNext/>
              <w:keepLines/>
            </w:pPr>
            <w:bookmarkStart w:id="351" w:name="_Toc16736"/>
            <w:r>
              <w:rPr>
                <w:rFonts w:eastAsiaTheme="minorEastAsia"/>
                <w:color w:val="000000" w:themeColor="text1"/>
                <w:spacing w:val="-4"/>
                <w:sz w:val="21"/>
                <w:szCs w:val="21"/>
                <w14:textFill>
                  <w14:solidFill>
                    <w14:schemeClr w14:val="tx1"/>
                  </w14:solidFill>
                </w14:textFill>
              </w:rPr>
              <w:t>厂区内雨污分流，</w:t>
            </w:r>
            <w:r>
              <w:rPr>
                <w:rFonts w:hint="eastAsia" w:eastAsiaTheme="minorEastAsia"/>
                <w:color w:val="000000" w:themeColor="text1"/>
                <w:spacing w:val="-4"/>
                <w:sz w:val="21"/>
                <w:szCs w:val="21"/>
                <w14:textFill>
                  <w14:solidFill>
                    <w14:schemeClr w14:val="tx1"/>
                  </w14:solidFill>
                </w14:textFill>
              </w:rPr>
              <w:t>但无雨水收集池</w:t>
            </w:r>
            <w:bookmarkEnd w:id="351"/>
          </w:p>
        </w:tc>
        <w:tc>
          <w:tcPr>
            <w:tcW w:w="612"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不符合上述要求的。</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生产废</w:t>
            </w:r>
            <w:r>
              <w:rPr>
                <w:rFonts w:hint="eastAsia" w:eastAsiaTheme="minorEastAsia"/>
                <w:color w:val="000000" w:themeColor="text1"/>
                <w:sz w:val="21"/>
                <w:szCs w:val="21"/>
                <w14:textFill>
                  <w14:solidFill>
                    <w14:schemeClr w14:val="tx1"/>
                  </w14:solidFill>
                </w14:textFill>
              </w:rPr>
              <w:t>水</w:t>
            </w:r>
            <w:r>
              <w:rPr>
                <w:rFonts w:eastAsiaTheme="minorEastAsia"/>
                <w:color w:val="000000" w:themeColor="text1"/>
                <w:sz w:val="21"/>
                <w:szCs w:val="21"/>
                <w14:textFill>
                  <w14:solidFill>
                    <w14:schemeClr w14:val="tx1"/>
                  </w14:solidFill>
                </w14:textFill>
              </w:rPr>
              <w:t>公司系统风险防控措施</w:t>
            </w:r>
          </w:p>
        </w:tc>
        <w:tc>
          <w:tcPr>
            <w:tcW w:w="7376" w:type="dxa"/>
            <w:vAlign w:val="center"/>
          </w:tcPr>
          <w:p>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（1）无生产废水产生或外排；或</w:t>
            </w:r>
          </w:p>
          <w:p>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（2）有废水外排时：</w:t>
            </w:r>
          </w:p>
          <w:p>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r>
              <w:rPr>
                <w:rFonts w:eastAsiaTheme="minorEastAsia"/>
                <w:color w:val="000000" w:themeColor="text1"/>
                <w:sz w:val="21"/>
                <w:szCs w:val="21"/>
                <w14:textFill>
                  <w14:solidFill>
                    <w14:schemeClr w14:val="tx1"/>
                  </w14:solidFill>
                </w14:textFill>
              </w:rPr>
              <w:t xml:space="preserve"> </w:t>
            </w:r>
          </w:p>
          <w:p>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 xml:space="preserve">生产废水排放前设监控池，能够将不合格废水送废公司设施处理； </w:t>
            </w:r>
          </w:p>
          <w:p>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w:t>
            </w:r>
            <w:r>
              <w:rPr>
                <w:rFonts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④</w:t>
            </w:r>
            <w:r>
              <w:rPr>
                <w:rFonts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企业无生产废水外排</w:t>
            </w:r>
            <w:r>
              <w:rPr>
                <w:rFonts w:eastAsiaTheme="minorEastAsia"/>
                <w:color w:val="000000" w:themeColor="text1"/>
                <w:sz w:val="21"/>
                <w:szCs w:val="21"/>
                <w14:textFill>
                  <w14:solidFill>
                    <w14:schemeClr w14:val="tx1"/>
                  </w14:solidFill>
                </w14:textFill>
              </w:rPr>
              <w:t>。</w:t>
            </w:r>
          </w:p>
        </w:tc>
        <w:tc>
          <w:tcPr>
            <w:tcW w:w="612"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废水排放去向</w:t>
            </w:r>
          </w:p>
        </w:tc>
        <w:tc>
          <w:tcPr>
            <w:tcW w:w="7376" w:type="dxa"/>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无生产废水产生或外排</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企业无生产废水外排</w:t>
            </w:r>
            <w:r>
              <w:rPr>
                <w:rFonts w:eastAsiaTheme="minorEastAsia"/>
                <w:color w:val="000000" w:themeColor="text1"/>
                <w:sz w:val="21"/>
                <w:szCs w:val="21"/>
                <w14:textFill>
                  <w14:solidFill>
                    <w14:schemeClr w14:val="tx1"/>
                  </w14:solidFill>
                </w14:textFill>
              </w:rPr>
              <w:t>。</w:t>
            </w:r>
          </w:p>
        </w:tc>
        <w:tc>
          <w:tcPr>
            <w:tcW w:w="612"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（1）依法获取污水排入排水管网许可，进入城镇污公司厂；或</w:t>
            </w:r>
          </w:p>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（2）进去工业废水集中处理厂，或</w:t>
            </w:r>
          </w:p>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（3）进入其他单位</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1101"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（1）直接进入海域或进入江、河、湖、库等水环境；或</w:t>
            </w:r>
          </w:p>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（2）进入城市下水道再进入江、河、湖、库或再进入海域；或</w:t>
            </w:r>
          </w:p>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（3）未依法取得污水排入排水管网许可，进入城镇污公司厂；或</w:t>
            </w:r>
          </w:p>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（4）直接进入污灌农田或蒸发地</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12</w:t>
            </w:r>
          </w:p>
        </w:tc>
        <w:tc>
          <w:tcPr>
            <w:tcW w:w="4188"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厂区危险废物环境管理</w:t>
            </w:r>
          </w:p>
        </w:tc>
        <w:tc>
          <w:tcPr>
            <w:tcW w:w="7376" w:type="dxa"/>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（1）不涉及危险废物的；或</w:t>
            </w:r>
          </w:p>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根据现场调查，企业危险废物具体防控措施如下：</w:t>
            </w:r>
          </w:p>
          <w:p>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（1）危险废物采用封闭厂房堆放，做到防风、防雨、防晒的要求。</w:t>
            </w:r>
          </w:p>
          <w:p>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（2）各类危险废物按照性质进行分类堆放，并预留了搬运通道。</w:t>
            </w:r>
          </w:p>
          <w:p>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w:t>
            </w:r>
          </w:p>
        </w:tc>
        <w:tc>
          <w:tcPr>
            <w:tcW w:w="4188"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restart"/>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1101"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4188"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trPr>
        <w:tc>
          <w:tcPr>
            <w:tcW w:w="1101"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未发生突发水环境事件的</w:t>
            </w:r>
          </w:p>
        </w:tc>
        <w:tc>
          <w:tcPr>
            <w:tcW w:w="540"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188"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612" w:type="dxa"/>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8</w:t>
            </w:r>
          </w:p>
        </w:tc>
      </w:tr>
    </w:tbl>
    <w:p>
      <w:pPr>
        <w:pStyle w:val="13"/>
        <w:spacing w:before="8"/>
        <w:rPr>
          <w:sz w:val="12"/>
        </w:rPr>
      </w:pPr>
    </w:p>
    <w:p>
      <w:pPr>
        <w:rPr>
          <w:sz w:val="21"/>
        </w:rPr>
        <w:sectPr>
          <w:footerReference r:id="rId11" w:type="default"/>
          <w:pgSz w:w="16840" w:h="11910" w:orient="landscape"/>
          <w:pgMar w:top="1180" w:right="1800" w:bottom="1200" w:left="1520" w:header="794" w:footer="1017" w:gutter="0"/>
          <w:cols w:space="720" w:num="1"/>
        </w:sectPr>
      </w:pPr>
    </w:p>
    <w:p>
      <w:pPr>
        <w:pStyle w:val="13"/>
        <w:spacing w:line="20" w:lineRule="exact"/>
        <w:ind w:left="129"/>
        <w:rPr>
          <w:sz w:val="2"/>
        </w:rPr>
      </w:pPr>
    </w:p>
    <w:p>
      <w:pPr>
        <w:pStyle w:val="13"/>
        <w:numPr>
          <w:ilvl w:val="255"/>
          <w:numId w:val="0"/>
        </w:numPr>
        <w:spacing w:after="0" w:line="500" w:lineRule="exact"/>
        <w:ind w:left="480" w:leftChars="200"/>
        <w:jc w:val="left"/>
        <w:rPr>
          <w:rFonts w:eastAsia="宋体"/>
          <w:spacing w:val="-10"/>
        </w:rPr>
      </w:pPr>
      <w:r>
        <w:rPr>
          <w:rFonts w:hint="eastAsia" w:eastAsia="宋体"/>
          <w:spacing w:val="-10"/>
        </w:rPr>
        <w:t>（4）企业生产工艺过程与大气环境风险控制水平</w:t>
      </w:r>
    </w:p>
    <w:p>
      <w:pPr>
        <w:pStyle w:val="13"/>
        <w:spacing w:after="0" w:line="500" w:lineRule="exact"/>
        <w:ind w:firstLine="440" w:firstLineChars="200"/>
        <w:jc w:val="left"/>
        <w:rPr>
          <w:rFonts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将企业生产工艺过程、水环境风险防控措施及突发水环境事件发生情况各项指标评估分值累加，得出生产工艺过程与大气环境风险控制水平值，按照表7-8划分为4个类型。</w:t>
      </w:r>
    </w:p>
    <w:p>
      <w:pPr>
        <w:adjustRightInd w:val="0"/>
        <w:snapToGrid w:val="0"/>
        <w:spacing w:line="500" w:lineRule="exact"/>
        <w:jc w:val="center"/>
        <w:rPr>
          <w:rFonts w:eastAsia="宋体"/>
          <w:snapToGrid w:val="0"/>
          <w:kern w:val="0"/>
        </w:rPr>
      </w:pPr>
      <w:r>
        <w:rPr>
          <w:rFonts w:eastAsia="宋体"/>
          <w:b/>
          <w:bCs/>
          <w:snapToGrid w:val="0"/>
          <w:kern w:val="0"/>
        </w:rPr>
        <w:t>表</w:t>
      </w:r>
      <w:r>
        <w:rPr>
          <w:rFonts w:hint="eastAsia" w:eastAsia="宋体"/>
          <w:b/>
          <w:bCs/>
          <w:snapToGrid w:val="0"/>
          <w:kern w:val="0"/>
        </w:rPr>
        <w:t>7-8</w:t>
      </w:r>
      <w:r>
        <w:rPr>
          <w:rFonts w:eastAsia="宋体"/>
          <w:b/>
          <w:bCs/>
          <w:snapToGrid w:val="0"/>
          <w:kern w:val="0"/>
        </w:rPr>
        <w:t xml:space="preserve"> 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生产工艺过程与环境风险控制水平值(M)</w:t>
            </w:r>
          </w:p>
        </w:tc>
        <w:tc>
          <w:tcPr>
            <w:tcW w:w="2459" w:type="pct"/>
            <w:tcBorders>
              <w:tl2br w:val="nil"/>
              <w:tr2bl w:val="nil"/>
            </w:tcBorders>
            <w:vAlign w:val="center"/>
          </w:tcPr>
          <w:p>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生产工艺过程与环境风险及其控制水平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pPr>
              <w:adjustRightInd w:val="0"/>
              <w:snapToGrid w:val="0"/>
              <w:jc w:val="center"/>
              <w:rPr>
                <w:rFonts w:eastAsia="宋体"/>
                <w:snapToGrid w:val="0"/>
                <w:kern w:val="0"/>
                <w:sz w:val="21"/>
                <w:szCs w:val="21"/>
              </w:rPr>
            </w:pPr>
            <w:r>
              <w:rPr>
                <w:rFonts w:eastAsia="宋体"/>
                <w:snapToGrid w:val="0"/>
                <w:kern w:val="0"/>
                <w:sz w:val="21"/>
                <w:szCs w:val="21"/>
              </w:rPr>
              <w:t>M＜25</w:t>
            </w:r>
          </w:p>
        </w:tc>
        <w:tc>
          <w:tcPr>
            <w:tcW w:w="2459" w:type="pct"/>
            <w:tcBorders>
              <w:tl2br w:val="nil"/>
              <w:tr2bl w:val="nil"/>
            </w:tcBorders>
            <w:shd w:val="clear" w:color="auto" w:fill="FFFFFF" w:themeFill="background1"/>
            <w:vAlign w:val="center"/>
          </w:tcPr>
          <w:p>
            <w:pPr>
              <w:adjustRightInd w:val="0"/>
              <w:snapToGrid w:val="0"/>
              <w:jc w:val="center"/>
              <w:rPr>
                <w:rFonts w:eastAsia="宋体"/>
                <w:snapToGrid w:val="0"/>
                <w:kern w:val="0"/>
                <w:sz w:val="21"/>
                <w:szCs w:val="21"/>
              </w:rPr>
            </w:pPr>
            <w:r>
              <w:rPr>
                <w:rFonts w:eastAsia="宋体"/>
                <w:snapToGrid w:val="0"/>
                <w:kern w:val="0"/>
                <w:sz w:val="21"/>
                <w:szCs w:val="21"/>
              </w:rPr>
              <w:t>M1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pPr>
              <w:adjustRightInd w:val="0"/>
              <w:snapToGrid w:val="0"/>
              <w:jc w:val="center"/>
              <w:rPr>
                <w:rFonts w:eastAsia="宋体"/>
                <w:snapToGrid w:val="0"/>
                <w:kern w:val="0"/>
                <w:sz w:val="21"/>
                <w:szCs w:val="21"/>
              </w:rPr>
            </w:pPr>
            <w:r>
              <w:rPr>
                <w:rFonts w:eastAsia="宋体"/>
                <w:snapToGrid w:val="0"/>
                <w:kern w:val="0"/>
                <w:sz w:val="21"/>
                <w:szCs w:val="21"/>
              </w:rPr>
              <w:t>25≤M＜45</w:t>
            </w:r>
          </w:p>
        </w:tc>
        <w:tc>
          <w:tcPr>
            <w:tcW w:w="2459" w:type="pct"/>
            <w:tcBorders>
              <w:tl2br w:val="nil"/>
              <w:tr2bl w:val="nil"/>
            </w:tcBorders>
            <w:shd w:val="clear" w:color="auto" w:fill="auto"/>
            <w:vAlign w:val="center"/>
          </w:tcPr>
          <w:p>
            <w:pPr>
              <w:adjustRightInd w:val="0"/>
              <w:snapToGrid w:val="0"/>
              <w:jc w:val="center"/>
              <w:rPr>
                <w:rFonts w:eastAsia="宋体"/>
                <w:snapToGrid w:val="0"/>
                <w:kern w:val="0"/>
                <w:sz w:val="21"/>
                <w:szCs w:val="21"/>
              </w:rPr>
            </w:pPr>
            <w:r>
              <w:rPr>
                <w:rFonts w:eastAsia="宋体"/>
                <w:snapToGrid w:val="0"/>
                <w:kern w:val="0"/>
                <w:sz w:val="21"/>
                <w:szCs w:val="21"/>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pPr>
              <w:adjustRightInd w:val="0"/>
              <w:snapToGrid w:val="0"/>
              <w:jc w:val="center"/>
              <w:rPr>
                <w:rFonts w:eastAsia="宋体"/>
                <w:snapToGrid w:val="0"/>
                <w:kern w:val="0"/>
                <w:sz w:val="21"/>
                <w:szCs w:val="21"/>
              </w:rPr>
            </w:pPr>
            <w:r>
              <w:rPr>
                <w:rFonts w:eastAsia="宋体"/>
                <w:snapToGrid w:val="0"/>
                <w:kern w:val="0"/>
                <w:sz w:val="21"/>
                <w:szCs w:val="21"/>
              </w:rPr>
              <w:t>45≤M＜60</w:t>
            </w:r>
          </w:p>
        </w:tc>
        <w:tc>
          <w:tcPr>
            <w:tcW w:w="2459" w:type="pct"/>
            <w:tcBorders>
              <w:tl2br w:val="nil"/>
              <w:tr2bl w:val="nil"/>
            </w:tcBorders>
            <w:vAlign w:val="center"/>
          </w:tcPr>
          <w:p>
            <w:pPr>
              <w:adjustRightInd w:val="0"/>
              <w:snapToGrid w:val="0"/>
              <w:jc w:val="center"/>
              <w:rPr>
                <w:rFonts w:eastAsia="宋体"/>
                <w:snapToGrid w:val="0"/>
                <w:kern w:val="0"/>
                <w:sz w:val="21"/>
                <w:szCs w:val="21"/>
              </w:rPr>
            </w:pPr>
            <w:r>
              <w:rPr>
                <w:rFonts w:eastAsia="宋体"/>
                <w:snapToGrid w:val="0"/>
                <w:kern w:val="0"/>
                <w:sz w:val="21"/>
                <w:szCs w:val="21"/>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pPr>
              <w:adjustRightInd w:val="0"/>
              <w:snapToGrid w:val="0"/>
              <w:jc w:val="center"/>
              <w:rPr>
                <w:rFonts w:eastAsia="宋体"/>
                <w:snapToGrid w:val="0"/>
                <w:kern w:val="0"/>
                <w:sz w:val="21"/>
                <w:szCs w:val="21"/>
              </w:rPr>
            </w:pPr>
            <w:r>
              <w:rPr>
                <w:rFonts w:eastAsia="宋体"/>
                <w:snapToGrid w:val="0"/>
                <w:kern w:val="0"/>
                <w:sz w:val="21"/>
                <w:szCs w:val="21"/>
              </w:rPr>
              <w:t>M≥60</w:t>
            </w:r>
          </w:p>
        </w:tc>
        <w:tc>
          <w:tcPr>
            <w:tcW w:w="2459" w:type="pct"/>
            <w:tcBorders>
              <w:tl2br w:val="nil"/>
              <w:tr2bl w:val="nil"/>
            </w:tcBorders>
            <w:vAlign w:val="center"/>
          </w:tcPr>
          <w:p>
            <w:pPr>
              <w:adjustRightInd w:val="0"/>
              <w:snapToGrid w:val="0"/>
              <w:jc w:val="center"/>
              <w:rPr>
                <w:rFonts w:eastAsia="宋体"/>
                <w:snapToGrid w:val="0"/>
                <w:kern w:val="0"/>
                <w:sz w:val="21"/>
                <w:szCs w:val="21"/>
              </w:rPr>
            </w:pPr>
            <w:r>
              <w:rPr>
                <w:rFonts w:eastAsia="宋体"/>
                <w:snapToGrid w:val="0"/>
                <w:kern w:val="0"/>
                <w:sz w:val="21"/>
                <w:szCs w:val="21"/>
              </w:rPr>
              <w:t>M4</w:t>
            </w:r>
          </w:p>
        </w:tc>
      </w:tr>
    </w:tbl>
    <w:p>
      <w:pPr>
        <w:pStyle w:val="13"/>
        <w:spacing w:after="0" w:line="500" w:lineRule="exact"/>
        <w:ind w:firstLine="440" w:firstLineChars="200"/>
        <w:jc w:val="left"/>
        <w:rPr>
          <w:rFonts w:eastAsia="宋体"/>
          <w:spacing w:val="-10"/>
        </w:rPr>
      </w:pPr>
      <w:r>
        <w:rPr>
          <w:rFonts w:hint="eastAsia" w:eastAsia="宋体"/>
          <w:spacing w:val="-10"/>
        </w:rPr>
        <w:t>由上文可知，公司环境风险及其控制水平（M）现状得分13分，企业环境风险及其控制水平为 M1类水平。</w:t>
      </w:r>
    </w:p>
    <w:p>
      <w:pPr>
        <w:pStyle w:val="2"/>
        <w:adjustRightInd w:val="0"/>
        <w:snapToGrid w:val="0"/>
        <w:spacing w:line="500" w:lineRule="exact"/>
        <w:jc w:val="left"/>
        <w:rPr>
          <w:rFonts w:eastAsia="宋体"/>
          <w:color w:val="000000" w:themeColor="text1"/>
          <w14:textFill>
            <w14:solidFill>
              <w14:schemeClr w14:val="tx1"/>
            </w14:solidFill>
          </w14:textFill>
        </w:rPr>
      </w:pPr>
      <w:bookmarkStart w:id="352" w:name="7.2.3水环境风险受体敏感程度（E）评估"/>
      <w:bookmarkEnd w:id="352"/>
      <w:bookmarkStart w:id="353" w:name="_Toc4249"/>
      <w:bookmarkStart w:id="354" w:name="_Toc9044"/>
      <w:bookmarkStart w:id="355" w:name="_Toc17676"/>
      <w:bookmarkStart w:id="356" w:name="_TOC_250013"/>
      <w:r>
        <w:rPr>
          <w:rFonts w:hint="eastAsia" w:eastAsia="宋体"/>
          <w:color w:val="000000" w:themeColor="text1"/>
          <w14:textFill>
            <w14:solidFill>
              <w14:schemeClr w14:val="tx1"/>
            </w14:solidFill>
          </w14:textFill>
        </w:rPr>
        <w:t>7.2.3 水环境风险受体敏感程度（E）评估</w:t>
      </w:r>
      <w:bookmarkEnd w:id="353"/>
      <w:bookmarkEnd w:id="354"/>
      <w:bookmarkEnd w:id="355"/>
    </w:p>
    <w:bookmarkEnd w:id="356"/>
    <w:p>
      <w:pPr>
        <w:pStyle w:val="13"/>
        <w:spacing w:after="0" w:line="500" w:lineRule="exact"/>
        <w:ind w:firstLine="440" w:firstLineChars="200"/>
        <w:jc w:val="left"/>
        <w:rPr>
          <w:rFonts w:eastAsia="宋体"/>
          <w:spacing w:val="-10"/>
        </w:rPr>
      </w:pPr>
      <w:r>
        <w:rPr>
          <w:rFonts w:hint="eastAsia" w:eastAsia="宋体"/>
          <w:spacing w:val="-10"/>
        </w:rPr>
        <w:t>按照水环境风险受体敏感程度，同时考虑河流跨界的情况和可能造成土壤污染的情况，将水环境风险受体敏感程度类型划分为类型1、类型2和类型3，分别以E1、E2和E3表示，见表7-9。</w:t>
      </w:r>
    </w:p>
    <w:p>
      <w:pPr>
        <w:pStyle w:val="13"/>
        <w:spacing w:after="0" w:line="500" w:lineRule="exact"/>
        <w:ind w:firstLine="440" w:firstLineChars="200"/>
        <w:jc w:val="left"/>
        <w:rPr>
          <w:rFonts w:eastAsia="宋体"/>
          <w:spacing w:val="-10"/>
        </w:rPr>
      </w:pPr>
      <w:r>
        <w:rPr>
          <w:rFonts w:hint="eastAsia" w:eastAsia="宋体"/>
          <w:spacing w:val="-10"/>
        </w:rPr>
        <w:t>水环境风险受体敏感程度按类型1、类型2和类型3顺序依次降低。若企业周边存在多种敏感程度类型的水环境风险受体，则按敏感程度高者确定企业水环境风险受体敏感程度类型。</w:t>
      </w:r>
    </w:p>
    <w:p>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7-9</w:t>
      </w:r>
      <w:r>
        <w:rPr>
          <w:rFonts w:eastAsiaTheme="minorEastAsia"/>
          <w:b/>
          <w:color w:val="000000" w:themeColor="text1"/>
          <w14:textFill>
            <w14:solidFill>
              <w14:schemeClr w14:val="tx1"/>
            </w14:solidFill>
          </w14:textFill>
        </w:rPr>
        <w:t>水环境风险受体敏感程度类型划分</w:t>
      </w:r>
    </w:p>
    <w:tbl>
      <w:tblPr>
        <w:tblStyle w:val="38"/>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pPr>
        <w:spacing w:line="500" w:lineRule="exact"/>
        <w:ind w:firstLine="422" w:firstLineChars="200"/>
        <w:jc w:val="left"/>
        <w:rPr>
          <w:rFonts w:eastAsia="宋体"/>
          <w:b/>
          <w:bCs/>
          <w:sz w:val="21"/>
        </w:rPr>
      </w:pPr>
      <w:r>
        <w:rPr>
          <w:rFonts w:eastAsia="宋体"/>
          <w:b/>
          <w:bCs/>
          <w:sz w:val="21"/>
        </w:rPr>
        <w:t>注：本表中规定的距离范围以到各类水环境保护目标或保护区域的边界为准</w:t>
      </w:r>
    </w:p>
    <w:p>
      <w:pPr>
        <w:pStyle w:val="13"/>
        <w:spacing w:after="0" w:line="500" w:lineRule="exact"/>
        <w:ind w:firstLine="480" w:firstLineChars="200"/>
        <w:jc w:val="left"/>
        <w:rPr>
          <w:rFonts w:eastAsia="宋体"/>
          <w:spacing w:val="-10"/>
        </w:rPr>
      </w:pPr>
      <w:r>
        <w:rPr>
          <w:rFonts w:hint="eastAsia" w:eastAsia="宋体"/>
          <w:bCs/>
        </w:rPr>
        <w:t>公司</w:t>
      </w:r>
      <w:r>
        <w:rPr>
          <w:rFonts w:eastAsia="宋体"/>
        </w:rPr>
        <w:t>雨污水排口下游10公里内无集中式地表水、地下饮用水水源保护区，农村及分散式饮用水水源保护区</w:t>
      </w:r>
      <w:r>
        <w:rPr>
          <w:rFonts w:hint="eastAsia" w:eastAsia="宋体"/>
        </w:rPr>
        <w:t>及生态保护红线划定的或具有水生态服务功能的其他水生态环境敏感区和脆弱区</w:t>
      </w:r>
      <w:r>
        <w:rPr>
          <w:rFonts w:eastAsia="宋体"/>
        </w:rPr>
        <w:t>且废水排入受纳水体后24小时流经范围内未跨国界</w:t>
      </w:r>
      <w:r>
        <w:rPr>
          <w:rFonts w:hint="eastAsia" w:eastAsia="宋体"/>
        </w:rPr>
        <w:t>及省界</w:t>
      </w:r>
      <w:r>
        <w:rPr>
          <w:rFonts w:eastAsia="宋体"/>
        </w:rPr>
        <w:t>，因此环境风险受体划分为类型</w:t>
      </w:r>
      <w:r>
        <w:rPr>
          <w:rFonts w:hint="eastAsia" w:eastAsia="宋体"/>
        </w:rPr>
        <w:t>3</w:t>
      </w:r>
      <w:r>
        <w:rPr>
          <w:rFonts w:eastAsia="宋体"/>
        </w:rPr>
        <w:t>（E</w:t>
      </w:r>
      <w:r>
        <w:rPr>
          <w:rFonts w:hint="eastAsia" w:eastAsia="宋体"/>
        </w:rPr>
        <w:t>3</w:t>
      </w:r>
      <w:r>
        <w:rPr>
          <w:rFonts w:eastAsia="宋体"/>
        </w:rPr>
        <w:t>）</w:t>
      </w:r>
      <w:r>
        <w:rPr>
          <w:rFonts w:hint="eastAsia" w:eastAsia="宋体"/>
          <w:spacing w:val="-10"/>
        </w:rPr>
        <w:t>。</w:t>
      </w:r>
    </w:p>
    <w:p>
      <w:pPr>
        <w:pStyle w:val="2"/>
        <w:adjustRightInd w:val="0"/>
        <w:snapToGrid w:val="0"/>
        <w:spacing w:line="500" w:lineRule="exact"/>
        <w:jc w:val="left"/>
        <w:rPr>
          <w:rFonts w:eastAsia="宋体"/>
          <w:color w:val="000000" w:themeColor="text1"/>
          <w14:textFill>
            <w14:solidFill>
              <w14:schemeClr w14:val="tx1"/>
            </w14:solidFill>
          </w14:textFill>
        </w:rPr>
      </w:pPr>
      <w:bookmarkStart w:id="357" w:name="_Toc857"/>
      <w:bookmarkStart w:id="358" w:name="_Toc18805"/>
      <w:bookmarkStart w:id="359" w:name="_Toc28884"/>
      <w:r>
        <w:rPr>
          <w:rFonts w:hint="eastAsia" w:eastAsia="宋体"/>
          <w:color w:val="000000" w:themeColor="text1"/>
          <w14:textFill>
            <w14:solidFill>
              <w14:schemeClr w14:val="tx1"/>
            </w14:solidFill>
          </w14:textFill>
        </w:rPr>
        <w:t>7.2.4 突发水环境事件风险等级确定</w:t>
      </w:r>
      <w:bookmarkEnd w:id="357"/>
      <w:bookmarkEnd w:id="358"/>
      <w:bookmarkEnd w:id="359"/>
    </w:p>
    <w:p>
      <w:pPr>
        <w:adjustRightInd w:val="0"/>
        <w:snapToGrid w:val="0"/>
        <w:spacing w:line="500" w:lineRule="exact"/>
        <w:ind w:firstLine="480" w:firstLineChars="200"/>
        <w:rPr>
          <w:rFonts w:eastAsia="宋体"/>
        </w:rPr>
      </w:pPr>
      <w:r>
        <w:rPr>
          <w:rFonts w:eastAsia="宋体"/>
        </w:rPr>
        <w:t>根据企业周边水环境风险受体敏感程度（E）、涉气/水风险物质数量与临界量比值（Q）和生产工艺过程与大气/水环境风险控制水平（M），分别确定企业突发大气/水环境事件风险等级。</w:t>
      </w:r>
    </w:p>
    <w:p>
      <w:pPr>
        <w:widowControl/>
        <w:jc w:val="center"/>
      </w:pPr>
      <w:r>
        <w:rPr>
          <w:rFonts w:eastAsia="宋体"/>
        </w:rPr>
        <w:t>表 7-1</w:t>
      </w:r>
      <w:r>
        <w:rPr>
          <w:rFonts w:hint="eastAsia" w:eastAsia="宋体"/>
        </w:rPr>
        <w:t>0</w:t>
      </w:r>
      <w:r>
        <w:rPr>
          <w:rFonts w:eastAsia="宋体"/>
        </w:rPr>
        <w:t xml:space="preserve"> 企业突发环境事件风险分级矩阵表</w:t>
      </w:r>
    </w:p>
    <w:tbl>
      <w:tblPr>
        <w:tblStyle w:val="3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pPr>
              <w:pStyle w:val="142"/>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pPr>
              <w:pStyle w:val="142"/>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pPr>
              <w:pStyle w:val="142"/>
              <w:rPr>
                <w:b/>
                <w:sz w:val="21"/>
              </w:rPr>
            </w:pPr>
            <w:r>
              <w:rPr>
                <w:b/>
                <w:sz w:val="21"/>
              </w:rPr>
              <w:t>生产工艺过程与环境风险控制水平（</w:t>
            </w:r>
            <w:r>
              <w:rPr>
                <w:rFonts w:ascii="Times New Roman" w:eastAsia="Times New Roman"/>
                <w:b/>
                <w:sz w:val="21"/>
              </w:rPr>
              <w:t>M</w:t>
            </w:r>
            <w:r>
              <w:rPr>
                <w:b/>
                <w:sz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pPr>
              <w:jc w:val="center"/>
              <w:rPr>
                <w:sz w:val="2"/>
                <w:szCs w:val="2"/>
              </w:rPr>
            </w:pPr>
          </w:p>
        </w:tc>
        <w:tc>
          <w:tcPr>
            <w:tcW w:w="1114" w:type="pct"/>
            <w:vMerge w:val="continue"/>
            <w:tcBorders>
              <w:tl2br w:val="nil"/>
              <w:tr2bl w:val="nil"/>
            </w:tcBorders>
            <w:vAlign w:val="center"/>
          </w:tcPr>
          <w:p>
            <w:pPr>
              <w:jc w:val="center"/>
              <w:rPr>
                <w:sz w:val="2"/>
                <w:szCs w:val="2"/>
              </w:rPr>
            </w:pPr>
          </w:p>
        </w:tc>
        <w:tc>
          <w:tcPr>
            <w:tcW w:w="761" w:type="pct"/>
            <w:tcBorders>
              <w:tl2br w:val="nil"/>
              <w:tr2bl w:val="nil"/>
            </w:tcBorders>
            <w:vAlign w:val="center"/>
          </w:tcPr>
          <w:p>
            <w:pPr>
              <w:pStyle w:val="142"/>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pPr>
              <w:pStyle w:val="142"/>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pPr>
              <w:pStyle w:val="142"/>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pPr>
              <w:pStyle w:val="142"/>
              <w:rPr>
                <w:b/>
                <w:sz w:val="21"/>
              </w:rPr>
            </w:pPr>
            <w:r>
              <w:rPr>
                <w:rFonts w:ascii="Times New Roman" w:eastAsia="Times New Roman"/>
                <w:b/>
                <w:sz w:val="21"/>
              </w:rPr>
              <w:t>M4</w:t>
            </w:r>
            <w:r>
              <w:rPr>
                <w:b/>
                <w:sz w:val="21"/>
              </w:rPr>
              <w:t>类水平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pPr>
              <w:pStyle w:val="142"/>
              <w:rPr>
                <w:sz w:val="21"/>
              </w:rPr>
            </w:pPr>
            <w:r>
              <w:rPr>
                <w:spacing w:val="-18"/>
                <w:sz w:val="21"/>
              </w:rPr>
              <w:t xml:space="preserve">类型 </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pPr>
              <w:pStyle w:val="142"/>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pPr>
              <w:pStyle w:val="142"/>
              <w:rPr>
                <w:sz w:val="21"/>
              </w:rPr>
            </w:pPr>
            <w:r>
              <w:rPr>
                <w:sz w:val="21"/>
              </w:rPr>
              <w:t>较大</w:t>
            </w:r>
          </w:p>
        </w:tc>
        <w:tc>
          <w:tcPr>
            <w:tcW w:w="762" w:type="pct"/>
            <w:tcBorders>
              <w:tl2br w:val="nil"/>
              <w:tr2bl w:val="nil"/>
            </w:tcBorders>
            <w:vAlign w:val="center"/>
          </w:tcPr>
          <w:p>
            <w:pPr>
              <w:pStyle w:val="142"/>
              <w:rPr>
                <w:sz w:val="21"/>
              </w:rPr>
            </w:pPr>
            <w:r>
              <w:rPr>
                <w:sz w:val="21"/>
              </w:rPr>
              <w:t>较大</w:t>
            </w:r>
          </w:p>
        </w:tc>
        <w:tc>
          <w:tcPr>
            <w:tcW w:w="761" w:type="pct"/>
            <w:tcBorders>
              <w:tl2br w:val="nil"/>
              <w:tr2bl w:val="nil"/>
            </w:tcBorders>
            <w:vAlign w:val="center"/>
          </w:tcPr>
          <w:p>
            <w:pPr>
              <w:pStyle w:val="142"/>
              <w:rPr>
                <w:sz w:val="21"/>
              </w:rPr>
            </w:pPr>
            <w:r>
              <w:rPr>
                <w:sz w:val="21"/>
              </w:rPr>
              <w:t>重大</w:t>
            </w:r>
          </w:p>
        </w:tc>
        <w:tc>
          <w:tcPr>
            <w:tcW w:w="762" w:type="pct"/>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2"/>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pPr>
              <w:pStyle w:val="142"/>
              <w:rPr>
                <w:sz w:val="21"/>
              </w:rPr>
            </w:pPr>
            <w:r>
              <w:rPr>
                <w:sz w:val="21"/>
              </w:rPr>
              <w:t>较大</w:t>
            </w:r>
          </w:p>
        </w:tc>
        <w:tc>
          <w:tcPr>
            <w:tcW w:w="762" w:type="pct"/>
            <w:tcBorders>
              <w:tl2br w:val="nil"/>
              <w:tr2bl w:val="nil"/>
            </w:tcBorders>
            <w:vAlign w:val="center"/>
          </w:tcPr>
          <w:p>
            <w:pPr>
              <w:pStyle w:val="142"/>
              <w:rPr>
                <w:sz w:val="21"/>
              </w:rPr>
            </w:pPr>
            <w:r>
              <w:rPr>
                <w:sz w:val="21"/>
              </w:rPr>
              <w:t>重大</w:t>
            </w:r>
          </w:p>
        </w:tc>
        <w:tc>
          <w:tcPr>
            <w:tcW w:w="761" w:type="pct"/>
            <w:tcBorders>
              <w:tl2br w:val="nil"/>
              <w:tr2bl w:val="nil"/>
            </w:tcBorders>
            <w:vAlign w:val="center"/>
          </w:tcPr>
          <w:p>
            <w:pPr>
              <w:pStyle w:val="142"/>
              <w:rPr>
                <w:sz w:val="21"/>
              </w:rPr>
            </w:pPr>
            <w:r>
              <w:rPr>
                <w:sz w:val="21"/>
              </w:rPr>
              <w:t>重大</w:t>
            </w:r>
          </w:p>
        </w:tc>
        <w:tc>
          <w:tcPr>
            <w:tcW w:w="762" w:type="pct"/>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2"/>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pPr>
              <w:pStyle w:val="142"/>
              <w:rPr>
                <w:sz w:val="21"/>
              </w:rPr>
            </w:pPr>
            <w:r>
              <w:rPr>
                <w:sz w:val="21"/>
              </w:rPr>
              <w:t>重大</w:t>
            </w:r>
          </w:p>
        </w:tc>
        <w:tc>
          <w:tcPr>
            <w:tcW w:w="762" w:type="pct"/>
            <w:tcBorders>
              <w:tl2br w:val="nil"/>
              <w:tr2bl w:val="nil"/>
            </w:tcBorders>
            <w:vAlign w:val="center"/>
          </w:tcPr>
          <w:p>
            <w:pPr>
              <w:pStyle w:val="142"/>
              <w:rPr>
                <w:sz w:val="21"/>
              </w:rPr>
            </w:pPr>
            <w:r>
              <w:rPr>
                <w:sz w:val="21"/>
              </w:rPr>
              <w:t>重大</w:t>
            </w:r>
          </w:p>
        </w:tc>
        <w:tc>
          <w:tcPr>
            <w:tcW w:w="761" w:type="pct"/>
            <w:tcBorders>
              <w:tl2br w:val="nil"/>
              <w:tr2bl w:val="nil"/>
            </w:tcBorders>
            <w:vAlign w:val="center"/>
          </w:tcPr>
          <w:p>
            <w:pPr>
              <w:pStyle w:val="142"/>
              <w:rPr>
                <w:sz w:val="21"/>
              </w:rPr>
            </w:pPr>
            <w:r>
              <w:rPr>
                <w:sz w:val="21"/>
              </w:rPr>
              <w:t>重大</w:t>
            </w:r>
          </w:p>
        </w:tc>
        <w:tc>
          <w:tcPr>
            <w:tcW w:w="762" w:type="pct"/>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pPr>
              <w:pStyle w:val="142"/>
              <w:rPr>
                <w:sz w:val="21"/>
              </w:rPr>
            </w:pPr>
            <w:r>
              <w:rPr>
                <w:spacing w:val="-18"/>
                <w:sz w:val="21"/>
              </w:rPr>
              <w:t xml:space="preserve">类型 </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pPr>
              <w:pStyle w:val="142"/>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pPr>
              <w:pStyle w:val="142"/>
              <w:rPr>
                <w:sz w:val="21"/>
              </w:rPr>
            </w:pPr>
            <w:r>
              <w:rPr>
                <w:sz w:val="21"/>
              </w:rPr>
              <w:t>一般</w:t>
            </w:r>
          </w:p>
        </w:tc>
        <w:tc>
          <w:tcPr>
            <w:tcW w:w="762" w:type="pct"/>
            <w:tcBorders>
              <w:tl2br w:val="nil"/>
              <w:tr2bl w:val="nil"/>
            </w:tcBorders>
            <w:vAlign w:val="center"/>
          </w:tcPr>
          <w:p>
            <w:pPr>
              <w:pStyle w:val="142"/>
              <w:rPr>
                <w:sz w:val="21"/>
              </w:rPr>
            </w:pPr>
            <w:r>
              <w:rPr>
                <w:sz w:val="21"/>
              </w:rPr>
              <w:t>较大</w:t>
            </w:r>
          </w:p>
        </w:tc>
        <w:tc>
          <w:tcPr>
            <w:tcW w:w="761" w:type="pct"/>
            <w:tcBorders>
              <w:tl2br w:val="nil"/>
              <w:tr2bl w:val="nil"/>
            </w:tcBorders>
            <w:vAlign w:val="center"/>
          </w:tcPr>
          <w:p>
            <w:pPr>
              <w:pStyle w:val="142"/>
              <w:rPr>
                <w:sz w:val="21"/>
              </w:rPr>
            </w:pPr>
            <w:r>
              <w:rPr>
                <w:sz w:val="21"/>
              </w:rPr>
              <w:t>较大</w:t>
            </w:r>
          </w:p>
        </w:tc>
        <w:tc>
          <w:tcPr>
            <w:tcW w:w="762" w:type="pct"/>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2"/>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pPr>
              <w:pStyle w:val="142"/>
              <w:rPr>
                <w:sz w:val="21"/>
              </w:rPr>
            </w:pPr>
            <w:r>
              <w:rPr>
                <w:sz w:val="21"/>
              </w:rPr>
              <w:t>较大</w:t>
            </w:r>
          </w:p>
        </w:tc>
        <w:tc>
          <w:tcPr>
            <w:tcW w:w="762" w:type="pct"/>
            <w:tcBorders>
              <w:tl2br w:val="nil"/>
              <w:tr2bl w:val="nil"/>
            </w:tcBorders>
            <w:vAlign w:val="center"/>
          </w:tcPr>
          <w:p>
            <w:pPr>
              <w:pStyle w:val="142"/>
              <w:rPr>
                <w:sz w:val="21"/>
              </w:rPr>
            </w:pPr>
            <w:r>
              <w:rPr>
                <w:sz w:val="21"/>
              </w:rPr>
              <w:t>较大</w:t>
            </w:r>
          </w:p>
        </w:tc>
        <w:tc>
          <w:tcPr>
            <w:tcW w:w="761" w:type="pct"/>
            <w:tcBorders>
              <w:tl2br w:val="nil"/>
              <w:tr2bl w:val="nil"/>
            </w:tcBorders>
            <w:vAlign w:val="center"/>
          </w:tcPr>
          <w:p>
            <w:pPr>
              <w:pStyle w:val="142"/>
              <w:rPr>
                <w:sz w:val="21"/>
              </w:rPr>
            </w:pPr>
            <w:r>
              <w:rPr>
                <w:sz w:val="21"/>
              </w:rPr>
              <w:t>重大</w:t>
            </w:r>
          </w:p>
        </w:tc>
        <w:tc>
          <w:tcPr>
            <w:tcW w:w="762" w:type="pct"/>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2"/>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pPr>
              <w:pStyle w:val="142"/>
              <w:rPr>
                <w:sz w:val="21"/>
              </w:rPr>
            </w:pPr>
            <w:r>
              <w:rPr>
                <w:sz w:val="21"/>
              </w:rPr>
              <w:t>较大</w:t>
            </w:r>
          </w:p>
        </w:tc>
        <w:tc>
          <w:tcPr>
            <w:tcW w:w="762" w:type="pct"/>
            <w:tcBorders>
              <w:tl2br w:val="nil"/>
              <w:tr2bl w:val="nil"/>
            </w:tcBorders>
            <w:vAlign w:val="center"/>
          </w:tcPr>
          <w:p>
            <w:pPr>
              <w:pStyle w:val="142"/>
              <w:rPr>
                <w:sz w:val="21"/>
              </w:rPr>
            </w:pPr>
            <w:r>
              <w:rPr>
                <w:sz w:val="21"/>
              </w:rPr>
              <w:t>重大</w:t>
            </w:r>
          </w:p>
        </w:tc>
        <w:tc>
          <w:tcPr>
            <w:tcW w:w="761" w:type="pct"/>
            <w:tcBorders>
              <w:tl2br w:val="nil"/>
              <w:tr2bl w:val="nil"/>
            </w:tcBorders>
            <w:vAlign w:val="center"/>
          </w:tcPr>
          <w:p>
            <w:pPr>
              <w:pStyle w:val="142"/>
              <w:rPr>
                <w:sz w:val="21"/>
              </w:rPr>
            </w:pPr>
            <w:r>
              <w:rPr>
                <w:sz w:val="21"/>
              </w:rPr>
              <w:t>重大</w:t>
            </w:r>
          </w:p>
        </w:tc>
        <w:tc>
          <w:tcPr>
            <w:tcW w:w="762" w:type="pct"/>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pPr>
              <w:pStyle w:val="142"/>
              <w:rPr>
                <w:sz w:val="21"/>
              </w:rPr>
            </w:pPr>
            <w:r>
              <w:rPr>
                <w:spacing w:val="-18"/>
                <w:sz w:val="21"/>
              </w:rPr>
              <w:t xml:space="preserve">类型 </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pPr>
              <w:pStyle w:val="142"/>
              <w:rPr>
                <w:sz w:val="21"/>
              </w:rPr>
            </w:pPr>
            <w:r>
              <w:rPr>
                <w:rFonts w:ascii="Times New Roman" w:hAnsi="Times New Roman" w:eastAsia="Times New Roman"/>
                <w:sz w:val="21"/>
              </w:rPr>
              <w:t>1≤ 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pPr>
              <w:pStyle w:val="142"/>
              <w:rPr>
                <w:sz w:val="21"/>
              </w:rPr>
            </w:pPr>
            <w:r>
              <w:rPr>
                <w:sz w:val="21"/>
              </w:rPr>
              <w:t>一般</w:t>
            </w:r>
          </w:p>
        </w:tc>
        <w:tc>
          <w:tcPr>
            <w:tcW w:w="762" w:type="pct"/>
            <w:tcBorders>
              <w:tl2br w:val="nil"/>
              <w:tr2bl w:val="nil"/>
            </w:tcBorders>
            <w:vAlign w:val="center"/>
          </w:tcPr>
          <w:p>
            <w:pPr>
              <w:pStyle w:val="142"/>
              <w:rPr>
                <w:sz w:val="21"/>
              </w:rPr>
            </w:pPr>
            <w:r>
              <w:rPr>
                <w:sz w:val="21"/>
              </w:rPr>
              <w:t>一般</w:t>
            </w:r>
          </w:p>
        </w:tc>
        <w:tc>
          <w:tcPr>
            <w:tcW w:w="761" w:type="pct"/>
            <w:tcBorders>
              <w:tl2br w:val="nil"/>
              <w:tr2bl w:val="nil"/>
            </w:tcBorders>
            <w:vAlign w:val="center"/>
          </w:tcPr>
          <w:p>
            <w:pPr>
              <w:pStyle w:val="142"/>
              <w:rPr>
                <w:sz w:val="21"/>
              </w:rPr>
            </w:pPr>
            <w:r>
              <w:rPr>
                <w:sz w:val="21"/>
              </w:rPr>
              <w:t>较大</w:t>
            </w:r>
          </w:p>
        </w:tc>
        <w:tc>
          <w:tcPr>
            <w:tcW w:w="762" w:type="pct"/>
            <w:tcBorders>
              <w:tl2br w:val="nil"/>
              <w:tr2bl w:val="nil"/>
            </w:tcBorders>
            <w:vAlign w:val="center"/>
          </w:tcPr>
          <w:p>
            <w:pPr>
              <w:pStyle w:val="142"/>
              <w:rPr>
                <w:sz w:val="21"/>
              </w:rPr>
            </w:pPr>
            <w:r>
              <w:rPr>
                <w:sz w:val="21"/>
              </w:rPr>
              <w:t>较大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2"/>
              <w:rPr>
                <w:sz w:val="21"/>
              </w:rPr>
            </w:pPr>
            <w:r>
              <w:rPr>
                <w:rFonts w:ascii="Times New Roman" w:hAnsi="Times New Roman" w:eastAsia="Times New Roman"/>
                <w:sz w:val="21"/>
              </w:rPr>
              <w:t>10≤ 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pPr>
              <w:pStyle w:val="142"/>
              <w:rPr>
                <w:sz w:val="21"/>
              </w:rPr>
            </w:pPr>
            <w:r>
              <w:rPr>
                <w:sz w:val="21"/>
              </w:rPr>
              <w:t>一般</w:t>
            </w:r>
          </w:p>
        </w:tc>
        <w:tc>
          <w:tcPr>
            <w:tcW w:w="762" w:type="pct"/>
            <w:tcBorders>
              <w:tl2br w:val="nil"/>
              <w:tr2bl w:val="nil"/>
            </w:tcBorders>
            <w:vAlign w:val="center"/>
          </w:tcPr>
          <w:p>
            <w:pPr>
              <w:pStyle w:val="142"/>
              <w:rPr>
                <w:sz w:val="21"/>
              </w:rPr>
            </w:pPr>
            <w:r>
              <w:rPr>
                <w:sz w:val="21"/>
              </w:rPr>
              <w:t>较大</w:t>
            </w:r>
          </w:p>
        </w:tc>
        <w:tc>
          <w:tcPr>
            <w:tcW w:w="761" w:type="pct"/>
            <w:tcBorders>
              <w:tl2br w:val="nil"/>
              <w:tr2bl w:val="nil"/>
            </w:tcBorders>
            <w:vAlign w:val="center"/>
          </w:tcPr>
          <w:p>
            <w:pPr>
              <w:pStyle w:val="142"/>
              <w:rPr>
                <w:sz w:val="21"/>
              </w:rPr>
            </w:pPr>
            <w:r>
              <w:rPr>
                <w:sz w:val="21"/>
              </w:rPr>
              <w:t>较大</w:t>
            </w:r>
          </w:p>
        </w:tc>
        <w:tc>
          <w:tcPr>
            <w:tcW w:w="762" w:type="pct"/>
            <w:tcBorders>
              <w:tl2br w:val="nil"/>
              <w:tr2bl w:val="nil"/>
            </w:tcBorders>
            <w:vAlign w:val="center"/>
          </w:tcPr>
          <w:p>
            <w:pPr>
              <w:pStyle w:val="142"/>
              <w:rPr>
                <w:sz w:val="21"/>
              </w:rPr>
            </w:pPr>
            <w:r>
              <w:rPr>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pPr>
              <w:jc w:val="center"/>
              <w:rPr>
                <w:sz w:val="2"/>
                <w:szCs w:val="2"/>
              </w:rPr>
            </w:pPr>
          </w:p>
        </w:tc>
        <w:tc>
          <w:tcPr>
            <w:tcW w:w="1114" w:type="pct"/>
            <w:tcBorders>
              <w:tl2br w:val="nil"/>
              <w:tr2bl w:val="nil"/>
            </w:tcBorders>
            <w:vAlign w:val="center"/>
          </w:tcPr>
          <w:p>
            <w:pPr>
              <w:pStyle w:val="142"/>
              <w:rPr>
                <w:sz w:val="21"/>
              </w:rPr>
            </w:pPr>
            <w:r>
              <w:rPr>
                <w:rFonts w:ascii="Times New Roman" w:hAnsi="Times New Roman" w:eastAsia="Times New Roman"/>
                <w:sz w:val="21"/>
              </w:rPr>
              <w:t>Q≥ 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pPr>
              <w:pStyle w:val="142"/>
              <w:rPr>
                <w:sz w:val="21"/>
              </w:rPr>
            </w:pPr>
            <w:r>
              <w:rPr>
                <w:sz w:val="21"/>
              </w:rPr>
              <w:t>较大</w:t>
            </w:r>
          </w:p>
        </w:tc>
        <w:tc>
          <w:tcPr>
            <w:tcW w:w="762" w:type="pct"/>
            <w:tcBorders>
              <w:tl2br w:val="nil"/>
              <w:tr2bl w:val="nil"/>
            </w:tcBorders>
            <w:vAlign w:val="center"/>
          </w:tcPr>
          <w:p>
            <w:pPr>
              <w:pStyle w:val="142"/>
              <w:rPr>
                <w:sz w:val="21"/>
              </w:rPr>
            </w:pPr>
            <w:r>
              <w:rPr>
                <w:sz w:val="21"/>
              </w:rPr>
              <w:t>较大</w:t>
            </w:r>
          </w:p>
        </w:tc>
        <w:tc>
          <w:tcPr>
            <w:tcW w:w="761" w:type="pct"/>
            <w:tcBorders>
              <w:tl2br w:val="nil"/>
              <w:tr2bl w:val="nil"/>
            </w:tcBorders>
            <w:vAlign w:val="center"/>
          </w:tcPr>
          <w:p>
            <w:pPr>
              <w:pStyle w:val="142"/>
              <w:rPr>
                <w:sz w:val="21"/>
              </w:rPr>
            </w:pPr>
            <w:r>
              <w:rPr>
                <w:sz w:val="21"/>
              </w:rPr>
              <w:t>重大</w:t>
            </w:r>
          </w:p>
        </w:tc>
        <w:tc>
          <w:tcPr>
            <w:tcW w:w="762" w:type="pct"/>
            <w:tcBorders>
              <w:tl2br w:val="nil"/>
              <w:tr2bl w:val="nil"/>
            </w:tcBorders>
            <w:vAlign w:val="center"/>
          </w:tcPr>
          <w:p>
            <w:pPr>
              <w:pStyle w:val="142"/>
              <w:rPr>
                <w:sz w:val="21"/>
              </w:rPr>
            </w:pPr>
            <w:r>
              <w:rPr>
                <w:sz w:val="21"/>
              </w:rPr>
              <w:t>重大</w:t>
            </w:r>
          </w:p>
        </w:tc>
      </w:tr>
    </w:tbl>
    <w:p>
      <w:pPr>
        <w:widowControl/>
        <w:jc w:val="center"/>
      </w:pPr>
    </w:p>
    <w:p>
      <w:pPr>
        <w:pStyle w:val="2"/>
        <w:adjustRightInd w:val="0"/>
        <w:snapToGrid w:val="0"/>
        <w:spacing w:line="500" w:lineRule="exact"/>
        <w:jc w:val="left"/>
        <w:rPr>
          <w:rFonts w:eastAsia="宋体"/>
          <w:color w:val="000000" w:themeColor="text1"/>
          <w14:textFill>
            <w14:solidFill>
              <w14:schemeClr w14:val="tx1"/>
            </w14:solidFill>
          </w14:textFill>
        </w:rPr>
      </w:pPr>
      <w:bookmarkStart w:id="360" w:name="_Toc6239"/>
      <w:bookmarkStart w:id="361" w:name="_Toc11255"/>
      <w:bookmarkStart w:id="362" w:name="_Toc11428"/>
      <w:bookmarkStart w:id="363" w:name="_Toc402776227"/>
      <w:r>
        <w:rPr>
          <w:rFonts w:hint="eastAsia" w:eastAsia="宋体"/>
          <w:color w:val="000000" w:themeColor="text1"/>
          <w14:textFill>
            <w14:solidFill>
              <w14:schemeClr w14:val="tx1"/>
            </w14:solidFill>
          </w14:textFill>
        </w:rPr>
        <w:t>7.2.5 突发水环境事件风险等级表征</w:t>
      </w:r>
      <w:bookmarkEnd w:id="360"/>
      <w:bookmarkEnd w:id="361"/>
      <w:bookmarkEnd w:id="362"/>
      <w:r>
        <w:rPr>
          <w:rFonts w:hint="eastAsia" w:eastAsia="宋体"/>
          <w:color w:val="000000" w:themeColor="text1"/>
          <w14:textFill>
            <w14:solidFill>
              <w14:schemeClr w14:val="tx1"/>
            </w14:solidFill>
          </w14:textFill>
        </w:rPr>
        <w:t xml:space="preserve"> </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企业突发</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 xml:space="preserve">环境事件风险等级表征分为两种情况： </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eastAsia="宋体"/>
          <w:color w:val="000000" w:themeColor="text1"/>
          <w14:textFill>
            <w14:solidFill>
              <w14:schemeClr w14:val="tx1"/>
            </w14:solidFill>
          </w14:textFill>
        </w:rPr>
        <w:t>环境事件风险等级表示为“一般-</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 xml:space="preserve">（Q0）”； </w:t>
      </w:r>
    </w:p>
    <w:p>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eastAsia="宋体"/>
          <w:color w:val="000000" w:themeColor="text1"/>
          <w14:textFill>
            <w14:solidFill>
              <w14:schemeClr w14:val="tx1"/>
            </w14:solidFill>
          </w14:textFill>
        </w:rPr>
        <w:t>环境事件风险等级表示为“环境风险等级-</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 xml:space="preserve">（Q 水平-M 类型-E 类型）”。 </w:t>
      </w:r>
    </w:p>
    <w:p>
      <w:pPr>
        <w:adjustRightInd w:val="0"/>
        <w:snapToGrid w:val="0"/>
        <w:spacing w:line="500" w:lineRule="exact"/>
        <w:ind w:firstLine="480" w:firstLineChars="200"/>
      </w:pPr>
      <w:r>
        <w:rPr>
          <w:rFonts w:hint="eastAsia" w:eastAsia="宋体"/>
          <w:color w:val="000000" w:themeColor="text1"/>
          <w:lang w:eastAsia="zh-CN"/>
          <w14:textFill>
            <w14:solidFill>
              <w14:schemeClr w14:val="tx1"/>
            </w14:solidFill>
          </w14:textFill>
        </w:rPr>
        <w:t>家得福家具海安有限公司</w:t>
      </w:r>
      <w:r>
        <w:rPr>
          <w:rFonts w:eastAsia="宋体"/>
          <w:color w:val="000000" w:themeColor="text1"/>
          <w14:textFill>
            <w14:solidFill>
              <w14:schemeClr w14:val="tx1"/>
            </w14:solidFill>
          </w14:textFill>
        </w:rPr>
        <w:t>Q＜1（Q0），因此水风险等级</w:t>
      </w:r>
      <w:r>
        <w:rPr>
          <w:rFonts w:hint="eastAsia" w:eastAsia="宋体"/>
          <w:color w:val="000000" w:themeColor="text1"/>
          <w14:textFill>
            <w14:solidFill>
              <w14:schemeClr w14:val="tx1"/>
            </w14:solidFill>
          </w14:textFill>
        </w:rPr>
        <w:t>表示</w:t>
      </w:r>
      <w:r>
        <w:rPr>
          <w:rFonts w:eastAsia="宋体"/>
          <w:color w:val="000000" w:themeColor="text1"/>
          <w14:textFill>
            <w14:solidFill>
              <w14:schemeClr w14:val="tx1"/>
            </w14:solidFill>
          </w14:textFill>
        </w:rPr>
        <w:t>为</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一般-</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（Q0）</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w:t>
      </w:r>
    </w:p>
    <w:bookmarkEnd w:id="363"/>
    <w:p>
      <w:pPr>
        <w:pStyle w:val="4"/>
        <w:adjustRightInd w:val="0"/>
        <w:snapToGrid w:val="0"/>
        <w:spacing w:line="500" w:lineRule="exact"/>
        <w:jc w:val="left"/>
        <w:rPr>
          <w:rFonts w:eastAsia="宋体"/>
          <w:color w:val="000000" w:themeColor="text1"/>
          <w:sz w:val="24"/>
          <w:szCs w:val="24"/>
          <w14:textFill>
            <w14:solidFill>
              <w14:schemeClr w14:val="tx1"/>
            </w14:solidFill>
          </w14:textFill>
        </w:rPr>
      </w:pPr>
      <w:bookmarkStart w:id="364" w:name="_Toc27337"/>
      <w:bookmarkStart w:id="365" w:name="_Toc535516089"/>
      <w:bookmarkStart w:id="366" w:name="_Toc534722046"/>
      <w:bookmarkStart w:id="367" w:name="_Toc6943"/>
      <w:bookmarkStart w:id="368" w:name="_Toc16652"/>
      <w:bookmarkStart w:id="369" w:name="_Toc12771"/>
      <w:r>
        <w:rPr>
          <w:rFonts w:hint="eastAsia" w:eastAsia="宋体"/>
          <w:color w:val="000000" w:themeColor="text1"/>
          <w:sz w:val="24"/>
          <w:szCs w:val="24"/>
          <w14:textFill>
            <w14:solidFill>
              <w14:schemeClr w14:val="tx1"/>
            </w14:solidFill>
          </w14:textFill>
        </w:rPr>
        <w:t>7.3 风险等级调整</w:t>
      </w:r>
      <w:bookmarkEnd w:id="364"/>
      <w:bookmarkEnd w:id="365"/>
      <w:bookmarkEnd w:id="366"/>
      <w:bookmarkEnd w:id="367"/>
      <w:bookmarkEnd w:id="368"/>
      <w:bookmarkEnd w:id="369"/>
    </w:p>
    <w:p>
      <w:pPr>
        <w:adjustRightInd w:val="0"/>
        <w:snapToGrid w:val="0"/>
        <w:spacing w:line="500" w:lineRule="exact"/>
        <w:ind w:firstLine="480" w:firstLineChars="200"/>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w:t>
      </w:r>
      <w:r>
        <w:rPr>
          <w:rFonts w:hint="eastAsia" w:ascii="宋体" w:hAnsi="宋体" w:eastAsia="宋体" w:cs="宋体"/>
          <w:snapToGrid w:val="0"/>
          <w:color w:val="000000" w:themeColor="text1"/>
          <w:kern w:val="0"/>
          <w:lang w:eastAsia="zh-CN"/>
          <w14:textFill>
            <w14:solidFill>
              <w14:schemeClr w14:val="tx1"/>
            </w14:solidFill>
          </w14:textFill>
        </w:rPr>
        <w:t>企业突发环境事件风险分级方法</w:t>
      </w:r>
      <w:r>
        <w:rPr>
          <w:rFonts w:eastAsia="宋体"/>
          <w:snapToGrid w:val="0"/>
          <w:color w:val="000000" w:themeColor="text1"/>
          <w:kern w:val="0"/>
          <w14:textFill>
            <w14:solidFill>
              <w14:schemeClr w14:val="tx1"/>
            </w14:solidFill>
          </w14:textFill>
        </w:rPr>
        <w:t>》（HJ941-2018）要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pPr>
        <w:adjustRightInd w:val="0"/>
        <w:snapToGrid w:val="0"/>
        <w:spacing w:line="500" w:lineRule="exact"/>
        <w:ind w:firstLine="480" w:firstLineChars="200"/>
        <w:rPr>
          <w:rFonts w:eastAsia="宋体"/>
        </w:rPr>
      </w:pPr>
      <w:r>
        <w:rPr>
          <w:rFonts w:eastAsia="宋体"/>
          <w:snapToGrid w:val="0"/>
          <w:kern w:val="0"/>
        </w:rPr>
        <w:t>通过上述分析</w:t>
      </w:r>
      <w:r>
        <w:rPr>
          <w:rFonts w:eastAsia="宋体"/>
        </w:rPr>
        <w:t>，公司突发环境事件风险等级为：</w:t>
      </w:r>
      <w:bookmarkStart w:id="370" w:name="_Hlk5802374"/>
      <w:r>
        <w:rPr>
          <w:rFonts w:eastAsia="宋体"/>
          <w:b/>
        </w:rPr>
        <w:t>一般［一般-大气（Q0）+一般-水（Q</w:t>
      </w:r>
      <w:r>
        <w:rPr>
          <w:rFonts w:hint="eastAsia" w:eastAsia="宋体"/>
          <w:b/>
        </w:rPr>
        <w:t>0</w:t>
      </w:r>
      <w:r>
        <w:rPr>
          <w:rFonts w:eastAsia="宋体"/>
          <w:b/>
        </w:rPr>
        <w:t>）］</w:t>
      </w:r>
      <w:r>
        <w:rPr>
          <w:rFonts w:eastAsia="宋体"/>
        </w:rPr>
        <w:t>。</w:t>
      </w:r>
      <w:bookmarkEnd w:id="370"/>
    </w:p>
    <w:p>
      <w:pPr>
        <w:adjustRightInd w:val="0"/>
        <w:snapToGrid w:val="0"/>
        <w:spacing w:line="500" w:lineRule="exact"/>
        <w:ind w:firstLine="480" w:firstLineChars="200"/>
        <w:rPr>
          <w:rFonts w:ascii="宋体" w:hAnsi="宋体" w:eastAsia="宋体" w:cs="宋体"/>
        </w:rPr>
      </w:pPr>
      <w:r>
        <w:rPr>
          <w:rFonts w:eastAsia="宋体"/>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
    <w:bookmarkEnd w:id="2"/>
    <w:bookmarkEnd w:id="305"/>
    <w:p>
      <w:pPr>
        <w:rPr>
          <w:rFonts w:ascii="宋体" w:hAnsi="宋体" w:eastAsia="宋体" w:cs="宋体"/>
        </w:rPr>
      </w:pPr>
    </w:p>
    <w:sectPr>
      <w:footerReference r:id="rId12" w:type="default"/>
      <w:footerReference r:id="rId13" w:type="even"/>
      <w:pgSz w:w="11906" w:h="16838"/>
      <w:pgMar w:top="1440" w:right="1440" w:bottom="1440" w:left="1440" w:header="96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2"/>
      </w:rPr>
    </w:pPr>
    <w:r>
      <w:fldChar w:fldCharType="begin"/>
    </w:r>
    <w:r>
      <w:rPr>
        <w:rStyle w:val="42"/>
      </w:rPr>
      <w:instrText xml:space="preserve">PAGE  </w:instrText>
    </w:r>
    <w:r>
      <w:fldChar w:fldCharType="end"/>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jc w:val="left"/>
                            <w:rPr>
                              <w:sz w:val="18"/>
                            </w:rPr>
                          </w:pPr>
                          <w:r>
                            <w:fldChar w:fldCharType="begin"/>
                          </w:r>
                          <w:r>
                            <w:rPr>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6192;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pPr>
                      <w:spacing w:before="12"/>
                      <w:ind w:left="40"/>
                      <w:jc w:val="left"/>
                      <w:rPr>
                        <w:sz w:val="18"/>
                      </w:rPr>
                    </w:pPr>
                    <w:r>
                      <w:fldChar w:fldCharType="begin"/>
                    </w:r>
                    <w:r>
                      <w:rPr>
                        <w:sz w:val="18"/>
                      </w:rPr>
                      <w:instrText xml:space="preserve"> PAGE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jc w:val="left"/>
                            <w:rPr>
                              <w:sz w:val="18"/>
                            </w:rPr>
                          </w:pPr>
                          <w:r>
                            <w:fldChar w:fldCharType="begin"/>
                          </w:r>
                          <w:r>
                            <w:rPr>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3120;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pPr>
                      <w:spacing w:before="12"/>
                      <w:ind w:left="40"/>
                      <w:jc w:val="left"/>
                      <w:rPr>
                        <w:sz w:val="18"/>
                      </w:rPr>
                    </w:pPr>
                    <w:r>
                      <w:fldChar w:fldCharType="begin"/>
                    </w:r>
                    <w:r>
                      <w:rPr>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jc w:val="left"/>
                            <w:rPr>
                              <w:sz w:val="18"/>
                            </w:rPr>
                          </w:pPr>
                          <w:r>
                            <w:fldChar w:fldCharType="begin"/>
                          </w:r>
                          <w:r>
                            <w:rPr>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2096;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pPr>
                      <w:spacing w:before="12"/>
                      <w:ind w:left="40"/>
                      <w:jc w:val="left"/>
                      <w:rPr>
                        <w:sz w:val="18"/>
                      </w:rPr>
                    </w:pPr>
                    <w:r>
                      <w:fldChar w:fldCharType="begin"/>
                    </w:r>
                    <w:r>
                      <w:rPr>
                        <w:sz w:val="18"/>
                      </w:rPr>
                      <w:instrText xml:space="preserve"> PAGE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jc w:val="left"/>
                            <w:rPr>
                              <w:sz w:val="18"/>
                            </w:rPr>
                          </w:pPr>
                          <w:r>
                            <w:fldChar w:fldCharType="begin"/>
                          </w:r>
                          <w:r>
                            <w:rPr>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0048;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pPr>
                      <w:spacing w:before="12"/>
                      <w:ind w:left="40"/>
                      <w:jc w:val="left"/>
                      <w:rPr>
                        <w:sz w:val="18"/>
                      </w:rPr>
                    </w:pPr>
                    <w:r>
                      <w:fldChar w:fldCharType="begin"/>
                    </w:r>
                    <w:r>
                      <w:rPr>
                        <w:sz w:val="18"/>
                      </w:rPr>
                      <w:instrText xml:space="preserve"> PAGE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2"/>
      </w:rPr>
    </w:pPr>
    <w:r>
      <w:fldChar w:fldCharType="begin"/>
    </w:r>
    <w:r>
      <w:rPr>
        <w:rStyle w:val="42"/>
      </w:rPr>
      <w:instrText xml:space="preserve">PAGE  </w:instrText>
    </w:r>
    <w: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仿宋" w:hAnsi="仿宋" w:eastAsia="仿宋"/>
      </w:rPr>
    </w:pPr>
    <w:r>
      <w:rPr>
        <w:rFonts w:hint="eastAsia" w:ascii="仿宋" w:hAnsi="仿宋" w:eastAsia="仿宋"/>
        <w:lang w:eastAsia="zh-CN"/>
      </w:rPr>
      <w:t>家得福家具海安有限公司</w:t>
    </w:r>
    <w:r>
      <w:rPr>
        <w:rFonts w:hint="eastAsia" w:ascii="仿宋" w:hAnsi="仿宋" w:eastAsia="仿宋"/>
      </w:rPr>
      <w:t>突发环境事件风险评估报告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00AF6"/>
    <w:multiLevelType w:val="singleLevel"/>
    <w:tmpl w:val="92D00AF6"/>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2">
    <w:nsid w:val="CC07C0A9"/>
    <w:multiLevelType w:val="singleLevel"/>
    <w:tmpl w:val="CC07C0A9"/>
    <w:lvl w:ilvl="0" w:tentative="0">
      <w:start w:val="1"/>
      <w:numFmt w:val="decimal"/>
      <w:suff w:val="nothing"/>
      <w:lvlText w:val="（%1）"/>
      <w:lvlJc w:val="left"/>
    </w:lvl>
  </w:abstractNum>
  <w:abstractNum w:abstractNumId="3">
    <w:nsid w:val="EC931113"/>
    <w:multiLevelType w:val="singleLevel"/>
    <w:tmpl w:val="EC931113"/>
    <w:lvl w:ilvl="0" w:tentative="0">
      <w:start w:val="1"/>
      <w:numFmt w:val="decimal"/>
      <w:suff w:val="nothing"/>
      <w:lvlText w:val="（%1）"/>
      <w:lvlJc w:val="left"/>
    </w:lvl>
  </w:abstractNum>
  <w:abstractNum w:abstractNumId="4">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5">
    <w:nsid w:val="594B169E"/>
    <w:multiLevelType w:val="singleLevel"/>
    <w:tmpl w:val="594B169E"/>
    <w:lvl w:ilvl="0" w:tentative="0">
      <w:start w:val="2"/>
      <w:numFmt w:val="decimal"/>
      <w:suff w:val="nothing"/>
      <w:lvlText w:val="（%1）"/>
      <w:lvlJc w:val="left"/>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GU3ZWYxOTM5OTQ2ODMxODk5YTRkMWMxN2E5MDc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2A27"/>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192"/>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4EC"/>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324"/>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5151"/>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1E6"/>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0A29DC"/>
    <w:rsid w:val="01135705"/>
    <w:rsid w:val="01390BCC"/>
    <w:rsid w:val="015651CB"/>
    <w:rsid w:val="015C4234"/>
    <w:rsid w:val="01666558"/>
    <w:rsid w:val="01951891"/>
    <w:rsid w:val="0196004B"/>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B611E"/>
    <w:rsid w:val="03B460E6"/>
    <w:rsid w:val="03BD711C"/>
    <w:rsid w:val="03E05B99"/>
    <w:rsid w:val="03ED0B73"/>
    <w:rsid w:val="03F826EF"/>
    <w:rsid w:val="040D4647"/>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144F13"/>
    <w:rsid w:val="06347FAA"/>
    <w:rsid w:val="06840B3B"/>
    <w:rsid w:val="0687353C"/>
    <w:rsid w:val="06A03611"/>
    <w:rsid w:val="06AD3DF6"/>
    <w:rsid w:val="06B548C2"/>
    <w:rsid w:val="06CB77F8"/>
    <w:rsid w:val="06D94A2A"/>
    <w:rsid w:val="07001C9F"/>
    <w:rsid w:val="07840838"/>
    <w:rsid w:val="07A6120A"/>
    <w:rsid w:val="07B635D8"/>
    <w:rsid w:val="07E33BE5"/>
    <w:rsid w:val="07EC2DF4"/>
    <w:rsid w:val="08073233"/>
    <w:rsid w:val="080A092D"/>
    <w:rsid w:val="08766E28"/>
    <w:rsid w:val="088968DD"/>
    <w:rsid w:val="088C4FBB"/>
    <w:rsid w:val="089A2375"/>
    <w:rsid w:val="08AC03F8"/>
    <w:rsid w:val="08D27E05"/>
    <w:rsid w:val="08DF1AA3"/>
    <w:rsid w:val="08E26E3A"/>
    <w:rsid w:val="08EF4796"/>
    <w:rsid w:val="08F63846"/>
    <w:rsid w:val="090F4267"/>
    <w:rsid w:val="091308EE"/>
    <w:rsid w:val="09130EA8"/>
    <w:rsid w:val="09440A55"/>
    <w:rsid w:val="096716D2"/>
    <w:rsid w:val="09752731"/>
    <w:rsid w:val="09793867"/>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E8794C"/>
    <w:rsid w:val="0B224DC6"/>
    <w:rsid w:val="0B2A1067"/>
    <w:rsid w:val="0B3D000D"/>
    <w:rsid w:val="0B521208"/>
    <w:rsid w:val="0B8352AD"/>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C40639"/>
    <w:rsid w:val="0DE37DAB"/>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297BF6"/>
    <w:rsid w:val="10496292"/>
    <w:rsid w:val="105A4DF7"/>
    <w:rsid w:val="10E41AA8"/>
    <w:rsid w:val="10E50428"/>
    <w:rsid w:val="10F13271"/>
    <w:rsid w:val="110A4333"/>
    <w:rsid w:val="1118155D"/>
    <w:rsid w:val="11587417"/>
    <w:rsid w:val="119254E8"/>
    <w:rsid w:val="119C3D87"/>
    <w:rsid w:val="11B86C8E"/>
    <w:rsid w:val="11DC2678"/>
    <w:rsid w:val="11F37AAF"/>
    <w:rsid w:val="1231505F"/>
    <w:rsid w:val="12490C1A"/>
    <w:rsid w:val="126A3E6B"/>
    <w:rsid w:val="126C326A"/>
    <w:rsid w:val="12815AEB"/>
    <w:rsid w:val="12C337DE"/>
    <w:rsid w:val="13017C14"/>
    <w:rsid w:val="13083EAD"/>
    <w:rsid w:val="13215E10"/>
    <w:rsid w:val="13283DEC"/>
    <w:rsid w:val="13544C3F"/>
    <w:rsid w:val="135F0B15"/>
    <w:rsid w:val="13634DDD"/>
    <w:rsid w:val="13856446"/>
    <w:rsid w:val="1396747A"/>
    <w:rsid w:val="13A3130F"/>
    <w:rsid w:val="13E82F19"/>
    <w:rsid w:val="13EE3A98"/>
    <w:rsid w:val="14010C77"/>
    <w:rsid w:val="140356B0"/>
    <w:rsid w:val="141D30BE"/>
    <w:rsid w:val="14587E57"/>
    <w:rsid w:val="14741441"/>
    <w:rsid w:val="14BB1C9F"/>
    <w:rsid w:val="15094C5D"/>
    <w:rsid w:val="15316317"/>
    <w:rsid w:val="155906E9"/>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DD0CDF"/>
    <w:rsid w:val="16EE4C4E"/>
    <w:rsid w:val="16FA509C"/>
    <w:rsid w:val="17072B4C"/>
    <w:rsid w:val="170D12AB"/>
    <w:rsid w:val="171A3ED5"/>
    <w:rsid w:val="17205BE7"/>
    <w:rsid w:val="17465AAA"/>
    <w:rsid w:val="17503104"/>
    <w:rsid w:val="17505D4E"/>
    <w:rsid w:val="17783BE3"/>
    <w:rsid w:val="1779628A"/>
    <w:rsid w:val="17815854"/>
    <w:rsid w:val="17925175"/>
    <w:rsid w:val="17C01CAC"/>
    <w:rsid w:val="17E37BDB"/>
    <w:rsid w:val="17EF3F70"/>
    <w:rsid w:val="17F142A9"/>
    <w:rsid w:val="18063F3F"/>
    <w:rsid w:val="180A4E9A"/>
    <w:rsid w:val="180D7251"/>
    <w:rsid w:val="188D5D73"/>
    <w:rsid w:val="189169E3"/>
    <w:rsid w:val="18925E68"/>
    <w:rsid w:val="18A66EE8"/>
    <w:rsid w:val="18A95603"/>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9FB6F0E"/>
    <w:rsid w:val="1A26411C"/>
    <w:rsid w:val="1A9F6FC9"/>
    <w:rsid w:val="1ADD5F89"/>
    <w:rsid w:val="1AE2457F"/>
    <w:rsid w:val="1B284842"/>
    <w:rsid w:val="1B2D3FA1"/>
    <w:rsid w:val="1B761192"/>
    <w:rsid w:val="1BB644AB"/>
    <w:rsid w:val="1BD64C8E"/>
    <w:rsid w:val="1BE21A22"/>
    <w:rsid w:val="1BEF6945"/>
    <w:rsid w:val="1C314E69"/>
    <w:rsid w:val="1C526C57"/>
    <w:rsid w:val="1C89589E"/>
    <w:rsid w:val="1CAC2742"/>
    <w:rsid w:val="1CBA6476"/>
    <w:rsid w:val="1CE263F6"/>
    <w:rsid w:val="1CEB63B0"/>
    <w:rsid w:val="1D00452D"/>
    <w:rsid w:val="1D0C33F7"/>
    <w:rsid w:val="1D301CD2"/>
    <w:rsid w:val="1D3D0078"/>
    <w:rsid w:val="1D5645F1"/>
    <w:rsid w:val="1D6C1236"/>
    <w:rsid w:val="1D7D6E22"/>
    <w:rsid w:val="1D8E222D"/>
    <w:rsid w:val="1D937159"/>
    <w:rsid w:val="1DCB56F0"/>
    <w:rsid w:val="1DCF0410"/>
    <w:rsid w:val="1E132454"/>
    <w:rsid w:val="1E687CCB"/>
    <w:rsid w:val="1E827766"/>
    <w:rsid w:val="1ED33B65"/>
    <w:rsid w:val="1EE91E3A"/>
    <w:rsid w:val="1EFD4A3C"/>
    <w:rsid w:val="1F254DB3"/>
    <w:rsid w:val="1F302632"/>
    <w:rsid w:val="1F5E3452"/>
    <w:rsid w:val="1F627CDB"/>
    <w:rsid w:val="1F6E5430"/>
    <w:rsid w:val="1F813E90"/>
    <w:rsid w:val="1F814CE7"/>
    <w:rsid w:val="1F8877F4"/>
    <w:rsid w:val="1F9E7C4F"/>
    <w:rsid w:val="1FAB150A"/>
    <w:rsid w:val="1FBC46FD"/>
    <w:rsid w:val="1FBD4AD7"/>
    <w:rsid w:val="1FCC3129"/>
    <w:rsid w:val="1FEA11D0"/>
    <w:rsid w:val="202371A4"/>
    <w:rsid w:val="20265D36"/>
    <w:rsid w:val="20316401"/>
    <w:rsid w:val="20596293"/>
    <w:rsid w:val="207634F3"/>
    <w:rsid w:val="207E788B"/>
    <w:rsid w:val="20C77F50"/>
    <w:rsid w:val="20D672A3"/>
    <w:rsid w:val="20EF1DAA"/>
    <w:rsid w:val="20F8426A"/>
    <w:rsid w:val="20FA635E"/>
    <w:rsid w:val="21054C3D"/>
    <w:rsid w:val="214D78C2"/>
    <w:rsid w:val="21825951"/>
    <w:rsid w:val="21D13511"/>
    <w:rsid w:val="21F6317C"/>
    <w:rsid w:val="21FC43D6"/>
    <w:rsid w:val="2216596C"/>
    <w:rsid w:val="22203CFA"/>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E541A0"/>
    <w:rsid w:val="23EC6A96"/>
    <w:rsid w:val="243214AC"/>
    <w:rsid w:val="244E1D75"/>
    <w:rsid w:val="248A0D43"/>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806B74"/>
    <w:rsid w:val="268F36B5"/>
    <w:rsid w:val="26B11F2B"/>
    <w:rsid w:val="26D65E39"/>
    <w:rsid w:val="27040920"/>
    <w:rsid w:val="271F4A33"/>
    <w:rsid w:val="27AD4773"/>
    <w:rsid w:val="27C91384"/>
    <w:rsid w:val="27D668C5"/>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CB3010"/>
    <w:rsid w:val="29E037B8"/>
    <w:rsid w:val="2A2121D6"/>
    <w:rsid w:val="2A3A45AD"/>
    <w:rsid w:val="2A540D79"/>
    <w:rsid w:val="2A7E6B46"/>
    <w:rsid w:val="2A906A52"/>
    <w:rsid w:val="2AAB41E7"/>
    <w:rsid w:val="2AB12EA9"/>
    <w:rsid w:val="2AB63832"/>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C39E5"/>
    <w:rsid w:val="2BE64890"/>
    <w:rsid w:val="2C1E6B55"/>
    <w:rsid w:val="2C36072E"/>
    <w:rsid w:val="2C376167"/>
    <w:rsid w:val="2C44722F"/>
    <w:rsid w:val="2C974BF3"/>
    <w:rsid w:val="2CAD724B"/>
    <w:rsid w:val="2CFE4FF5"/>
    <w:rsid w:val="2CFF170E"/>
    <w:rsid w:val="2D0205FD"/>
    <w:rsid w:val="2D052134"/>
    <w:rsid w:val="2D111B87"/>
    <w:rsid w:val="2D167DF1"/>
    <w:rsid w:val="2D52454B"/>
    <w:rsid w:val="2D8728DE"/>
    <w:rsid w:val="2DA4532F"/>
    <w:rsid w:val="2DBC7251"/>
    <w:rsid w:val="2DBF4931"/>
    <w:rsid w:val="2DF424CA"/>
    <w:rsid w:val="2DFC4B6C"/>
    <w:rsid w:val="2DFC5C0B"/>
    <w:rsid w:val="2E0E2C84"/>
    <w:rsid w:val="2E556993"/>
    <w:rsid w:val="2E59454D"/>
    <w:rsid w:val="2E8B30FF"/>
    <w:rsid w:val="2EAB2BF5"/>
    <w:rsid w:val="2EAD2E4C"/>
    <w:rsid w:val="2EC24664"/>
    <w:rsid w:val="2EEA2C98"/>
    <w:rsid w:val="2EF02780"/>
    <w:rsid w:val="2F051999"/>
    <w:rsid w:val="2F0543B1"/>
    <w:rsid w:val="2F066B65"/>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913CD1"/>
    <w:rsid w:val="30BF5C4B"/>
    <w:rsid w:val="30C07829"/>
    <w:rsid w:val="30C67684"/>
    <w:rsid w:val="30CE6CD3"/>
    <w:rsid w:val="30F566E1"/>
    <w:rsid w:val="3122767C"/>
    <w:rsid w:val="31286FBC"/>
    <w:rsid w:val="3137341C"/>
    <w:rsid w:val="314F2144"/>
    <w:rsid w:val="315E2A05"/>
    <w:rsid w:val="316664D7"/>
    <w:rsid w:val="316B7CCB"/>
    <w:rsid w:val="316D2FA8"/>
    <w:rsid w:val="31DB0C31"/>
    <w:rsid w:val="324C57A9"/>
    <w:rsid w:val="32614C75"/>
    <w:rsid w:val="32815CBA"/>
    <w:rsid w:val="32951F6D"/>
    <w:rsid w:val="329E72C7"/>
    <w:rsid w:val="32A6032C"/>
    <w:rsid w:val="32AC17D7"/>
    <w:rsid w:val="32C26BEC"/>
    <w:rsid w:val="33121F64"/>
    <w:rsid w:val="33143EED"/>
    <w:rsid w:val="334255F4"/>
    <w:rsid w:val="337C4435"/>
    <w:rsid w:val="33880EEF"/>
    <w:rsid w:val="33C32C8F"/>
    <w:rsid w:val="33C75BC6"/>
    <w:rsid w:val="33F42EE9"/>
    <w:rsid w:val="33F74503"/>
    <w:rsid w:val="341772D9"/>
    <w:rsid w:val="343A01EC"/>
    <w:rsid w:val="343F6199"/>
    <w:rsid w:val="34843873"/>
    <w:rsid w:val="34B06097"/>
    <w:rsid w:val="34D25746"/>
    <w:rsid w:val="3546112B"/>
    <w:rsid w:val="35501D28"/>
    <w:rsid w:val="35C0683A"/>
    <w:rsid w:val="35EC1514"/>
    <w:rsid w:val="363E0752"/>
    <w:rsid w:val="364361AA"/>
    <w:rsid w:val="3645702F"/>
    <w:rsid w:val="36585E53"/>
    <w:rsid w:val="366F6D31"/>
    <w:rsid w:val="36871C73"/>
    <w:rsid w:val="37016216"/>
    <w:rsid w:val="37055AD0"/>
    <w:rsid w:val="37121810"/>
    <w:rsid w:val="371E410C"/>
    <w:rsid w:val="372D1800"/>
    <w:rsid w:val="3735522D"/>
    <w:rsid w:val="374F3DD7"/>
    <w:rsid w:val="375F706D"/>
    <w:rsid w:val="376932B2"/>
    <w:rsid w:val="376F0CE2"/>
    <w:rsid w:val="37844799"/>
    <w:rsid w:val="37905FFF"/>
    <w:rsid w:val="37AC4983"/>
    <w:rsid w:val="37AF432A"/>
    <w:rsid w:val="37B31F85"/>
    <w:rsid w:val="37E65331"/>
    <w:rsid w:val="3860298E"/>
    <w:rsid w:val="38863971"/>
    <w:rsid w:val="38923D3A"/>
    <w:rsid w:val="389D1318"/>
    <w:rsid w:val="38A504D3"/>
    <w:rsid w:val="38E5618A"/>
    <w:rsid w:val="391F0993"/>
    <w:rsid w:val="393C4E1A"/>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BB532B"/>
    <w:rsid w:val="3AC16F61"/>
    <w:rsid w:val="3AEC0481"/>
    <w:rsid w:val="3AF50C27"/>
    <w:rsid w:val="3AFB35FA"/>
    <w:rsid w:val="3B383BC4"/>
    <w:rsid w:val="3B3865EE"/>
    <w:rsid w:val="3B3918BC"/>
    <w:rsid w:val="3B54246C"/>
    <w:rsid w:val="3BA52A51"/>
    <w:rsid w:val="3BB056E6"/>
    <w:rsid w:val="3BC5559F"/>
    <w:rsid w:val="3BCF0513"/>
    <w:rsid w:val="3BD03C0A"/>
    <w:rsid w:val="3BEB0215"/>
    <w:rsid w:val="3C0B3935"/>
    <w:rsid w:val="3C2639EF"/>
    <w:rsid w:val="3C3976F6"/>
    <w:rsid w:val="3C3E4D7A"/>
    <w:rsid w:val="3C53257C"/>
    <w:rsid w:val="3C6C64DA"/>
    <w:rsid w:val="3C723DB5"/>
    <w:rsid w:val="3CBE720A"/>
    <w:rsid w:val="3CBF3D1B"/>
    <w:rsid w:val="3CE14232"/>
    <w:rsid w:val="3CE300AA"/>
    <w:rsid w:val="3CFF0F0A"/>
    <w:rsid w:val="3D364D81"/>
    <w:rsid w:val="3D374A0B"/>
    <w:rsid w:val="3D572BF0"/>
    <w:rsid w:val="3D5F56B5"/>
    <w:rsid w:val="3DA83D0A"/>
    <w:rsid w:val="3DC95E64"/>
    <w:rsid w:val="3DD20B6C"/>
    <w:rsid w:val="3DDD4B2B"/>
    <w:rsid w:val="3DE11D43"/>
    <w:rsid w:val="3E0A46F6"/>
    <w:rsid w:val="3E2231DF"/>
    <w:rsid w:val="3E3143FD"/>
    <w:rsid w:val="3E3914AB"/>
    <w:rsid w:val="3E47171B"/>
    <w:rsid w:val="3E62523C"/>
    <w:rsid w:val="3E6560C0"/>
    <w:rsid w:val="3E790550"/>
    <w:rsid w:val="3E933053"/>
    <w:rsid w:val="3EB34B10"/>
    <w:rsid w:val="3EB97E84"/>
    <w:rsid w:val="3EC10D7D"/>
    <w:rsid w:val="3EC66B2E"/>
    <w:rsid w:val="3ECB3B4A"/>
    <w:rsid w:val="3EEA65C3"/>
    <w:rsid w:val="3F0804FF"/>
    <w:rsid w:val="3F137F44"/>
    <w:rsid w:val="3F1C7AA1"/>
    <w:rsid w:val="3F253896"/>
    <w:rsid w:val="3F456499"/>
    <w:rsid w:val="3F495B03"/>
    <w:rsid w:val="3F4F2A01"/>
    <w:rsid w:val="3F94017C"/>
    <w:rsid w:val="3FAB729B"/>
    <w:rsid w:val="3FC879D5"/>
    <w:rsid w:val="3FC928A4"/>
    <w:rsid w:val="3FFB0D98"/>
    <w:rsid w:val="3FFE0267"/>
    <w:rsid w:val="402C4DF9"/>
    <w:rsid w:val="40427BD5"/>
    <w:rsid w:val="40553718"/>
    <w:rsid w:val="40553BBD"/>
    <w:rsid w:val="407F77F4"/>
    <w:rsid w:val="40905D53"/>
    <w:rsid w:val="40932C0F"/>
    <w:rsid w:val="409723EF"/>
    <w:rsid w:val="40C854ED"/>
    <w:rsid w:val="40C92324"/>
    <w:rsid w:val="40F50ED0"/>
    <w:rsid w:val="40FF4477"/>
    <w:rsid w:val="412E6E5A"/>
    <w:rsid w:val="413F001C"/>
    <w:rsid w:val="4154495F"/>
    <w:rsid w:val="415C0B59"/>
    <w:rsid w:val="41834159"/>
    <w:rsid w:val="418A72E4"/>
    <w:rsid w:val="41A907FD"/>
    <w:rsid w:val="41C458B1"/>
    <w:rsid w:val="41D34D41"/>
    <w:rsid w:val="42167845"/>
    <w:rsid w:val="42341EC6"/>
    <w:rsid w:val="423C7F07"/>
    <w:rsid w:val="42652706"/>
    <w:rsid w:val="42672BE1"/>
    <w:rsid w:val="4287046B"/>
    <w:rsid w:val="42AA6321"/>
    <w:rsid w:val="42BA4D90"/>
    <w:rsid w:val="42C149A3"/>
    <w:rsid w:val="42E172A2"/>
    <w:rsid w:val="42EA799C"/>
    <w:rsid w:val="431E58A5"/>
    <w:rsid w:val="432B7898"/>
    <w:rsid w:val="433E1001"/>
    <w:rsid w:val="434D5B39"/>
    <w:rsid w:val="43656B48"/>
    <w:rsid w:val="43780CB2"/>
    <w:rsid w:val="439B1895"/>
    <w:rsid w:val="43A763AF"/>
    <w:rsid w:val="43B637EA"/>
    <w:rsid w:val="43CB3A74"/>
    <w:rsid w:val="43EA3450"/>
    <w:rsid w:val="43F3642E"/>
    <w:rsid w:val="44001119"/>
    <w:rsid w:val="445F7654"/>
    <w:rsid w:val="447F6556"/>
    <w:rsid w:val="449F1494"/>
    <w:rsid w:val="44AC3DE0"/>
    <w:rsid w:val="44CA7D5F"/>
    <w:rsid w:val="45111DC2"/>
    <w:rsid w:val="452303E7"/>
    <w:rsid w:val="45332881"/>
    <w:rsid w:val="45AD136E"/>
    <w:rsid w:val="45B217F4"/>
    <w:rsid w:val="460E66D2"/>
    <w:rsid w:val="461B516D"/>
    <w:rsid w:val="462C31F9"/>
    <w:rsid w:val="4633108F"/>
    <w:rsid w:val="463915B4"/>
    <w:rsid w:val="46676552"/>
    <w:rsid w:val="467872A0"/>
    <w:rsid w:val="46803CA1"/>
    <w:rsid w:val="46804220"/>
    <w:rsid w:val="469E2915"/>
    <w:rsid w:val="46B73022"/>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9D2B6A"/>
    <w:rsid w:val="48AF1A2C"/>
    <w:rsid w:val="48C02F86"/>
    <w:rsid w:val="48C926EA"/>
    <w:rsid w:val="48DA1AF1"/>
    <w:rsid w:val="493966A3"/>
    <w:rsid w:val="49573279"/>
    <w:rsid w:val="495E5E4C"/>
    <w:rsid w:val="49BE68A4"/>
    <w:rsid w:val="49CA3159"/>
    <w:rsid w:val="49E54E4D"/>
    <w:rsid w:val="4A567E57"/>
    <w:rsid w:val="4A573A86"/>
    <w:rsid w:val="4AAB71D8"/>
    <w:rsid w:val="4ABA3692"/>
    <w:rsid w:val="4ABE09B1"/>
    <w:rsid w:val="4AC64C9B"/>
    <w:rsid w:val="4B000CAC"/>
    <w:rsid w:val="4B022A13"/>
    <w:rsid w:val="4B2B05A4"/>
    <w:rsid w:val="4B353CB6"/>
    <w:rsid w:val="4B467083"/>
    <w:rsid w:val="4B651038"/>
    <w:rsid w:val="4B6B75E9"/>
    <w:rsid w:val="4B7E47FB"/>
    <w:rsid w:val="4B7E4935"/>
    <w:rsid w:val="4B8054BF"/>
    <w:rsid w:val="4B885624"/>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E0803D6"/>
    <w:rsid w:val="4E0B07C7"/>
    <w:rsid w:val="4E2D23E1"/>
    <w:rsid w:val="4E490F71"/>
    <w:rsid w:val="4E9C6DB8"/>
    <w:rsid w:val="4EC23EAE"/>
    <w:rsid w:val="4F192B86"/>
    <w:rsid w:val="4F1E3B41"/>
    <w:rsid w:val="4F1F0560"/>
    <w:rsid w:val="4F28290F"/>
    <w:rsid w:val="4F543C53"/>
    <w:rsid w:val="4F8B35E0"/>
    <w:rsid w:val="4F9E734F"/>
    <w:rsid w:val="4FA61BE4"/>
    <w:rsid w:val="4FD67DC7"/>
    <w:rsid w:val="500269F8"/>
    <w:rsid w:val="50267B2F"/>
    <w:rsid w:val="503B2047"/>
    <w:rsid w:val="505D17E0"/>
    <w:rsid w:val="50974C0C"/>
    <w:rsid w:val="50981A6E"/>
    <w:rsid w:val="509E7747"/>
    <w:rsid w:val="50A82BEE"/>
    <w:rsid w:val="50B53652"/>
    <w:rsid w:val="50B57780"/>
    <w:rsid w:val="50C51293"/>
    <w:rsid w:val="50CE4F37"/>
    <w:rsid w:val="512A2805"/>
    <w:rsid w:val="51340528"/>
    <w:rsid w:val="5151408F"/>
    <w:rsid w:val="517133B1"/>
    <w:rsid w:val="51743E58"/>
    <w:rsid w:val="51D5580D"/>
    <w:rsid w:val="521B7772"/>
    <w:rsid w:val="52251994"/>
    <w:rsid w:val="5233351C"/>
    <w:rsid w:val="52560348"/>
    <w:rsid w:val="52632802"/>
    <w:rsid w:val="527B077E"/>
    <w:rsid w:val="52AE24B8"/>
    <w:rsid w:val="52E3483D"/>
    <w:rsid w:val="531C02C3"/>
    <w:rsid w:val="531C21C9"/>
    <w:rsid w:val="532E28B8"/>
    <w:rsid w:val="533471AB"/>
    <w:rsid w:val="5359629E"/>
    <w:rsid w:val="536B671A"/>
    <w:rsid w:val="53896791"/>
    <w:rsid w:val="53A01641"/>
    <w:rsid w:val="53A47420"/>
    <w:rsid w:val="53B5288A"/>
    <w:rsid w:val="53BA18F2"/>
    <w:rsid w:val="53C102A5"/>
    <w:rsid w:val="53D732AC"/>
    <w:rsid w:val="54013224"/>
    <w:rsid w:val="54082164"/>
    <w:rsid w:val="54396A35"/>
    <w:rsid w:val="543C34A3"/>
    <w:rsid w:val="54493A26"/>
    <w:rsid w:val="545E6E35"/>
    <w:rsid w:val="54822EB0"/>
    <w:rsid w:val="54933E92"/>
    <w:rsid w:val="54B11725"/>
    <w:rsid w:val="54B45976"/>
    <w:rsid w:val="54C8391A"/>
    <w:rsid w:val="5507301C"/>
    <w:rsid w:val="5512548F"/>
    <w:rsid w:val="554A6AC3"/>
    <w:rsid w:val="554C0C46"/>
    <w:rsid w:val="55831706"/>
    <w:rsid w:val="55896CEB"/>
    <w:rsid w:val="55A241E9"/>
    <w:rsid w:val="55AB0A8B"/>
    <w:rsid w:val="55B654BC"/>
    <w:rsid w:val="55E34263"/>
    <w:rsid w:val="55E77811"/>
    <w:rsid w:val="5646016B"/>
    <w:rsid w:val="565A207E"/>
    <w:rsid w:val="566C6470"/>
    <w:rsid w:val="56904833"/>
    <w:rsid w:val="56B47A9C"/>
    <w:rsid w:val="56C03C97"/>
    <w:rsid w:val="56DB0CD7"/>
    <w:rsid w:val="56DE503C"/>
    <w:rsid w:val="5708640C"/>
    <w:rsid w:val="5712053B"/>
    <w:rsid w:val="574079C4"/>
    <w:rsid w:val="574B0EE7"/>
    <w:rsid w:val="57603878"/>
    <w:rsid w:val="576F318D"/>
    <w:rsid w:val="57832510"/>
    <w:rsid w:val="57851087"/>
    <w:rsid w:val="57B43DA0"/>
    <w:rsid w:val="57CC6606"/>
    <w:rsid w:val="58075C53"/>
    <w:rsid w:val="5838442C"/>
    <w:rsid w:val="58694A68"/>
    <w:rsid w:val="58736030"/>
    <w:rsid w:val="588A06AC"/>
    <w:rsid w:val="588A0DE3"/>
    <w:rsid w:val="5899246A"/>
    <w:rsid w:val="58A27144"/>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50477F"/>
    <w:rsid w:val="5A542A36"/>
    <w:rsid w:val="5B1519A6"/>
    <w:rsid w:val="5B173022"/>
    <w:rsid w:val="5B2A102F"/>
    <w:rsid w:val="5B380D01"/>
    <w:rsid w:val="5B3C35EA"/>
    <w:rsid w:val="5B4218D9"/>
    <w:rsid w:val="5B761406"/>
    <w:rsid w:val="5B963C33"/>
    <w:rsid w:val="5BA71510"/>
    <w:rsid w:val="5BC61520"/>
    <w:rsid w:val="5BCF63CA"/>
    <w:rsid w:val="5C084598"/>
    <w:rsid w:val="5C144FF2"/>
    <w:rsid w:val="5C23541B"/>
    <w:rsid w:val="5C4872F9"/>
    <w:rsid w:val="5C4E5D1A"/>
    <w:rsid w:val="5C5141BF"/>
    <w:rsid w:val="5C665E30"/>
    <w:rsid w:val="5C74248A"/>
    <w:rsid w:val="5C7D7C2D"/>
    <w:rsid w:val="5CA42D69"/>
    <w:rsid w:val="5CAC5F4C"/>
    <w:rsid w:val="5CC04FCD"/>
    <w:rsid w:val="5CE6733E"/>
    <w:rsid w:val="5CF04AD8"/>
    <w:rsid w:val="5D021CBF"/>
    <w:rsid w:val="5D1A63CA"/>
    <w:rsid w:val="5D1E1174"/>
    <w:rsid w:val="5D262EA1"/>
    <w:rsid w:val="5D386854"/>
    <w:rsid w:val="5D4A0968"/>
    <w:rsid w:val="5D636E8D"/>
    <w:rsid w:val="5D652CD9"/>
    <w:rsid w:val="5DB828D3"/>
    <w:rsid w:val="5DD67928"/>
    <w:rsid w:val="5DE145FD"/>
    <w:rsid w:val="5E1B0B4B"/>
    <w:rsid w:val="5E287980"/>
    <w:rsid w:val="5E4B3709"/>
    <w:rsid w:val="5E525231"/>
    <w:rsid w:val="5E611ED0"/>
    <w:rsid w:val="5E8472FE"/>
    <w:rsid w:val="5ED5144F"/>
    <w:rsid w:val="5EDF3A2D"/>
    <w:rsid w:val="5EE56320"/>
    <w:rsid w:val="5EEC0607"/>
    <w:rsid w:val="5EF96D08"/>
    <w:rsid w:val="5F266950"/>
    <w:rsid w:val="5F282AC1"/>
    <w:rsid w:val="5F4139E5"/>
    <w:rsid w:val="5F6B51A4"/>
    <w:rsid w:val="5F7A5E4D"/>
    <w:rsid w:val="5F8E34E5"/>
    <w:rsid w:val="5F8F70AA"/>
    <w:rsid w:val="5FB3346D"/>
    <w:rsid w:val="5FF00D08"/>
    <w:rsid w:val="60066A9A"/>
    <w:rsid w:val="60A64894"/>
    <w:rsid w:val="60D3730C"/>
    <w:rsid w:val="60E102C1"/>
    <w:rsid w:val="61067614"/>
    <w:rsid w:val="61101775"/>
    <w:rsid w:val="61262D0F"/>
    <w:rsid w:val="61280BDB"/>
    <w:rsid w:val="61291238"/>
    <w:rsid w:val="613520D4"/>
    <w:rsid w:val="616426A1"/>
    <w:rsid w:val="61AC794F"/>
    <w:rsid w:val="61BA1757"/>
    <w:rsid w:val="61C15914"/>
    <w:rsid w:val="61F424AA"/>
    <w:rsid w:val="622E6C69"/>
    <w:rsid w:val="62715800"/>
    <w:rsid w:val="627B35CE"/>
    <w:rsid w:val="629E4E86"/>
    <w:rsid w:val="62A17DFA"/>
    <w:rsid w:val="62C82302"/>
    <w:rsid w:val="62EC6198"/>
    <w:rsid w:val="630436AD"/>
    <w:rsid w:val="634E2D1B"/>
    <w:rsid w:val="63566A2B"/>
    <w:rsid w:val="636B4B11"/>
    <w:rsid w:val="637C5F97"/>
    <w:rsid w:val="638124D2"/>
    <w:rsid w:val="63A252D2"/>
    <w:rsid w:val="63A66DE8"/>
    <w:rsid w:val="63BE647A"/>
    <w:rsid w:val="63F6696C"/>
    <w:rsid w:val="6403539E"/>
    <w:rsid w:val="64043A7E"/>
    <w:rsid w:val="642304BF"/>
    <w:rsid w:val="64252C77"/>
    <w:rsid w:val="64253428"/>
    <w:rsid w:val="64474FAC"/>
    <w:rsid w:val="646E14B1"/>
    <w:rsid w:val="647913D5"/>
    <w:rsid w:val="648C1BAD"/>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8612C"/>
    <w:rsid w:val="66832D2C"/>
    <w:rsid w:val="66891537"/>
    <w:rsid w:val="66CF7EB2"/>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F29EB"/>
    <w:rsid w:val="691D1214"/>
    <w:rsid w:val="69702F6D"/>
    <w:rsid w:val="69AB5C05"/>
    <w:rsid w:val="69C908E1"/>
    <w:rsid w:val="69D86E8B"/>
    <w:rsid w:val="69DD1C9D"/>
    <w:rsid w:val="69F92A6F"/>
    <w:rsid w:val="6A072B7C"/>
    <w:rsid w:val="6A2124E7"/>
    <w:rsid w:val="6A4B7F5F"/>
    <w:rsid w:val="6A541948"/>
    <w:rsid w:val="6A797AD4"/>
    <w:rsid w:val="6A80624F"/>
    <w:rsid w:val="6A97297F"/>
    <w:rsid w:val="6AAA7CC8"/>
    <w:rsid w:val="6ACF0B94"/>
    <w:rsid w:val="6AD101E9"/>
    <w:rsid w:val="6B1804B8"/>
    <w:rsid w:val="6B3D6358"/>
    <w:rsid w:val="6B4B64EA"/>
    <w:rsid w:val="6B5F7C7C"/>
    <w:rsid w:val="6B61569E"/>
    <w:rsid w:val="6B7E7510"/>
    <w:rsid w:val="6BFE1CB3"/>
    <w:rsid w:val="6C027255"/>
    <w:rsid w:val="6C151BCA"/>
    <w:rsid w:val="6C1A6F6B"/>
    <w:rsid w:val="6C1E310D"/>
    <w:rsid w:val="6C2D3BD7"/>
    <w:rsid w:val="6C5F56A8"/>
    <w:rsid w:val="6C6120A9"/>
    <w:rsid w:val="6C8B0467"/>
    <w:rsid w:val="6C962C00"/>
    <w:rsid w:val="6D061E2A"/>
    <w:rsid w:val="6D186E37"/>
    <w:rsid w:val="6D1D1013"/>
    <w:rsid w:val="6D2E67BF"/>
    <w:rsid w:val="6D483774"/>
    <w:rsid w:val="6D5F6AF1"/>
    <w:rsid w:val="6D6830E8"/>
    <w:rsid w:val="6D707BA9"/>
    <w:rsid w:val="6D9E77AA"/>
    <w:rsid w:val="6DDC6247"/>
    <w:rsid w:val="6E172307"/>
    <w:rsid w:val="6E61763F"/>
    <w:rsid w:val="6E6E472E"/>
    <w:rsid w:val="6E7066F8"/>
    <w:rsid w:val="6E743036"/>
    <w:rsid w:val="6E85777F"/>
    <w:rsid w:val="6EAC686C"/>
    <w:rsid w:val="6EAD3A68"/>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10469C6"/>
    <w:rsid w:val="710D0D68"/>
    <w:rsid w:val="713F1B87"/>
    <w:rsid w:val="7140267B"/>
    <w:rsid w:val="71A71F1F"/>
    <w:rsid w:val="72092685"/>
    <w:rsid w:val="725D51E5"/>
    <w:rsid w:val="72853A81"/>
    <w:rsid w:val="72B4341C"/>
    <w:rsid w:val="72BB0D0C"/>
    <w:rsid w:val="72F9009A"/>
    <w:rsid w:val="73134194"/>
    <w:rsid w:val="732A685E"/>
    <w:rsid w:val="7358323E"/>
    <w:rsid w:val="735838D0"/>
    <w:rsid w:val="737319BE"/>
    <w:rsid w:val="73770BEC"/>
    <w:rsid w:val="73833B4D"/>
    <w:rsid w:val="73A76797"/>
    <w:rsid w:val="73AD22F8"/>
    <w:rsid w:val="73D51CD9"/>
    <w:rsid w:val="73DF088B"/>
    <w:rsid w:val="73EC3B7D"/>
    <w:rsid w:val="740976D0"/>
    <w:rsid w:val="74251108"/>
    <w:rsid w:val="74777A6A"/>
    <w:rsid w:val="747A44A0"/>
    <w:rsid w:val="74E85D51"/>
    <w:rsid w:val="74E96A98"/>
    <w:rsid w:val="75002292"/>
    <w:rsid w:val="751579F6"/>
    <w:rsid w:val="75330B7C"/>
    <w:rsid w:val="753462A4"/>
    <w:rsid w:val="753A73E9"/>
    <w:rsid w:val="753C13D3"/>
    <w:rsid w:val="755E792B"/>
    <w:rsid w:val="75701E2F"/>
    <w:rsid w:val="758D59FD"/>
    <w:rsid w:val="75932CCC"/>
    <w:rsid w:val="759467DB"/>
    <w:rsid w:val="75A63893"/>
    <w:rsid w:val="75D73501"/>
    <w:rsid w:val="75FD6817"/>
    <w:rsid w:val="76206054"/>
    <w:rsid w:val="762E2976"/>
    <w:rsid w:val="764A5060"/>
    <w:rsid w:val="765448FD"/>
    <w:rsid w:val="76666500"/>
    <w:rsid w:val="76752674"/>
    <w:rsid w:val="76A03F37"/>
    <w:rsid w:val="76EE541F"/>
    <w:rsid w:val="76FB7B7D"/>
    <w:rsid w:val="7771498F"/>
    <w:rsid w:val="7774530C"/>
    <w:rsid w:val="777534EF"/>
    <w:rsid w:val="777C5714"/>
    <w:rsid w:val="7782228E"/>
    <w:rsid w:val="77856090"/>
    <w:rsid w:val="77B34464"/>
    <w:rsid w:val="77BA58D3"/>
    <w:rsid w:val="77C45E43"/>
    <w:rsid w:val="77CE00AF"/>
    <w:rsid w:val="77F34723"/>
    <w:rsid w:val="780D0FC5"/>
    <w:rsid w:val="78122A81"/>
    <w:rsid w:val="78224A42"/>
    <w:rsid w:val="78293DC0"/>
    <w:rsid w:val="78573BA6"/>
    <w:rsid w:val="78C437D3"/>
    <w:rsid w:val="78D35541"/>
    <w:rsid w:val="78F21606"/>
    <w:rsid w:val="79140A19"/>
    <w:rsid w:val="794433FE"/>
    <w:rsid w:val="794F159E"/>
    <w:rsid w:val="79567023"/>
    <w:rsid w:val="795D4D79"/>
    <w:rsid w:val="796C3F60"/>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B64ADB"/>
    <w:rsid w:val="7BB82A8D"/>
    <w:rsid w:val="7BD66CE1"/>
    <w:rsid w:val="7BF2699E"/>
    <w:rsid w:val="7C2B3097"/>
    <w:rsid w:val="7C6E5087"/>
    <w:rsid w:val="7C73640D"/>
    <w:rsid w:val="7C925305"/>
    <w:rsid w:val="7CA213E1"/>
    <w:rsid w:val="7CCA7D32"/>
    <w:rsid w:val="7CEF35A8"/>
    <w:rsid w:val="7CF43304"/>
    <w:rsid w:val="7D030107"/>
    <w:rsid w:val="7D174F1A"/>
    <w:rsid w:val="7D334B54"/>
    <w:rsid w:val="7D631915"/>
    <w:rsid w:val="7D681564"/>
    <w:rsid w:val="7D854F5D"/>
    <w:rsid w:val="7D894D45"/>
    <w:rsid w:val="7DB639FC"/>
    <w:rsid w:val="7DE76108"/>
    <w:rsid w:val="7E115459"/>
    <w:rsid w:val="7EA90CE6"/>
    <w:rsid w:val="7EAA7A04"/>
    <w:rsid w:val="7EDD6453"/>
    <w:rsid w:val="7EE44685"/>
    <w:rsid w:val="7EEF04B2"/>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9"/>
    <w:qFormat/>
    <w:uiPriority w:val="0"/>
    <w:pPr>
      <w:keepNext/>
      <w:keepLines/>
      <w:spacing w:line="360" w:lineRule="auto"/>
      <w:outlineLvl w:val="0"/>
    </w:pPr>
    <w:rPr>
      <w:b/>
      <w:bCs/>
      <w:kern w:val="44"/>
      <w:sz w:val="32"/>
      <w:szCs w:val="44"/>
    </w:rPr>
  </w:style>
  <w:style w:type="paragraph" w:styleId="4">
    <w:name w:val="heading 2"/>
    <w:basedOn w:val="1"/>
    <w:next w:val="5"/>
    <w:link w:val="50"/>
    <w:qFormat/>
    <w:uiPriority w:val="0"/>
    <w:pPr>
      <w:keepNext/>
      <w:keepLines/>
      <w:spacing w:line="360" w:lineRule="auto"/>
      <w:outlineLvl w:val="1"/>
    </w:pPr>
    <w:rPr>
      <w:b/>
      <w:bCs/>
      <w:sz w:val="28"/>
      <w:szCs w:val="32"/>
    </w:rPr>
  </w:style>
  <w:style w:type="paragraph" w:styleId="2">
    <w:name w:val="heading 3"/>
    <w:basedOn w:val="1"/>
    <w:next w:val="1"/>
    <w:link w:val="51"/>
    <w:qFormat/>
    <w:uiPriority w:val="99"/>
    <w:pPr>
      <w:keepNext/>
      <w:keepLines/>
      <w:spacing w:line="360" w:lineRule="auto"/>
      <w:outlineLvl w:val="2"/>
    </w:pPr>
    <w:rPr>
      <w:b/>
      <w:bCs/>
      <w:szCs w:val="32"/>
    </w:rPr>
  </w:style>
  <w:style w:type="paragraph" w:styleId="6">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2"/>
    <w:qFormat/>
    <w:uiPriority w:val="0"/>
    <w:pPr>
      <w:ind w:firstLine="420" w:firstLineChars="200"/>
    </w:pPr>
  </w:style>
  <w:style w:type="paragraph" w:styleId="7">
    <w:name w:val="toc 7"/>
    <w:basedOn w:val="1"/>
    <w:next w:val="1"/>
    <w:semiHidden/>
    <w:qFormat/>
    <w:uiPriority w:val="0"/>
    <w:pPr>
      <w:ind w:left="1440"/>
      <w:jc w:val="left"/>
    </w:pPr>
    <w:rPr>
      <w:rFonts w:asciiTheme="minorHAnsi" w:hAnsiTheme="minorHAnsi" w:cstheme="minorHAnsi"/>
      <w:sz w:val="18"/>
      <w:szCs w:val="18"/>
    </w:rPr>
  </w:style>
  <w:style w:type="paragraph" w:styleId="8">
    <w:name w:val="caption"/>
    <w:basedOn w:val="1"/>
    <w:next w:val="1"/>
    <w:link w:val="78"/>
    <w:qFormat/>
    <w:uiPriority w:val="99"/>
    <w:pPr>
      <w:keepNext/>
      <w:widowControl/>
      <w:adjustRightInd w:val="0"/>
      <w:snapToGrid w:val="0"/>
      <w:jc w:val="center"/>
    </w:pPr>
    <w:rPr>
      <w:rFonts w:ascii="仿宋_GB2312"/>
      <w:b/>
      <w:kern w:val="0"/>
      <w:sz w:val="28"/>
      <w:szCs w:val="28"/>
    </w:rPr>
  </w:style>
  <w:style w:type="paragraph" w:styleId="9">
    <w:name w:val="List Bullet"/>
    <w:basedOn w:val="1"/>
    <w:semiHidden/>
    <w:unhideWhenUsed/>
    <w:qFormat/>
    <w:uiPriority w:val="0"/>
    <w:pPr>
      <w:numPr>
        <w:ilvl w:val="0"/>
        <w:numId w:val="1"/>
      </w:numPr>
      <w:contextualSpacing/>
    </w:pPr>
  </w:style>
  <w:style w:type="paragraph" w:styleId="10">
    <w:name w:val="Document Map"/>
    <w:basedOn w:val="1"/>
    <w:link w:val="55"/>
    <w:semiHidden/>
    <w:qFormat/>
    <w:uiPriority w:val="0"/>
    <w:pPr>
      <w:shd w:val="clear" w:color="auto" w:fill="000080"/>
    </w:pPr>
  </w:style>
  <w:style w:type="paragraph" w:styleId="11">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3"/>
    <w:unhideWhenUsed/>
    <w:qFormat/>
    <w:uiPriority w:val="99"/>
    <w:pPr>
      <w:jc w:val="left"/>
    </w:pPr>
  </w:style>
  <w:style w:type="paragraph" w:styleId="13">
    <w:name w:val="Body Text"/>
    <w:basedOn w:val="1"/>
    <w:next w:val="14"/>
    <w:link w:val="56"/>
    <w:qFormat/>
    <w:uiPriority w:val="0"/>
    <w:pPr>
      <w:spacing w:after="120"/>
    </w:pPr>
  </w:style>
  <w:style w:type="paragraph" w:styleId="14">
    <w:name w:val="List Bullet 5"/>
    <w:basedOn w:val="1"/>
    <w:semiHidden/>
    <w:unhideWhenUsed/>
    <w:qFormat/>
    <w:uiPriority w:val="99"/>
    <w:pPr>
      <w:numPr>
        <w:ilvl w:val="0"/>
        <w:numId w:val="2"/>
      </w:numPr>
    </w:pPr>
  </w:style>
  <w:style w:type="paragraph" w:styleId="15">
    <w:name w:val="Body Text Indent"/>
    <w:basedOn w:val="1"/>
    <w:link w:val="57"/>
    <w:qFormat/>
    <w:uiPriority w:val="0"/>
    <w:pPr>
      <w:spacing w:after="120"/>
      <w:ind w:left="420" w:leftChars="200"/>
    </w:pPr>
  </w:style>
  <w:style w:type="paragraph" w:styleId="16">
    <w:name w:val="toc 5"/>
    <w:basedOn w:val="1"/>
    <w:next w:val="1"/>
    <w:semiHidden/>
    <w:qFormat/>
    <w:uiPriority w:val="0"/>
    <w:pPr>
      <w:ind w:left="960"/>
      <w:jc w:val="left"/>
    </w:pPr>
    <w:rPr>
      <w:rFonts w:asciiTheme="minorHAnsi" w:hAnsiTheme="minorHAnsi" w:cstheme="minorHAnsi"/>
      <w:sz w:val="18"/>
      <w:szCs w:val="18"/>
    </w:rPr>
  </w:style>
  <w:style w:type="paragraph" w:styleId="17">
    <w:name w:val="toc 3"/>
    <w:basedOn w:val="1"/>
    <w:next w:val="1"/>
    <w:qFormat/>
    <w:uiPriority w:val="39"/>
    <w:pPr>
      <w:ind w:left="480"/>
      <w:jc w:val="left"/>
    </w:pPr>
    <w:rPr>
      <w:rFonts w:asciiTheme="minorHAnsi" w:hAnsiTheme="minorHAnsi" w:cstheme="minorHAnsi"/>
      <w:i/>
      <w:iCs/>
      <w:sz w:val="20"/>
      <w:szCs w:val="20"/>
    </w:rPr>
  </w:style>
  <w:style w:type="paragraph" w:styleId="18">
    <w:name w:val="Plain Text"/>
    <w:basedOn w:val="1"/>
    <w:link w:val="58"/>
    <w:qFormat/>
    <w:uiPriority w:val="0"/>
    <w:rPr>
      <w:rFonts w:ascii="宋体" w:hAnsi="Courier New" w:cs="Courier New"/>
      <w:szCs w:val="21"/>
    </w:rPr>
  </w:style>
  <w:style w:type="paragraph" w:styleId="19">
    <w:name w:val="toc 8"/>
    <w:basedOn w:val="1"/>
    <w:next w:val="1"/>
    <w:semiHidden/>
    <w:qFormat/>
    <w:uiPriority w:val="0"/>
    <w:pPr>
      <w:ind w:left="1680"/>
      <w:jc w:val="left"/>
    </w:pPr>
    <w:rPr>
      <w:rFonts w:asciiTheme="minorHAnsi" w:hAnsiTheme="minorHAnsi" w:cstheme="minorHAnsi"/>
      <w:sz w:val="18"/>
      <w:szCs w:val="18"/>
    </w:rPr>
  </w:style>
  <w:style w:type="paragraph" w:styleId="20">
    <w:name w:val="Date"/>
    <w:basedOn w:val="1"/>
    <w:next w:val="1"/>
    <w:link w:val="59"/>
    <w:qFormat/>
    <w:uiPriority w:val="0"/>
    <w:pPr>
      <w:ind w:left="100" w:leftChars="2500"/>
    </w:pPr>
    <w:rPr>
      <w:szCs w:val="20"/>
    </w:rPr>
  </w:style>
  <w:style w:type="paragraph" w:styleId="21">
    <w:name w:val="Body Text Indent 2"/>
    <w:basedOn w:val="1"/>
    <w:link w:val="60"/>
    <w:qFormat/>
    <w:uiPriority w:val="0"/>
    <w:pPr>
      <w:spacing w:after="120" w:line="480" w:lineRule="auto"/>
      <w:ind w:left="420" w:leftChars="200"/>
    </w:pPr>
  </w:style>
  <w:style w:type="paragraph" w:styleId="22">
    <w:name w:val="Balloon Text"/>
    <w:basedOn w:val="1"/>
    <w:link w:val="61"/>
    <w:unhideWhenUsed/>
    <w:qFormat/>
    <w:uiPriority w:val="99"/>
    <w:rPr>
      <w:rFonts w:ascii="Calibri" w:hAnsi="Calibri"/>
      <w:sz w:val="18"/>
      <w:szCs w:val="18"/>
    </w:rPr>
  </w:style>
  <w:style w:type="paragraph" w:styleId="23">
    <w:name w:val="footer"/>
    <w:basedOn w:val="1"/>
    <w:link w:val="62"/>
    <w:qFormat/>
    <w:uiPriority w:val="99"/>
    <w:pPr>
      <w:tabs>
        <w:tab w:val="center" w:pos="4153"/>
        <w:tab w:val="right" w:pos="8306"/>
      </w:tabs>
      <w:snapToGrid w:val="0"/>
      <w:jc w:val="left"/>
    </w:pPr>
    <w:rPr>
      <w:sz w:val="18"/>
      <w:szCs w:val="18"/>
    </w:rPr>
  </w:style>
  <w:style w:type="paragraph" w:styleId="24">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6">
    <w:name w:val="toc 4"/>
    <w:basedOn w:val="1"/>
    <w:next w:val="1"/>
    <w:semiHidden/>
    <w:qFormat/>
    <w:uiPriority w:val="0"/>
    <w:pPr>
      <w:ind w:left="720"/>
      <w:jc w:val="left"/>
    </w:pPr>
    <w:rPr>
      <w:rFonts w:asciiTheme="minorHAnsi" w:hAnsiTheme="minorHAnsi" w:cstheme="minorHAnsi"/>
      <w:sz w:val="18"/>
      <w:szCs w:val="18"/>
    </w:rPr>
  </w:style>
  <w:style w:type="paragraph" w:styleId="27">
    <w:name w:val="List"/>
    <w:basedOn w:val="1"/>
    <w:link w:val="123"/>
    <w:qFormat/>
    <w:uiPriority w:val="99"/>
    <w:pPr>
      <w:ind w:left="200" w:hanging="200" w:hangingChars="200"/>
    </w:pPr>
  </w:style>
  <w:style w:type="paragraph" w:styleId="28">
    <w:name w:val="footnote text"/>
    <w:basedOn w:val="1"/>
    <w:link w:val="64"/>
    <w:semiHidden/>
    <w:qFormat/>
    <w:uiPriority w:val="0"/>
    <w:pPr>
      <w:snapToGrid w:val="0"/>
      <w:jc w:val="left"/>
    </w:pPr>
    <w:rPr>
      <w:sz w:val="18"/>
      <w:szCs w:val="18"/>
    </w:rPr>
  </w:style>
  <w:style w:type="paragraph" w:styleId="29">
    <w:name w:val="toc 6"/>
    <w:basedOn w:val="1"/>
    <w:next w:val="1"/>
    <w:semiHidden/>
    <w:qFormat/>
    <w:uiPriority w:val="0"/>
    <w:pPr>
      <w:ind w:left="1200"/>
      <w:jc w:val="left"/>
    </w:pPr>
    <w:rPr>
      <w:rFonts w:asciiTheme="minorHAnsi" w:hAnsiTheme="minorHAnsi" w:cstheme="minorHAnsi"/>
      <w:sz w:val="18"/>
      <w:szCs w:val="18"/>
    </w:rPr>
  </w:style>
  <w:style w:type="paragraph" w:styleId="30">
    <w:name w:val="Body Text Indent 3"/>
    <w:basedOn w:val="1"/>
    <w:link w:val="65"/>
    <w:qFormat/>
    <w:uiPriority w:val="0"/>
    <w:pPr>
      <w:widowControl/>
      <w:spacing w:before="100" w:beforeAutospacing="1" w:after="100" w:afterAutospacing="1"/>
      <w:jc w:val="left"/>
    </w:pPr>
    <w:rPr>
      <w:rFonts w:ascii="宋体" w:hAnsi="宋体" w:cs="宋体"/>
      <w:kern w:val="0"/>
    </w:rPr>
  </w:style>
  <w:style w:type="paragraph" w:styleId="31">
    <w:name w:val="toc 2"/>
    <w:basedOn w:val="1"/>
    <w:next w:val="1"/>
    <w:qFormat/>
    <w:uiPriority w:val="39"/>
    <w:pPr>
      <w:ind w:left="240"/>
      <w:jc w:val="left"/>
    </w:pPr>
    <w:rPr>
      <w:rFonts w:asciiTheme="minorHAnsi" w:hAnsiTheme="minorHAnsi" w:cstheme="minorHAnsi"/>
      <w:smallCaps/>
      <w:sz w:val="20"/>
      <w:szCs w:val="20"/>
    </w:rPr>
  </w:style>
  <w:style w:type="paragraph" w:styleId="32">
    <w:name w:val="toc 9"/>
    <w:basedOn w:val="1"/>
    <w:next w:val="1"/>
    <w:semiHidden/>
    <w:qFormat/>
    <w:uiPriority w:val="0"/>
    <w:pPr>
      <w:ind w:left="1920"/>
      <w:jc w:val="left"/>
    </w:pPr>
    <w:rPr>
      <w:rFonts w:asciiTheme="minorHAnsi" w:hAnsiTheme="minorHAnsi" w:cstheme="minorHAnsi"/>
      <w:sz w:val="18"/>
      <w:szCs w:val="18"/>
    </w:rPr>
  </w:style>
  <w:style w:type="paragraph" w:styleId="33">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4">
    <w:name w:val="Normal (Web)"/>
    <w:basedOn w:val="1"/>
    <w:link w:val="90"/>
    <w:qFormat/>
    <w:uiPriority w:val="34"/>
    <w:pPr>
      <w:widowControl/>
      <w:spacing w:before="100" w:beforeAutospacing="1" w:after="100" w:afterAutospacing="1"/>
      <w:jc w:val="left"/>
    </w:pPr>
    <w:rPr>
      <w:rFonts w:ascii="宋体" w:hAnsi="宋体"/>
      <w:kern w:val="0"/>
    </w:rPr>
  </w:style>
  <w:style w:type="paragraph" w:styleId="35">
    <w:name w:val="Title"/>
    <w:basedOn w:val="1"/>
    <w:next w:val="1"/>
    <w:link w:val="154"/>
    <w:qFormat/>
    <w:uiPriority w:val="0"/>
    <w:pPr>
      <w:spacing w:before="240" w:after="60"/>
      <w:jc w:val="center"/>
      <w:outlineLvl w:val="0"/>
    </w:pPr>
    <w:rPr>
      <w:rFonts w:eastAsia="宋体" w:asciiTheme="majorHAnsi" w:hAnsiTheme="majorHAnsi" w:cstheme="majorBidi"/>
      <w:b/>
      <w:bCs/>
      <w:sz w:val="32"/>
      <w:szCs w:val="32"/>
    </w:rPr>
  </w:style>
  <w:style w:type="paragraph" w:styleId="36">
    <w:name w:val="annotation subject"/>
    <w:basedOn w:val="12"/>
    <w:next w:val="12"/>
    <w:link w:val="54"/>
    <w:qFormat/>
    <w:uiPriority w:val="0"/>
    <w:rPr>
      <w:b/>
      <w:bCs/>
    </w:rPr>
  </w:style>
  <w:style w:type="paragraph" w:styleId="37">
    <w:name w:val="Body Text First Indent"/>
    <w:basedOn w:val="13"/>
    <w:link w:val="175"/>
    <w:semiHidden/>
    <w:unhideWhenUsed/>
    <w:qFormat/>
    <w:uiPriority w:val="0"/>
    <w:pPr>
      <w:ind w:firstLine="420" w:firstLineChars="100"/>
    </w:pPr>
    <w:rPr>
      <w:kern w:val="0"/>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basedOn w:val="40"/>
    <w:qFormat/>
    <w:uiPriority w:val="0"/>
  </w:style>
  <w:style w:type="character" w:styleId="43">
    <w:name w:val="FollowedHyperlink"/>
    <w:basedOn w:val="40"/>
    <w:semiHidden/>
    <w:unhideWhenUsed/>
    <w:qFormat/>
    <w:uiPriority w:val="0"/>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styleId="46">
    <w:name w:val="footnote reference"/>
    <w:basedOn w:val="40"/>
    <w:semiHidden/>
    <w:qFormat/>
    <w:uiPriority w:val="0"/>
    <w:rPr>
      <w:vertAlign w:val="superscript"/>
    </w:rPr>
  </w:style>
  <w:style w:type="paragraph" w:customStyle="1" w:styleId="47">
    <w:name w:val="正文 首行缩进:  2 字符"/>
    <w:basedOn w:val="1"/>
    <w:qFormat/>
    <w:uiPriority w:val="99"/>
    <w:pPr>
      <w:ind w:firstLine="579" w:firstLineChars="200"/>
    </w:pPr>
    <w:rPr>
      <w:rFonts w:cs="宋体"/>
    </w:rPr>
  </w:style>
  <w:style w:type="paragraph" w:customStyle="1" w:styleId="48">
    <w:name w:val="样式2"/>
    <w:basedOn w:val="1"/>
    <w:qFormat/>
    <w:uiPriority w:val="34"/>
    <w:pPr>
      <w:tabs>
        <w:tab w:val="left" w:pos="432"/>
      </w:tabs>
      <w:spacing w:before="50" w:after="50" w:line="440" w:lineRule="exact"/>
    </w:pPr>
    <w:rPr>
      <w:rFonts w:eastAsia="黑体"/>
    </w:rPr>
  </w:style>
  <w:style w:type="character" w:customStyle="1" w:styleId="49">
    <w:name w:val="标题 1 字符"/>
    <w:basedOn w:val="40"/>
    <w:link w:val="3"/>
    <w:qFormat/>
    <w:uiPriority w:val="0"/>
    <w:rPr>
      <w:rFonts w:ascii="Times New Roman" w:hAnsi="Times New Roman" w:eastAsia="仿宋_GB2312" w:cs="Times New Roman"/>
      <w:b/>
      <w:bCs/>
      <w:kern w:val="44"/>
      <w:sz w:val="32"/>
      <w:szCs w:val="44"/>
    </w:rPr>
  </w:style>
  <w:style w:type="character" w:customStyle="1" w:styleId="50">
    <w:name w:val="标题 2 字符"/>
    <w:basedOn w:val="40"/>
    <w:link w:val="4"/>
    <w:qFormat/>
    <w:uiPriority w:val="0"/>
    <w:rPr>
      <w:rFonts w:ascii="Times New Roman" w:hAnsi="Times New Roman" w:eastAsia="仿宋_GB2312" w:cs="Times New Roman"/>
      <w:b/>
      <w:bCs/>
      <w:sz w:val="28"/>
      <w:szCs w:val="32"/>
    </w:rPr>
  </w:style>
  <w:style w:type="character" w:customStyle="1" w:styleId="51">
    <w:name w:val="标题 3 字符"/>
    <w:basedOn w:val="40"/>
    <w:link w:val="2"/>
    <w:qFormat/>
    <w:uiPriority w:val="99"/>
    <w:rPr>
      <w:rFonts w:ascii="Times New Roman" w:hAnsi="Times New Roman" w:eastAsia="仿宋_GB2312" w:cs="Times New Roman"/>
      <w:b/>
      <w:bCs/>
      <w:sz w:val="24"/>
      <w:szCs w:val="32"/>
    </w:rPr>
  </w:style>
  <w:style w:type="character" w:customStyle="1" w:styleId="52">
    <w:name w:val="标题 4 字符"/>
    <w:basedOn w:val="40"/>
    <w:link w:val="6"/>
    <w:qFormat/>
    <w:uiPriority w:val="0"/>
    <w:rPr>
      <w:rFonts w:ascii="Arial" w:hAnsi="Arial" w:eastAsia="黑体" w:cs="Times New Roman"/>
      <w:b/>
      <w:bCs/>
      <w:sz w:val="28"/>
      <w:szCs w:val="28"/>
    </w:rPr>
  </w:style>
  <w:style w:type="character" w:customStyle="1" w:styleId="53">
    <w:name w:val="批注文字 字符"/>
    <w:basedOn w:val="40"/>
    <w:link w:val="12"/>
    <w:qFormat/>
    <w:uiPriority w:val="99"/>
    <w:rPr>
      <w:rFonts w:ascii="Times New Roman" w:hAnsi="Times New Roman" w:eastAsia="仿宋_GB2312" w:cs="Times New Roman"/>
      <w:sz w:val="24"/>
      <w:szCs w:val="24"/>
    </w:rPr>
  </w:style>
  <w:style w:type="character" w:customStyle="1" w:styleId="54">
    <w:name w:val="批注主题 字符"/>
    <w:basedOn w:val="53"/>
    <w:link w:val="36"/>
    <w:qFormat/>
    <w:uiPriority w:val="0"/>
    <w:rPr>
      <w:rFonts w:ascii="Times New Roman" w:hAnsi="Times New Roman" w:eastAsia="仿宋_GB2312" w:cs="Times New Roman"/>
      <w:b/>
      <w:bCs/>
      <w:sz w:val="24"/>
      <w:szCs w:val="24"/>
    </w:rPr>
  </w:style>
  <w:style w:type="character" w:customStyle="1" w:styleId="55">
    <w:name w:val="文档结构图 字符"/>
    <w:basedOn w:val="40"/>
    <w:link w:val="10"/>
    <w:semiHidden/>
    <w:qFormat/>
    <w:uiPriority w:val="0"/>
    <w:rPr>
      <w:rFonts w:ascii="Times New Roman" w:hAnsi="Times New Roman" w:eastAsia="仿宋_GB2312" w:cs="Times New Roman"/>
      <w:sz w:val="24"/>
      <w:szCs w:val="24"/>
      <w:shd w:val="clear" w:color="auto" w:fill="000080"/>
    </w:rPr>
  </w:style>
  <w:style w:type="character" w:customStyle="1" w:styleId="56">
    <w:name w:val="正文文本 字符"/>
    <w:basedOn w:val="40"/>
    <w:link w:val="13"/>
    <w:qFormat/>
    <w:uiPriority w:val="0"/>
    <w:rPr>
      <w:rFonts w:ascii="Times New Roman" w:hAnsi="Times New Roman" w:eastAsia="仿宋_GB2312" w:cs="Times New Roman"/>
      <w:sz w:val="24"/>
      <w:szCs w:val="24"/>
    </w:rPr>
  </w:style>
  <w:style w:type="character" w:customStyle="1" w:styleId="57">
    <w:name w:val="正文文本缩进 字符"/>
    <w:basedOn w:val="40"/>
    <w:link w:val="15"/>
    <w:qFormat/>
    <w:uiPriority w:val="0"/>
    <w:rPr>
      <w:rFonts w:ascii="Times New Roman" w:hAnsi="Times New Roman" w:eastAsia="仿宋_GB2312" w:cs="Times New Roman"/>
      <w:sz w:val="24"/>
      <w:szCs w:val="24"/>
    </w:rPr>
  </w:style>
  <w:style w:type="character" w:customStyle="1" w:styleId="58">
    <w:name w:val="纯文本 字符"/>
    <w:basedOn w:val="40"/>
    <w:link w:val="18"/>
    <w:qFormat/>
    <w:uiPriority w:val="0"/>
    <w:rPr>
      <w:rFonts w:ascii="宋体" w:hAnsi="Courier New" w:eastAsia="仿宋_GB2312" w:cs="Courier New"/>
      <w:sz w:val="24"/>
      <w:szCs w:val="21"/>
    </w:rPr>
  </w:style>
  <w:style w:type="character" w:customStyle="1" w:styleId="59">
    <w:name w:val="日期 字符"/>
    <w:basedOn w:val="40"/>
    <w:link w:val="20"/>
    <w:qFormat/>
    <w:uiPriority w:val="0"/>
    <w:rPr>
      <w:rFonts w:ascii="Times New Roman" w:hAnsi="Times New Roman" w:eastAsia="仿宋_GB2312" w:cs="Times New Roman"/>
      <w:sz w:val="24"/>
      <w:szCs w:val="20"/>
    </w:rPr>
  </w:style>
  <w:style w:type="character" w:customStyle="1" w:styleId="60">
    <w:name w:val="正文文本缩进 2 字符"/>
    <w:basedOn w:val="40"/>
    <w:link w:val="21"/>
    <w:qFormat/>
    <w:uiPriority w:val="0"/>
    <w:rPr>
      <w:rFonts w:ascii="Times New Roman" w:hAnsi="Times New Roman" w:eastAsia="仿宋_GB2312" w:cs="Times New Roman"/>
      <w:sz w:val="24"/>
      <w:szCs w:val="24"/>
    </w:rPr>
  </w:style>
  <w:style w:type="character" w:customStyle="1" w:styleId="61">
    <w:name w:val="批注框文本 字符"/>
    <w:basedOn w:val="40"/>
    <w:link w:val="22"/>
    <w:qFormat/>
    <w:uiPriority w:val="99"/>
    <w:rPr>
      <w:rFonts w:ascii="Calibri" w:hAnsi="Calibri" w:eastAsia="仿宋_GB2312" w:cs="Times New Roman"/>
      <w:sz w:val="18"/>
      <w:szCs w:val="18"/>
    </w:rPr>
  </w:style>
  <w:style w:type="character" w:customStyle="1" w:styleId="62">
    <w:name w:val="页脚 字符"/>
    <w:basedOn w:val="40"/>
    <w:link w:val="23"/>
    <w:qFormat/>
    <w:uiPriority w:val="99"/>
    <w:rPr>
      <w:rFonts w:ascii="Times New Roman" w:hAnsi="Times New Roman" w:eastAsia="仿宋_GB2312" w:cs="Times New Roman"/>
      <w:sz w:val="18"/>
      <w:szCs w:val="18"/>
    </w:rPr>
  </w:style>
  <w:style w:type="character" w:customStyle="1" w:styleId="63">
    <w:name w:val="页眉 字符"/>
    <w:basedOn w:val="40"/>
    <w:link w:val="24"/>
    <w:qFormat/>
    <w:uiPriority w:val="99"/>
    <w:rPr>
      <w:rFonts w:ascii="Times New Roman" w:hAnsi="Times New Roman" w:eastAsia="仿宋_GB2312" w:cs="Times New Roman"/>
      <w:sz w:val="18"/>
      <w:szCs w:val="18"/>
    </w:rPr>
  </w:style>
  <w:style w:type="character" w:customStyle="1" w:styleId="64">
    <w:name w:val="脚注文本 字符"/>
    <w:basedOn w:val="40"/>
    <w:link w:val="28"/>
    <w:semiHidden/>
    <w:qFormat/>
    <w:uiPriority w:val="0"/>
    <w:rPr>
      <w:rFonts w:ascii="Times New Roman" w:hAnsi="Times New Roman" w:eastAsia="仿宋_GB2312" w:cs="Times New Roman"/>
      <w:sz w:val="18"/>
      <w:szCs w:val="18"/>
    </w:rPr>
  </w:style>
  <w:style w:type="character" w:customStyle="1" w:styleId="65">
    <w:name w:val="正文文本缩进 3 字符"/>
    <w:basedOn w:val="40"/>
    <w:link w:val="30"/>
    <w:qFormat/>
    <w:uiPriority w:val="0"/>
    <w:rPr>
      <w:rFonts w:ascii="宋体" w:hAnsi="宋体" w:eastAsia="仿宋_GB2312" w:cs="宋体"/>
      <w:kern w:val="0"/>
      <w:sz w:val="24"/>
      <w:szCs w:val="24"/>
    </w:rPr>
  </w:style>
  <w:style w:type="character" w:customStyle="1" w:styleId="66">
    <w:name w:val="HTML 预设格式 字符"/>
    <w:basedOn w:val="40"/>
    <w:link w:val="33"/>
    <w:qFormat/>
    <w:uiPriority w:val="99"/>
    <w:rPr>
      <w:rFonts w:ascii="宋体" w:hAnsi="宋体" w:eastAsia="宋体" w:cs="宋体"/>
      <w:kern w:val="0"/>
      <w:sz w:val="24"/>
      <w:szCs w:val="24"/>
    </w:rPr>
  </w:style>
  <w:style w:type="character" w:customStyle="1" w:styleId="67">
    <w:name w:val="apple-style-span"/>
    <w:basedOn w:val="40"/>
    <w:qFormat/>
    <w:uiPriority w:val="0"/>
  </w:style>
  <w:style w:type="character" w:customStyle="1" w:styleId="68">
    <w:name w:val="font2001"/>
    <w:basedOn w:val="40"/>
    <w:qFormat/>
    <w:uiPriority w:val="0"/>
    <w:rPr>
      <w:color w:val="000000"/>
      <w:sz w:val="20"/>
      <w:szCs w:val="20"/>
    </w:rPr>
  </w:style>
  <w:style w:type="character" w:customStyle="1" w:styleId="69">
    <w:name w:val="表格文字 Char"/>
    <w:basedOn w:val="40"/>
    <w:link w:val="70"/>
    <w:qFormat/>
    <w:locked/>
    <w:uiPriority w:val="0"/>
    <w:rPr>
      <w:rFonts w:ascii="仿宋_GB2312" w:hAnsi="Arial Black" w:eastAsia="仿宋_GB2312"/>
      <w:kern w:val="44"/>
      <w:sz w:val="24"/>
    </w:rPr>
  </w:style>
  <w:style w:type="paragraph" w:customStyle="1" w:styleId="70">
    <w:name w:val="表格文字"/>
    <w:basedOn w:val="1"/>
    <w:link w:val="69"/>
    <w:qFormat/>
    <w:uiPriority w:val="0"/>
    <w:pPr>
      <w:adjustRightInd w:val="0"/>
      <w:snapToGrid w:val="0"/>
      <w:jc w:val="center"/>
    </w:pPr>
    <w:rPr>
      <w:rFonts w:ascii="仿宋_GB2312" w:hAnsi="Arial Black" w:cstheme="minorBidi"/>
      <w:kern w:val="44"/>
      <w:szCs w:val="22"/>
    </w:rPr>
  </w:style>
  <w:style w:type="character" w:customStyle="1" w:styleId="71">
    <w:name w:val="正文缩进1"/>
    <w:basedOn w:val="40"/>
    <w:qFormat/>
    <w:uiPriority w:val="0"/>
    <w:rPr>
      <w:rFonts w:eastAsia="宋体"/>
      <w:kern w:val="2"/>
      <w:sz w:val="24"/>
      <w:lang w:val="en-US" w:eastAsia="zh-CN" w:bidi="ar-SA"/>
    </w:rPr>
  </w:style>
  <w:style w:type="character" w:customStyle="1" w:styleId="72">
    <w:name w:val="p9l1"/>
    <w:basedOn w:val="40"/>
    <w:qFormat/>
    <w:uiPriority w:val="0"/>
    <w:rPr>
      <w:sz w:val="18"/>
      <w:szCs w:val="18"/>
      <w:u w:val="none"/>
    </w:rPr>
  </w:style>
  <w:style w:type="character" w:customStyle="1" w:styleId="73">
    <w:name w:val="text1"/>
    <w:basedOn w:val="40"/>
    <w:qFormat/>
    <w:uiPriority w:val="0"/>
    <w:rPr>
      <w:rFonts w:hint="default" w:ascii="ˎ̥" w:hAnsi="ˎ̥"/>
      <w:sz w:val="21"/>
      <w:szCs w:val="21"/>
    </w:rPr>
  </w:style>
  <w:style w:type="character" w:customStyle="1" w:styleId="74">
    <w:name w:val="表格的文字 Char"/>
    <w:basedOn w:val="75"/>
    <w:link w:val="77"/>
    <w:qFormat/>
    <w:uiPriority w:val="0"/>
    <w:rPr>
      <w:rFonts w:ascii="仿宋_GB2312" w:hAnsi="宋体" w:eastAsia="仿宋_GB2312" w:cs="宋体"/>
      <w:bCs/>
      <w:sz w:val="24"/>
      <w:szCs w:val="24"/>
    </w:rPr>
  </w:style>
  <w:style w:type="character" w:customStyle="1" w:styleId="75">
    <w:name w:val="图表文字 Char"/>
    <w:link w:val="76"/>
    <w:qFormat/>
    <w:uiPriority w:val="0"/>
    <w:rPr>
      <w:rFonts w:ascii="仿宋_GB2312" w:hAnsi="宋体" w:eastAsia="仿宋_GB2312" w:cs="宋体"/>
      <w:sz w:val="24"/>
      <w:szCs w:val="24"/>
    </w:rPr>
  </w:style>
  <w:style w:type="paragraph" w:customStyle="1" w:styleId="76">
    <w:name w:val="图表文字"/>
    <w:basedOn w:val="1"/>
    <w:link w:val="75"/>
    <w:qFormat/>
    <w:uiPriority w:val="0"/>
    <w:pPr>
      <w:widowControl/>
      <w:jc w:val="center"/>
    </w:pPr>
    <w:rPr>
      <w:rFonts w:ascii="仿宋_GB2312" w:hAnsi="宋体" w:cs="宋体"/>
    </w:rPr>
  </w:style>
  <w:style w:type="paragraph" w:customStyle="1" w:styleId="77">
    <w:name w:val="表格的文字"/>
    <w:basedOn w:val="76"/>
    <w:link w:val="74"/>
    <w:qFormat/>
    <w:uiPriority w:val="0"/>
    <w:pPr>
      <w:widowControl w:val="0"/>
      <w:spacing w:line="300" w:lineRule="exact"/>
    </w:pPr>
    <w:rPr>
      <w:bCs/>
      <w:sz w:val="21"/>
    </w:rPr>
  </w:style>
  <w:style w:type="character" w:customStyle="1" w:styleId="78">
    <w:name w:val="题注 字符"/>
    <w:link w:val="8"/>
    <w:qFormat/>
    <w:uiPriority w:val="99"/>
    <w:rPr>
      <w:rFonts w:ascii="仿宋_GB2312" w:hAnsi="Times New Roman" w:eastAsia="仿宋_GB2312" w:cs="Times New Roman"/>
      <w:b/>
      <w:kern w:val="0"/>
      <w:sz w:val="28"/>
      <w:szCs w:val="28"/>
    </w:rPr>
  </w:style>
  <w:style w:type="character" w:customStyle="1" w:styleId="79">
    <w:name w:val="表标题 Char"/>
    <w:basedOn w:val="40"/>
    <w:link w:val="80"/>
    <w:qFormat/>
    <w:locked/>
    <w:uiPriority w:val="0"/>
    <w:rPr>
      <w:rFonts w:ascii="仿宋_GB2312" w:eastAsia="仿宋_GB2312"/>
      <w:b/>
      <w:bCs/>
      <w:sz w:val="24"/>
      <w:szCs w:val="24"/>
    </w:rPr>
  </w:style>
  <w:style w:type="paragraph" w:customStyle="1" w:styleId="80">
    <w:name w:val="表标题"/>
    <w:basedOn w:val="1"/>
    <w:link w:val="79"/>
    <w:qFormat/>
    <w:uiPriority w:val="0"/>
    <w:pPr>
      <w:spacing w:line="500" w:lineRule="exact"/>
      <w:ind w:firstLine="482" w:firstLineChars="200"/>
      <w:jc w:val="center"/>
    </w:pPr>
    <w:rPr>
      <w:rFonts w:ascii="仿宋_GB2312" w:hAnsiTheme="minorHAnsi" w:cstheme="minorBidi"/>
      <w:b/>
      <w:bCs/>
    </w:rPr>
  </w:style>
  <w:style w:type="character" w:customStyle="1" w:styleId="81">
    <w:name w:val="keyword"/>
    <w:basedOn w:val="40"/>
    <w:qFormat/>
    <w:uiPriority w:val="0"/>
  </w:style>
  <w:style w:type="character" w:customStyle="1" w:styleId="82">
    <w:name w:val="正文缩进 字符"/>
    <w:basedOn w:val="40"/>
    <w:link w:val="5"/>
    <w:qFormat/>
    <w:uiPriority w:val="0"/>
    <w:rPr>
      <w:rFonts w:ascii="Times New Roman" w:hAnsi="Times New Roman" w:eastAsia="仿宋_GB2312" w:cs="Times New Roman"/>
      <w:sz w:val="24"/>
      <w:szCs w:val="24"/>
    </w:rPr>
  </w:style>
  <w:style w:type="paragraph" w:customStyle="1" w:styleId="83">
    <w:name w:val="XYF1"/>
    <w:basedOn w:val="1"/>
    <w:qFormat/>
    <w:uiPriority w:val="34"/>
    <w:pPr>
      <w:tabs>
        <w:tab w:val="left" w:pos="1080"/>
      </w:tabs>
      <w:spacing w:line="440" w:lineRule="exact"/>
      <w:ind w:firstLine="195" w:firstLineChars="195"/>
    </w:pPr>
  </w:style>
  <w:style w:type="paragraph" w:customStyle="1" w:styleId="84">
    <w:name w:val="图文框"/>
    <w:basedOn w:val="1"/>
    <w:qFormat/>
    <w:uiPriority w:val="34"/>
    <w:pPr>
      <w:jc w:val="center"/>
    </w:pPr>
    <w:rPr>
      <w:szCs w:val="21"/>
    </w:rPr>
  </w:style>
  <w:style w:type="paragraph" w:customStyle="1" w:styleId="85">
    <w:name w:val="文本123"/>
    <w:basedOn w:val="5"/>
    <w:qFormat/>
    <w:uiPriority w:val="34"/>
    <w:pPr>
      <w:tabs>
        <w:tab w:val="left" w:pos="360"/>
      </w:tabs>
      <w:snapToGrid w:val="0"/>
      <w:spacing w:beforeLines="20" w:line="480" w:lineRule="exact"/>
      <w:ind w:firstLine="0" w:firstLineChars="0"/>
      <w:outlineLvl w:val="7"/>
    </w:pPr>
  </w:style>
  <w:style w:type="paragraph" w:customStyle="1" w:styleId="86">
    <w:name w:val="xl25"/>
    <w:basedOn w:val="1"/>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7">
    <w:name w:val="样式 (符号) 宋体 首行缩进:  0.93 厘米 段前: 6 磅 段后: 6 磅 行距: 固定值 18 磅1"/>
    <w:basedOn w:val="1"/>
    <w:qFormat/>
    <w:uiPriority w:val="34"/>
    <w:pPr>
      <w:spacing w:before="160" w:after="160" w:line="320" w:lineRule="exact"/>
      <w:ind w:firstLine="527"/>
    </w:pPr>
    <w:rPr>
      <w:rFonts w:hAnsi="宋体"/>
      <w:szCs w:val="20"/>
    </w:rPr>
  </w:style>
  <w:style w:type="paragraph" w:customStyle="1" w:styleId="88">
    <w:name w:val="Char1"/>
    <w:basedOn w:val="1"/>
    <w:qFormat/>
    <w:uiPriority w:val="34"/>
    <w:pPr>
      <w:snapToGrid w:val="0"/>
      <w:spacing w:line="360" w:lineRule="auto"/>
      <w:ind w:firstLine="200" w:firstLineChars="200"/>
    </w:pPr>
  </w:style>
  <w:style w:type="paragraph" w:customStyle="1" w:styleId="89">
    <w:name w:val="样式 列表"/>
    <w:basedOn w:val="27"/>
    <w:qFormat/>
    <w:uiPriority w:val="34"/>
    <w:pPr>
      <w:spacing w:line="280" w:lineRule="exact"/>
      <w:ind w:left="0" w:firstLine="0" w:firstLineChars="0"/>
      <w:jc w:val="center"/>
    </w:pPr>
    <w:rPr>
      <w:rFonts w:eastAsia="方正仿宋_GBK" w:cs="宋体"/>
      <w:szCs w:val="20"/>
    </w:rPr>
  </w:style>
  <w:style w:type="character" w:customStyle="1" w:styleId="90">
    <w:name w:val="普通(网站) 字符"/>
    <w:basedOn w:val="40"/>
    <w:link w:val="34"/>
    <w:qFormat/>
    <w:locked/>
    <w:uiPriority w:val="34"/>
    <w:rPr>
      <w:rFonts w:ascii="宋体" w:hAnsi="宋体" w:eastAsia="仿宋_GB2312" w:cs="Times New Roman"/>
      <w:kern w:val="0"/>
      <w:sz w:val="24"/>
      <w:szCs w:val="24"/>
    </w:rPr>
  </w:style>
  <w:style w:type="paragraph" w:customStyle="1" w:styleId="91">
    <w:name w:val="Char"/>
    <w:basedOn w:val="1"/>
    <w:qFormat/>
    <w:uiPriority w:val="34"/>
  </w:style>
  <w:style w:type="paragraph" w:customStyle="1" w:styleId="92">
    <w:name w:val="章标题"/>
    <w:next w:val="1"/>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3">
    <w:name w:val="简单回函地址"/>
    <w:basedOn w:val="1"/>
    <w:qFormat/>
    <w:uiPriority w:val="34"/>
  </w:style>
  <w:style w:type="paragraph" w:customStyle="1" w:styleId="94">
    <w:name w:val="Char Char Char Char Char Char Char Char Char Char Char Char Char"/>
    <w:basedOn w:val="1"/>
    <w:qFormat/>
    <w:uiPriority w:val="0"/>
    <w:rPr>
      <w:rFonts w:ascii="Tahoma" w:hAnsi="Tahoma"/>
      <w:szCs w:val="20"/>
    </w:rPr>
  </w:style>
  <w:style w:type="paragraph" w:customStyle="1" w:styleId="95">
    <w:name w:val="样式1"/>
    <w:basedOn w:val="1"/>
    <w:qFormat/>
    <w:uiPriority w:val="34"/>
    <w:rPr>
      <w:szCs w:val="20"/>
    </w:rPr>
  </w:style>
  <w:style w:type="paragraph" w:customStyle="1" w:styleId="96">
    <w:name w:val="xl45"/>
    <w:basedOn w:val="1"/>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7">
    <w:name w:val="xl26"/>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8">
    <w:name w:val="xl42"/>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9">
    <w:name w:val="字元"/>
    <w:basedOn w:val="1"/>
    <w:qFormat/>
    <w:uiPriority w:val="34"/>
  </w:style>
  <w:style w:type="paragraph" w:customStyle="1" w:styleId="100">
    <w:name w:val="图标题"/>
    <w:basedOn w:val="1"/>
    <w:qFormat/>
    <w:uiPriority w:val="34"/>
    <w:pPr>
      <w:widowControl/>
      <w:spacing w:line="300" w:lineRule="exact"/>
    </w:pPr>
    <w:rPr>
      <w:rFonts w:ascii="仿宋_GB2312" w:hAnsi="宋体" w:cs="宋体"/>
      <w:b/>
      <w:bCs/>
      <w:kern w:val="0"/>
    </w:rPr>
  </w:style>
  <w:style w:type="paragraph" w:customStyle="1" w:styleId="101">
    <w:name w:val="xl27"/>
    <w:basedOn w:val="1"/>
    <w:qFormat/>
    <w:uiPriority w:val="34"/>
    <w:pPr>
      <w:widowControl/>
      <w:pBdr>
        <w:bottom w:val="single" w:color="auto" w:sz="12" w:space="0"/>
      </w:pBdr>
      <w:spacing w:before="100" w:after="100"/>
      <w:jc w:val="center"/>
    </w:pPr>
    <w:rPr>
      <w:rFonts w:ascii="宋体" w:hAnsi="宋体"/>
      <w:kern w:val="0"/>
      <w:szCs w:val="20"/>
    </w:rPr>
  </w:style>
  <w:style w:type="paragraph" w:customStyle="1" w:styleId="102">
    <w:name w:val="Default"/>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3">
    <w:name w:val="Char Char Char Char"/>
    <w:basedOn w:val="10"/>
    <w:qFormat/>
    <w:uiPriority w:val="34"/>
    <w:pPr>
      <w:widowControl/>
      <w:adjustRightInd w:val="0"/>
      <w:snapToGrid w:val="0"/>
      <w:spacing w:line="360" w:lineRule="auto"/>
      <w:jc w:val="left"/>
    </w:pPr>
    <w:rPr>
      <w:rFonts w:ascii="Tahoma" w:hAnsi="Tahoma" w:cs="宋体"/>
      <w:kern w:val="0"/>
    </w:rPr>
  </w:style>
  <w:style w:type="paragraph" w:customStyle="1" w:styleId="104">
    <w:name w:val="6"/>
    <w:basedOn w:val="1"/>
    <w:next w:val="18"/>
    <w:qFormat/>
    <w:uiPriority w:val="34"/>
    <w:rPr>
      <w:rFonts w:ascii="宋体" w:hAnsi="Courier New"/>
      <w:szCs w:val="20"/>
    </w:rPr>
  </w:style>
  <w:style w:type="paragraph" w:customStyle="1" w:styleId="105">
    <w:name w:val="Char Char1 Char Char Char Char Char Char Char"/>
    <w:basedOn w:val="1"/>
    <w:next w:val="1"/>
    <w:qFormat/>
    <w:uiPriority w:val="34"/>
    <w:pPr>
      <w:spacing w:line="360" w:lineRule="auto"/>
      <w:ind w:firstLine="200" w:firstLineChars="200"/>
    </w:pPr>
  </w:style>
  <w:style w:type="paragraph" w:customStyle="1" w:styleId="106">
    <w:name w:val="环正文"/>
    <w:basedOn w:val="1"/>
    <w:link w:val="107"/>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7">
    <w:name w:val="环正文 Char1"/>
    <w:basedOn w:val="40"/>
    <w:link w:val="106"/>
    <w:qFormat/>
    <w:uiPriority w:val="0"/>
    <w:rPr>
      <w:rFonts w:ascii="宋体" w:hAnsi="宋体" w:eastAsia="仿宋_GB2312" w:cs="Times New Roman"/>
      <w:snapToGrid w:val="0"/>
      <w:color w:val="000000"/>
      <w:kern w:val="0"/>
      <w:sz w:val="32"/>
      <w:szCs w:val="28"/>
    </w:rPr>
  </w:style>
  <w:style w:type="paragraph" w:customStyle="1" w:styleId="108">
    <w:name w:val="文字"/>
    <w:basedOn w:val="1"/>
    <w:link w:val="109"/>
    <w:qFormat/>
    <w:uiPriority w:val="0"/>
    <w:pPr>
      <w:spacing w:line="360" w:lineRule="auto"/>
      <w:ind w:firstLine="200" w:firstLineChars="200"/>
    </w:pPr>
  </w:style>
  <w:style w:type="character" w:customStyle="1" w:styleId="109">
    <w:name w:val="文字 Char"/>
    <w:basedOn w:val="40"/>
    <w:link w:val="108"/>
    <w:qFormat/>
    <w:uiPriority w:val="0"/>
    <w:rPr>
      <w:rFonts w:ascii="Times New Roman" w:hAnsi="Times New Roman" w:eastAsia="仿宋_GB2312" w:cs="Times New Roman"/>
      <w:sz w:val="24"/>
      <w:szCs w:val="24"/>
    </w:rPr>
  </w:style>
  <w:style w:type="paragraph" w:customStyle="1" w:styleId="110">
    <w:name w:val="正文格式"/>
    <w:basedOn w:val="1"/>
    <w:qFormat/>
    <w:uiPriority w:val="34"/>
    <w:pPr>
      <w:ind w:firstLine="560" w:firstLineChars="200"/>
    </w:pPr>
    <w:rPr>
      <w:rFonts w:eastAsia="楷体_GB2312"/>
      <w:sz w:val="28"/>
    </w:rPr>
  </w:style>
  <w:style w:type="paragraph" w:customStyle="1" w:styleId="111">
    <w:name w:val="p0"/>
    <w:basedOn w:val="1"/>
    <w:qFormat/>
    <w:uiPriority w:val="34"/>
    <w:pPr>
      <w:widowControl/>
    </w:pPr>
    <w:rPr>
      <w:rFonts w:ascii="Tahoma" w:hAnsi="Tahoma" w:cs="Tahoma"/>
      <w:kern w:val="0"/>
      <w:szCs w:val="21"/>
    </w:rPr>
  </w:style>
  <w:style w:type="paragraph" w:customStyle="1" w:styleId="112">
    <w:name w:val="默认段落字体 Para Char Char Char Char Char Char Char Char Char Char Char Char Char"/>
    <w:basedOn w:val="1"/>
    <w:qFormat/>
    <w:uiPriority w:val="34"/>
  </w:style>
  <w:style w:type="paragraph" w:customStyle="1" w:styleId="113">
    <w:name w:val="xl9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4">
    <w:name w:val="默认段落字体 Para Char Char Char Char"/>
    <w:basedOn w:val="1"/>
    <w:qFormat/>
    <w:uiPriority w:val="0"/>
  </w:style>
  <w:style w:type="character" w:customStyle="1" w:styleId="115">
    <w:name w:val="Char Char12"/>
    <w:basedOn w:val="40"/>
    <w:qFormat/>
    <w:uiPriority w:val="0"/>
    <w:rPr>
      <w:rFonts w:eastAsia="方正仿宋_GBK"/>
      <w:snapToGrid w:val="0"/>
      <w:sz w:val="32"/>
      <w:lang w:val="en-US" w:eastAsia="zh-CN" w:bidi="ar-SA"/>
    </w:rPr>
  </w:style>
  <w:style w:type="paragraph" w:customStyle="1" w:styleId="116">
    <w:name w:val="二级无标题条"/>
    <w:basedOn w:val="1"/>
    <w:qFormat/>
    <w:uiPriority w:val="34"/>
  </w:style>
  <w:style w:type="paragraph" w:customStyle="1" w:styleId="117">
    <w:name w:val="表头"/>
    <w:basedOn w:val="1"/>
    <w:qFormat/>
    <w:uiPriority w:val="34"/>
    <w:pPr>
      <w:adjustRightInd w:val="0"/>
      <w:spacing w:line="320" w:lineRule="atLeast"/>
      <w:jc w:val="center"/>
      <w:textAlignment w:val="baseline"/>
    </w:pPr>
    <w:rPr>
      <w:rFonts w:eastAsia="黑体"/>
      <w:spacing w:val="-10"/>
      <w:kern w:val="0"/>
      <w:szCs w:val="20"/>
    </w:rPr>
  </w:style>
  <w:style w:type="paragraph" w:customStyle="1" w:styleId="118">
    <w:name w:val="表格文字-5号-中"/>
    <w:basedOn w:val="1"/>
    <w:qFormat/>
    <w:uiPriority w:val="34"/>
    <w:pPr>
      <w:snapToGrid w:val="0"/>
      <w:spacing w:line="400" w:lineRule="exact"/>
      <w:jc w:val="center"/>
    </w:pPr>
    <w:rPr>
      <w:kern w:val="0"/>
      <w:szCs w:val="21"/>
    </w:rPr>
  </w:style>
  <w:style w:type="paragraph" w:customStyle="1" w:styleId="119">
    <w:name w:val="Char Char1 Char Char Char1 Char"/>
    <w:basedOn w:val="1"/>
    <w:qFormat/>
    <w:uiPriority w:val="34"/>
    <w:pPr>
      <w:widowControl/>
      <w:adjustRightInd w:val="0"/>
      <w:spacing w:line="360" w:lineRule="auto"/>
      <w:jc w:val="left"/>
    </w:pPr>
    <w:rPr>
      <w:rFonts w:ascii="宋体" w:hAnsi="宋体" w:cs="宋体"/>
      <w:kern w:val="0"/>
    </w:rPr>
  </w:style>
  <w:style w:type="character" w:customStyle="1" w:styleId="120">
    <w:name w:val="apple-converted-space"/>
    <w:basedOn w:val="40"/>
    <w:qFormat/>
    <w:uiPriority w:val="0"/>
  </w:style>
  <w:style w:type="paragraph" w:customStyle="1" w:styleId="121">
    <w:name w:val="1 Char"/>
    <w:basedOn w:val="1"/>
    <w:qFormat/>
    <w:uiPriority w:val="34"/>
  </w:style>
  <w:style w:type="paragraph" w:customStyle="1" w:styleId="122">
    <w:name w:val="xl28"/>
    <w:basedOn w:val="1"/>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3">
    <w:name w:val="列表 字符"/>
    <w:link w:val="27"/>
    <w:qFormat/>
    <w:uiPriority w:val="99"/>
    <w:rPr>
      <w:rFonts w:ascii="Times New Roman" w:hAnsi="Times New Roman" w:eastAsia="仿宋_GB2312" w:cs="Times New Roman"/>
      <w:sz w:val="24"/>
      <w:szCs w:val="24"/>
    </w:rPr>
  </w:style>
  <w:style w:type="paragraph" w:customStyle="1" w:styleId="124">
    <w:name w:val="样式 题注 + 首行缩进:  2 字符"/>
    <w:basedOn w:val="8"/>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5">
    <w:name w:val="报告书表格"/>
    <w:basedOn w:val="1"/>
    <w:link w:val="126"/>
    <w:qFormat/>
    <w:uiPriority w:val="0"/>
    <w:pPr>
      <w:adjustRightInd w:val="0"/>
      <w:spacing w:line="400" w:lineRule="exact"/>
      <w:jc w:val="center"/>
      <w:textAlignment w:val="baseline"/>
    </w:pPr>
    <w:rPr>
      <w:kern w:val="0"/>
      <w:szCs w:val="20"/>
    </w:rPr>
  </w:style>
  <w:style w:type="character" w:customStyle="1" w:styleId="126">
    <w:name w:val="报告书表格 Char"/>
    <w:link w:val="125"/>
    <w:qFormat/>
    <w:uiPriority w:val="0"/>
    <w:rPr>
      <w:rFonts w:ascii="Times New Roman" w:hAnsi="Times New Roman" w:eastAsia="仿宋_GB2312" w:cs="Times New Roman"/>
      <w:kern w:val="0"/>
      <w:sz w:val="24"/>
      <w:szCs w:val="20"/>
    </w:rPr>
  </w:style>
  <w:style w:type="paragraph" w:customStyle="1" w:styleId="127">
    <w:name w:val="样式4"/>
    <w:basedOn w:val="6"/>
    <w:next w:val="6"/>
    <w:qFormat/>
    <w:uiPriority w:val="0"/>
    <w:pPr>
      <w:keepNext w:val="0"/>
      <w:keepLines w:val="0"/>
      <w:spacing w:before="0" w:after="0" w:line="360" w:lineRule="auto"/>
      <w:ind w:firstLine="200" w:firstLineChars="200"/>
      <w:jc w:val="left"/>
    </w:pPr>
    <w:rPr>
      <w:rFonts w:ascii="黑体" w:hAnsi="宋体"/>
      <w:b w:val="0"/>
    </w:rPr>
  </w:style>
  <w:style w:type="paragraph" w:customStyle="1" w:styleId="128">
    <w:name w:val="列出段落1"/>
    <w:qFormat/>
    <w:uiPriority w:val="0"/>
    <w:pPr>
      <w:ind w:left="720"/>
    </w:pPr>
    <w:rPr>
      <w:rFonts w:ascii="Times New Roman" w:hAnsi="Times New Roman" w:eastAsia="宋体" w:cs="Times New Roman"/>
      <w:lang w:val="en-US" w:eastAsia="zh-CN" w:bidi="ar-SA"/>
    </w:rPr>
  </w:style>
  <w:style w:type="paragraph" w:customStyle="1" w:styleId="129">
    <w:name w:val="正文文本 21"/>
    <w:basedOn w:val="1"/>
    <w:qFormat/>
    <w:uiPriority w:val="99"/>
    <w:pPr>
      <w:adjustRightInd w:val="0"/>
      <w:spacing w:after="120"/>
      <w:ind w:left="420"/>
      <w:textAlignment w:val="baseline"/>
    </w:pPr>
    <w:rPr>
      <w:rFonts w:hint="eastAsia" w:ascii="宋体" w:hAnsi="宋体" w:eastAsia="宋体"/>
      <w:szCs w:val="20"/>
    </w:rPr>
  </w:style>
  <w:style w:type="paragraph" w:customStyle="1" w:styleId="130">
    <w:name w:val="Table count"/>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31">
    <w:name w:val="bititle"/>
    <w:basedOn w:val="40"/>
    <w:qFormat/>
    <w:uiPriority w:val="0"/>
  </w:style>
  <w:style w:type="paragraph" w:customStyle="1" w:styleId="132">
    <w:name w:val="reader-word-layer"/>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3">
    <w:name w:val="小表格"/>
    <w:basedOn w:val="1"/>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4">
    <w:name w:val="正文5"/>
    <w:basedOn w:val="1"/>
    <w:link w:val="135"/>
    <w:qFormat/>
    <w:uiPriority w:val="0"/>
    <w:pPr>
      <w:widowControl/>
      <w:adjustRightInd w:val="0"/>
      <w:snapToGrid w:val="0"/>
      <w:spacing w:after="200"/>
      <w:jc w:val="left"/>
    </w:pPr>
    <w:rPr>
      <w:rFonts w:eastAsia="宋体"/>
      <w:kern w:val="0"/>
      <w:sz w:val="22"/>
      <w:szCs w:val="22"/>
    </w:rPr>
  </w:style>
  <w:style w:type="character" w:customStyle="1" w:styleId="135">
    <w:name w:val="正文5 Char"/>
    <w:basedOn w:val="40"/>
    <w:link w:val="134"/>
    <w:qFormat/>
    <w:uiPriority w:val="0"/>
    <w:rPr>
      <w:rFonts w:ascii="Times New Roman" w:hAnsi="Times New Roman" w:eastAsia="宋体" w:cs="Times New Roman"/>
      <w:kern w:val="0"/>
      <w:sz w:val="22"/>
    </w:rPr>
  </w:style>
  <w:style w:type="paragraph" w:customStyle="1" w:styleId="13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样式 标题 3 + 四号"/>
    <w:basedOn w:val="2"/>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8">
    <w:name w:val="正文 小五 Char"/>
    <w:basedOn w:val="40"/>
    <w:link w:val="139"/>
    <w:qFormat/>
    <w:uiPriority w:val="0"/>
    <w:rPr>
      <w:rFonts w:ascii="宋体" w:hAnsi="宋体"/>
      <w:spacing w:val="-6"/>
      <w:sz w:val="18"/>
      <w:szCs w:val="18"/>
    </w:rPr>
  </w:style>
  <w:style w:type="paragraph" w:customStyle="1" w:styleId="139">
    <w:name w:val="正文 小五"/>
    <w:basedOn w:val="1"/>
    <w:link w:val="138"/>
    <w:qFormat/>
    <w:uiPriority w:val="0"/>
    <w:pPr>
      <w:spacing w:line="270" w:lineRule="exact"/>
      <w:jc w:val="left"/>
    </w:pPr>
    <w:rPr>
      <w:rFonts w:ascii="宋体" w:hAnsi="宋体" w:eastAsiaTheme="minorEastAsia" w:cstheme="minorBidi"/>
      <w:spacing w:val="-6"/>
      <w:sz w:val="18"/>
      <w:szCs w:val="18"/>
    </w:rPr>
  </w:style>
  <w:style w:type="paragraph" w:customStyle="1" w:styleId="140">
    <w:name w:val="txt"/>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41">
    <w:name w:val="表格文字2"/>
    <w:basedOn w:val="1"/>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2">
    <w:name w:val="Table Paragraph"/>
    <w:basedOn w:val="1"/>
    <w:qFormat/>
    <w:uiPriority w:val="0"/>
    <w:pPr>
      <w:jc w:val="center"/>
    </w:pPr>
    <w:rPr>
      <w:rFonts w:ascii="宋体" w:hAnsi="宋体" w:eastAsia="宋体" w:cs="宋体"/>
    </w:rPr>
  </w:style>
  <w:style w:type="paragraph" w:customStyle="1" w:styleId="143">
    <w:name w:val="首行缩进"/>
    <w:basedOn w:val="1"/>
    <w:qFormat/>
    <w:uiPriority w:val="34"/>
    <w:pPr>
      <w:adjustRightInd w:val="0"/>
      <w:snapToGrid w:val="0"/>
      <w:spacing w:line="360" w:lineRule="auto"/>
      <w:ind w:firstLine="480" w:firstLineChars="200"/>
      <w:jc w:val="left"/>
    </w:pPr>
    <w:rPr>
      <w:rFonts w:eastAsiaTheme="minorEastAsia"/>
      <w:szCs w:val="22"/>
    </w:rPr>
  </w:style>
  <w:style w:type="paragraph" w:customStyle="1" w:styleId="14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5">
    <w:name w:val="列出段落2"/>
    <w:basedOn w:val="1"/>
    <w:unhideWhenUsed/>
    <w:qFormat/>
    <w:uiPriority w:val="99"/>
    <w:pPr>
      <w:ind w:firstLine="420" w:firstLineChars="200"/>
    </w:pPr>
  </w:style>
  <w:style w:type="paragraph" w:customStyle="1" w:styleId="146">
    <w:name w:val="_Style 1"/>
    <w:basedOn w:val="1"/>
    <w:qFormat/>
    <w:uiPriority w:val="34"/>
    <w:pPr>
      <w:spacing w:before="100" w:beforeAutospacing="1"/>
      <w:ind w:firstLine="420" w:firstLineChars="200"/>
    </w:pPr>
    <w:rPr>
      <w:sz w:val="28"/>
      <w:szCs w:val="28"/>
    </w:rPr>
  </w:style>
  <w:style w:type="paragraph" w:customStyle="1" w:styleId="147">
    <w:name w:val="正文首行缩进 2 New"/>
    <w:basedOn w:val="15"/>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8">
    <w:name w:val="表题"/>
    <w:basedOn w:val="27"/>
    <w:qFormat/>
    <w:uiPriority w:val="34"/>
    <w:pPr>
      <w:ind w:left="0" w:firstLine="0" w:firstLineChars="0"/>
      <w:jc w:val="center"/>
    </w:pPr>
    <w:rPr>
      <w:rFonts w:ascii="Calibri" w:hAnsi="Calibri" w:eastAsia="宋体"/>
      <w:b/>
      <w:bCs/>
      <w:color w:val="000000"/>
      <w:kern w:val="0"/>
      <w:sz w:val="21"/>
      <w:szCs w:val="21"/>
    </w:rPr>
  </w:style>
  <w:style w:type="paragraph" w:customStyle="1" w:styleId="149">
    <w:name w:val="表文字"/>
    <w:basedOn w:val="1"/>
    <w:qFormat/>
    <w:uiPriority w:val="34"/>
    <w:pPr>
      <w:widowControl/>
      <w:jc w:val="center"/>
    </w:pPr>
    <w:rPr>
      <w:rFonts w:ascii="Calibri" w:hAnsi="Calibri" w:eastAsia="宋体"/>
      <w:kern w:val="0"/>
      <w:sz w:val="21"/>
      <w:szCs w:val="21"/>
    </w:rPr>
  </w:style>
  <w:style w:type="character" w:customStyle="1" w:styleId="150">
    <w:name w:val="10"/>
    <w:basedOn w:val="40"/>
    <w:qFormat/>
    <w:uiPriority w:val="0"/>
    <w:rPr>
      <w:rFonts w:hint="default" w:ascii="Calibri" w:hAnsi="Calibri" w:cs="Calibri"/>
    </w:rPr>
  </w:style>
  <w:style w:type="character" w:customStyle="1" w:styleId="151">
    <w:name w:val="15"/>
    <w:basedOn w:val="40"/>
    <w:qFormat/>
    <w:uiPriority w:val="0"/>
    <w:rPr>
      <w:rFonts w:hint="default" w:ascii="Calibri" w:hAnsi="Calibri" w:cs="Calibri"/>
    </w:rPr>
  </w:style>
  <w:style w:type="paragraph" w:customStyle="1" w:styleId="152">
    <w:name w:val="表  格"/>
    <w:basedOn w:val="1"/>
    <w:link w:val="153"/>
    <w:qFormat/>
    <w:uiPriority w:val="0"/>
    <w:pPr>
      <w:adjustRightInd w:val="0"/>
      <w:snapToGrid w:val="0"/>
      <w:jc w:val="center"/>
    </w:pPr>
    <w:rPr>
      <w:rFonts w:ascii="宋体" w:hAnsi="宋体" w:eastAsia="宋体"/>
      <w:color w:val="000000"/>
      <w:kern w:val="0"/>
    </w:rPr>
  </w:style>
  <w:style w:type="character" w:customStyle="1" w:styleId="153">
    <w:name w:val="表  格 Char"/>
    <w:link w:val="152"/>
    <w:qFormat/>
    <w:uiPriority w:val="0"/>
    <w:rPr>
      <w:rFonts w:ascii="宋体" w:hAnsi="宋体" w:eastAsia="宋体" w:cs="Times New Roman"/>
      <w:color w:val="000000"/>
      <w:kern w:val="0"/>
      <w:sz w:val="24"/>
      <w:szCs w:val="24"/>
    </w:rPr>
  </w:style>
  <w:style w:type="character" w:customStyle="1" w:styleId="154">
    <w:name w:val="标题 字符"/>
    <w:basedOn w:val="40"/>
    <w:link w:val="35"/>
    <w:qFormat/>
    <w:uiPriority w:val="0"/>
    <w:rPr>
      <w:rFonts w:eastAsia="宋体" w:asciiTheme="majorHAnsi" w:hAnsiTheme="majorHAnsi" w:cstheme="majorBidi"/>
      <w:b/>
      <w:bCs/>
      <w:sz w:val="32"/>
      <w:szCs w:val="32"/>
    </w:rPr>
  </w:style>
  <w:style w:type="paragraph" w:styleId="155">
    <w:name w:val="List Paragraph"/>
    <w:basedOn w:val="1"/>
    <w:qFormat/>
    <w:uiPriority w:val="1"/>
    <w:pPr>
      <w:ind w:firstLine="420" w:firstLineChars="200"/>
    </w:pPr>
  </w:style>
  <w:style w:type="character" w:customStyle="1" w:styleId="156">
    <w:name w:val="表格内容 Char"/>
    <w:link w:val="157"/>
    <w:qFormat/>
    <w:uiPriority w:val="0"/>
    <w:rPr>
      <w:rFonts w:ascii="宋体" w:hAnsi="宋体"/>
      <w:color w:val="000000"/>
      <w:szCs w:val="21"/>
    </w:rPr>
  </w:style>
  <w:style w:type="paragraph" w:customStyle="1" w:styleId="157">
    <w:name w:val="表格内容"/>
    <w:basedOn w:val="1"/>
    <w:link w:val="156"/>
    <w:qFormat/>
    <w:uiPriority w:val="0"/>
    <w:pPr>
      <w:spacing w:line="280" w:lineRule="exact"/>
      <w:jc w:val="center"/>
    </w:pPr>
    <w:rPr>
      <w:rFonts w:ascii="宋体" w:hAnsi="宋体" w:eastAsiaTheme="minorEastAsia" w:cstheme="minorBidi"/>
      <w:color w:val="000000"/>
      <w:sz w:val="21"/>
      <w:szCs w:val="21"/>
    </w:rPr>
  </w:style>
  <w:style w:type="character" w:customStyle="1" w:styleId="158">
    <w:name w:val="样式 正文 Char"/>
    <w:link w:val="159"/>
    <w:qFormat/>
    <w:uiPriority w:val="0"/>
    <w:rPr>
      <w:rFonts w:ascii="Times New Roman" w:hAnsi="Times New Roman" w:eastAsia="宋体" w:cs="Times New Roman"/>
      <w:sz w:val="28"/>
      <w:szCs w:val="20"/>
    </w:rPr>
  </w:style>
  <w:style w:type="paragraph" w:customStyle="1" w:styleId="159">
    <w:name w:val="样式 正文"/>
    <w:basedOn w:val="1"/>
    <w:link w:val="158"/>
    <w:qFormat/>
    <w:uiPriority w:val="0"/>
    <w:pPr>
      <w:spacing w:line="520" w:lineRule="exact"/>
      <w:ind w:firstLine="560"/>
    </w:pPr>
    <w:rPr>
      <w:rFonts w:eastAsia="宋体"/>
      <w:sz w:val="28"/>
      <w:szCs w:val="20"/>
    </w:rPr>
  </w:style>
  <w:style w:type="paragraph" w:customStyle="1" w:styleId="160">
    <w:name w:val="表图1"/>
    <w:basedOn w:val="1"/>
    <w:qFormat/>
    <w:uiPriority w:val="0"/>
    <w:pPr>
      <w:spacing w:line="360" w:lineRule="exact"/>
      <w:jc w:val="center"/>
    </w:pPr>
    <w:rPr>
      <w:sz w:val="21"/>
    </w:rPr>
  </w:style>
  <w:style w:type="paragraph" w:customStyle="1" w:styleId="161">
    <w:name w:val="Char Char1 Char Char Char Char"/>
    <w:basedOn w:val="1"/>
    <w:qFormat/>
    <w:uiPriority w:val="0"/>
    <w:rPr>
      <w:rFonts w:eastAsia="宋体"/>
      <w:sz w:val="21"/>
      <w:szCs w:val="20"/>
    </w:rPr>
  </w:style>
  <w:style w:type="paragraph" w:customStyle="1" w:styleId="162">
    <w:name w:val="Char Char1 Char Char Char Char1"/>
    <w:basedOn w:val="1"/>
    <w:qFormat/>
    <w:uiPriority w:val="0"/>
    <w:rPr>
      <w:rFonts w:eastAsia="宋体"/>
      <w:sz w:val="21"/>
      <w:szCs w:val="20"/>
    </w:rPr>
  </w:style>
  <w:style w:type="character" w:customStyle="1" w:styleId="163">
    <w:name w:val="样式8 Char"/>
    <w:basedOn w:val="40"/>
    <w:link w:val="164"/>
    <w:qFormat/>
    <w:uiPriority w:val="0"/>
    <w:rPr>
      <w:rFonts w:eastAsia="楷体_GB2312"/>
      <w:b/>
      <w:bCs/>
      <w:sz w:val="24"/>
      <w:szCs w:val="28"/>
    </w:rPr>
  </w:style>
  <w:style w:type="paragraph" w:customStyle="1" w:styleId="164">
    <w:name w:val="样式8"/>
    <w:basedOn w:val="48"/>
    <w:link w:val="163"/>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5">
    <w:name w:val="search_content1"/>
    <w:qFormat/>
    <w:uiPriority w:val="0"/>
    <w:rPr>
      <w:sz w:val="20"/>
      <w:szCs w:val="20"/>
    </w:rPr>
  </w:style>
  <w:style w:type="paragraph" w:customStyle="1" w:styleId="166">
    <w:name w:val="msolistparagraph"/>
    <w:basedOn w:val="1"/>
    <w:qFormat/>
    <w:uiPriority w:val="0"/>
    <w:pPr>
      <w:ind w:firstLine="420" w:firstLineChars="200"/>
    </w:pPr>
    <w:rPr>
      <w:rFonts w:ascii="Calibri" w:hAnsi="Calibri" w:eastAsia="宋体"/>
      <w:sz w:val="21"/>
      <w:szCs w:val="22"/>
    </w:rPr>
  </w:style>
  <w:style w:type="paragraph" w:customStyle="1" w:styleId="167">
    <w:name w:val="Char Char1 Char Char Char Char2"/>
    <w:basedOn w:val="1"/>
    <w:qFormat/>
    <w:uiPriority w:val="0"/>
    <w:rPr>
      <w:rFonts w:eastAsia="宋体"/>
      <w:sz w:val="21"/>
      <w:szCs w:val="20"/>
    </w:rPr>
  </w:style>
  <w:style w:type="character" w:customStyle="1" w:styleId="168">
    <w:name w:val="正文文本缩进 Char1"/>
    <w:link w:val="169"/>
    <w:qFormat/>
    <w:locked/>
    <w:uiPriority w:val="0"/>
    <w:rPr>
      <w:rFonts w:ascii="仿宋_GB2312" w:hAnsi="宋体" w:eastAsia="仿宋_GB2312"/>
      <w:sz w:val="24"/>
    </w:rPr>
  </w:style>
  <w:style w:type="paragraph" w:customStyle="1" w:styleId="169">
    <w:name w:val="正文文本缩进1"/>
    <w:basedOn w:val="1"/>
    <w:link w:val="168"/>
    <w:qFormat/>
    <w:uiPriority w:val="0"/>
    <w:pPr>
      <w:widowControl/>
      <w:spacing w:line="360" w:lineRule="auto"/>
      <w:ind w:firstLine="560"/>
      <w:jc w:val="left"/>
    </w:pPr>
    <w:rPr>
      <w:rFonts w:ascii="仿宋_GB2312" w:hAnsi="宋体" w:cstheme="minorBidi"/>
      <w:szCs w:val="22"/>
    </w:rPr>
  </w:style>
  <w:style w:type="character" w:customStyle="1" w:styleId="170">
    <w:name w:val="表格文字 Char Char"/>
    <w:qFormat/>
    <w:locked/>
    <w:uiPriority w:val="0"/>
    <w:rPr>
      <w:rFonts w:ascii="仿宋_GB2312" w:hAnsi="Arial Black" w:eastAsia="仿宋_GB2312"/>
      <w:kern w:val="44"/>
      <w:sz w:val="24"/>
    </w:rPr>
  </w:style>
  <w:style w:type="paragraph" w:customStyle="1" w:styleId="171">
    <w:name w:val="表中"/>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2">
    <w:name w:val="font01"/>
    <w:basedOn w:val="40"/>
    <w:qFormat/>
    <w:uiPriority w:val="0"/>
    <w:rPr>
      <w:rFonts w:hint="eastAsia" w:ascii="宋体" w:hAnsi="宋体" w:eastAsia="宋体"/>
      <w:color w:val="000000"/>
      <w:sz w:val="24"/>
      <w:szCs w:val="24"/>
      <w:u w:val="none"/>
    </w:rPr>
  </w:style>
  <w:style w:type="character" w:styleId="173">
    <w:name w:val="Placeholder Text"/>
    <w:basedOn w:val="40"/>
    <w:semiHidden/>
    <w:qFormat/>
    <w:uiPriority w:val="99"/>
    <w:rPr>
      <w:color w:val="808080"/>
    </w:rPr>
  </w:style>
  <w:style w:type="character" w:customStyle="1" w:styleId="174">
    <w:name w:val="正文文本 Char1"/>
    <w:basedOn w:val="40"/>
    <w:semiHidden/>
    <w:qFormat/>
    <w:uiPriority w:val="99"/>
    <w:rPr>
      <w:rFonts w:ascii="Times New Roman" w:hAnsi="Times New Roman" w:eastAsia="仿宋_GB2312" w:cs="Times New Roman"/>
      <w:kern w:val="2"/>
      <w:sz w:val="24"/>
      <w:szCs w:val="24"/>
    </w:rPr>
  </w:style>
  <w:style w:type="character" w:customStyle="1" w:styleId="175">
    <w:name w:val="正文文本首行缩进 字符"/>
    <w:basedOn w:val="56"/>
    <w:link w:val="37"/>
    <w:semiHidden/>
    <w:qFormat/>
    <w:locked/>
    <w:uiPriority w:val="0"/>
    <w:rPr>
      <w:rFonts w:ascii="Times New Roman" w:hAnsi="Times New Roman" w:eastAsia="仿宋_GB2312" w:cs="Times New Roman"/>
      <w:sz w:val="24"/>
      <w:szCs w:val="24"/>
    </w:rPr>
  </w:style>
  <w:style w:type="character" w:customStyle="1" w:styleId="176">
    <w:name w:val="批注文字 Char1"/>
    <w:basedOn w:val="40"/>
    <w:semiHidden/>
    <w:qFormat/>
    <w:uiPriority w:val="99"/>
    <w:rPr>
      <w:rFonts w:ascii="Times New Roman" w:hAnsi="Times New Roman" w:eastAsia="仿宋_GB2312" w:cs="Times New Roman"/>
      <w:kern w:val="2"/>
      <w:sz w:val="24"/>
      <w:szCs w:val="24"/>
    </w:rPr>
  </w:style>
  <w:style w:type="character" w:customStyle="1" w:styleId="177">
    <w:name w:val="普通(网站) Char2"/>
    <w:basedOn w:val="40"/>
    <w:semiHidden/>
    <w:qFormat/>
    <w:locked/>
    <w:uiPriority w:val="99"/>
    <w:rPr>
      <w:rFonts w:ascii="Calibri" w:hAnsi="Calibri" w:eastAsia="仿宋_GB2312" w:cs="Times New Roman"/>
      <w:kern w:val="2"/>
      <w:sz w:val="18"/>
      <w:szCs w:val="18"/>
    </w:rPr>
  </w:style>
  <w:style w:type="character" w:customStyle="1" w:styleId="178">
    <w:name w:val="文档结构图 Char1"/>
    <w:basedOn w:val="40"/>
    <w:semiHidden/>
    <w:qFormat/>
    <w:uiPriority w:val="0"/>
    <w:rPr>
      <w:rFonts w:ascii="宋体" w:hAnsi="Times New Roman" w:eastAsia="宋体" w:cs="Times New Roman"/>
      <w:kern w:val="2"/>
      <w:sz w:val="18"/>
      <w:szCs w:val="18"/>
    </w:rPr>
  </w:style>
  <w:style w:type="character" w:customStyle="1" w:styleId="179">
    <w:name w:val="纯文本 Char1"/>
    <w:basedOn w:val="40"/>
    <w:semiHidden/>
    <w:qFormat/>
    <w:uiPriority w:val="0"/>
    <w:rPr>
      <w:rFonts w:ascii="宋体" w:hAnsi="Courier New" w:eastAsia="宋体" w:cs="Courier New"/>
      <w:kern w:val="2"/>
      <w:sz w:val="21"/>
      <w:szCs w:val="21"/>
    </w:rPr>
  </w:style>
  <w:style w:type="character" w:customStyle="1" w:styleId="180">
    <w:name w:val="表格 Char"/>
    <w:link w:val="181"/>
    <w:qFormat/>
    <w:locked/>
    <w:uiPriority w:val="0"/>
    <w:rPr>
      <w:rFonts w:ascii="宋体" w:hAnsi="宋体" w:eastAsia="宋体" w:cs="Times New Roman"/>
      <w:sz w:val="21"/>
    </w:rPr>
  </w:style>
  <w:style w:type="paragraph" w:customStyle="1" w:styleId="181">
    <w:name w:val="表格"/>
    <w:basedOn w:val="1"/>
    <w:link w:val="180"/>
    <w:qFormat/>
    <w:uiPriority w:val="0"/>
    <w:pPr>
      <w:widowControl/>
      <w:snapToGrid w:val="0"/>
      <w:spacing w:line="280" w:lineRule="atLeast"/>
      <w:jc w:val="center"/>
    </w:pPr>
    <w:rPr>
      <w:rFonts w:ascii="宋体" w:hAnsi="宋体" w:eastAsia="宋体"/>
      <w:kern w:val="0"/>
      <w:sz w:val="21"/>
      <w:szCs w:val="20"/>
    </w:rPr>
  </w:style>
  <w:style w:type="paragraph" w:customStyle="1" w:styleId="182">
    <w:name w:val="标题 5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3">
    <w:name w:val="xl24"/>
    <w:basedOn w:val="1"/>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4">
    <w:name w:val="样式 标题 3标题 3 Char标题 3 Char Char Char Char Char Char Char Char C...4"/>
    <w:basedOn w:val="2"/>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5">
    <w:name w:val="小四表文左齐"/>
    <w:basedOn w:val="1"/>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6">
    <w:name w:val="TOC 标题1"/>
    <w:basedOn w:val="3"/>
    <w:next w:val="1"/>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7">
    <w:name w:val="样式6"/>
    <w:basedOn w:val="2"/>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8">
    <w:name w:val="样式7"/>
    <w:basedOn w:val="2"/>
    <w:qFormat/>
    <w:uiPriority w:val="34"/>
    <w:pPr>
      <w:adjustRightInd w:val="0"/>
      <w:snapToGrid w:val="0"/>
      <w:spacing w:line="240" w:lineRule="auto"/>
      <w:ind w:firstLine="200" w:firstLineChars="200"/>
      <w:jc w:val="left"/>
    </w:pPr>
    <w:rPr>
      <w:rFonts w:eastAsiaTheme="minorEastAsia"/>
      <w:sz w:val="28"/>
    </w:rPr>
  </w:style>
  <w:style w:type="paragraph" w:customStyle="1" w:styleId="189">
    <w:name w:val="图框"/>
    <w:basedOn w:val="1"/>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90">
    <w:name w:val="正  文 Char"/>
    <w:link w:val="191"/>
    <w:qFormat/>
    <w:locked/>
    <w:uiPriority w:val="0"/>
    <w:rPr>
      <w:rFonts w:ascii="Times New Roman" w:hAnsi="Times New Roman" w:cs="Times New Roman"/>
      <w:b/>
      <w:color w:val="000000"/>
      <w:sz w:val="32"/>
      <w:szCs w:val="32"/>
    </w:rPr>
  </w:style>
  <w:style w:type="paragraph" w:customStyle="1" w:styleId="191">
    <w:name w:val="正  文"/>
    <w:basedOn w:val="1"/>
    <w:link w:val="190"/>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2">
    <w:name w:val="标题1，"/>
    <w:basedOn w:val="2"/>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3">
    <w:name w:val="标题 2，"/>
    <w:basedOn w:val="4"/>
    <w:qFormat/>
    <w:uiPriority w:val="34"/>
    <w:pPr>
      <w:adjustRightInd w:val="0"/>
      <w:snapToGrid w:val="0"/>
      <w:spacing w:beforeLines="50" w:line="240" w:lineRule="auto"/>
      <w:jc w:val="left"/>
    </w:pPr>
    <w:rPr>
      <w:rFonts w:eastAsiaTheme="minorEastAsia"/>
    </w:rPr>
  </w:style>
  <w:style w:type="paragraph" w:customStyle="1" w:styleId="194">
    <w:name w:val="标题 3，"/>
    <w:basedOn w:val="2"/>
    <w:qFormat/>
    <w:uiPriority w:val="34"/>
    <w:pPr>
      <w:adjustRightInd w:val="0"/>
      <w:snapToGrid w:val="0"/>
      <w:spacing w:line="240" w:lineRule="auto"/>
      <w:ind w:firstLine="200" w:firstLineChars="200"/>
      <w:jc w:val="left"/>
    </w:pPr>
    <w:rPr>
      <w:rFonts w:eastAsiaTheme="minorEastAsia"/>
      <w:sz w:val="28"/>
    </w:rPr>
  </w:style>
  <w:style w:type="character" w:customStyle="1" w:styleId="195">
    <w:name w:val="表格内文字 Char"/>
    <w:basedOn w:val="40"/>
    <w:link w:val="196"/>
    <w:qFormat/>
    <w:locked/>
    <w:uiPriority w:val="0"/>
    <w:rPr>
      <w:rFonts w:ascii="Times New Roman" w:hAnsi="Times New Roman" w:cs="Times New Roman"/>
      <w:kern w:val="2"/>
      <w:sz w:val="24"/>
      <w:szCs w:val="24"/>
    </w:rPr>
  </w:style>
  <w:style w:type="paragraph" w:customStyle="1" w:styleId="196">
    <w:name w:val="表格内文字"/>
    <w:basedOn w:val="1"/>
    <w:next w:val="1"/>
    <w:link w:val="195"/>
    <w:qFormat/>
    <w:uiPriority w:val="0"/>
    <w:pPr>
      <w:tabs>
        <w:tab w:val="left" w:pos="0"/>
      </w:tabs>
      <w:adjustRightInd w:val="0"/>
      <w:snapToGrid w:val="0"/>
      <w:jc w:val="center"/>
    </w:pPr>
    <w:rPr>
      <w:rFonts w:eastAsiaTheme="minorEastAsia"/>
    </w:rPr>
  </w:style>
  <w:style w:type="paragraph" w:customStyle="1" w:styleId="197">
    <w:name w:val="样式 正文 首行缩进:  2 字符 + 首行缩进:  2 字符"/>
    <w:basedOn w:val="1"/>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8">
    <w:name w:val="表  头 Char"/>
    <w:basedOn w:val="40"/>
    <w:link w:val="199"/>
    <w:qFormat/>
    <w:locked/>
    <w:uiPriority w:val="0"/>
    <w:rPr>
      <w:rFonts w:ascii="黑体" w:hAnsi="宋体" w:eastAsia="黑体" w:cs="宋体"/>
      <w:b/>
      <w:color w:val="000000"/>
      <w:sz w:val="24"/>
    </w:rPr>
  </w:style>
  <w:style w:type="paragraph" w:customStyle="1" w:styleId="199">
    <w:name w:val="表  头"/>
    <w:basedOn w:val="1"/>
    <w:link w:val="198"/>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200">
    <w:name w:val="1正文 Char"/>
    <w:link w:val="201"/>
    <w:qFormat/>
    <w:locked/>
    <w:uiPriority w:val="0"/>
    <w:rPr>
      <w:rFonts w:ascii="Times New Roman" w:hAnsi="Times New Roman" w:eastAsia="宋体" w:cs="Times New Roman"/>
      <w:kern w:val="2"/>
      <w:sz w:val="24"/>
    </w:rPr>
  </w:style>
  <w:style w:type="paragraph" w:customStyle="1" w:styleId="201">
    <w:name w:val="1正文"/>
    <w:basedOn w:val="18"/>
    <w:link w:val="200"/>
    <w:qFormat/>
    <w:uiPriority w:val="0"/>
    <w:pPr>
      <w:spacing w:line="560" w:lineRule="exact"/>
      <w:ind w:firstLine="480" w:firstLineChars="200"/>
    </w:pPr>
    <w:rPr>
      <w:rFonts w:ascii="Times New Roman" w:hAnsi="Times New Roman" w:eastAsia="宋体" w:cs="Times New Roman"/>
      <w:szCs w:val="20"/>
    </w:rPr>
  </w:style>
  <w:style w:type="paragraph" w:customStyle="1" w:styleId="202">
    <w:name w:val="标题 31"/>
    <w:basedOn w:val="1"/>
    <w:next w:val="1"/>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3">
    <w:name w:val="xl67"/>
    <w:basedOn w:val="1"/>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4">
    <w:name w:val="文本框"/>
    <w:basedOn w:val="1"/>
    <w:qFormat/>
    <w:uiPriority w:val="34"/>
    <w:pPr>
      <w:adjustRightInd w:val="0"/>
      <w:snapToGrid w:val="0"/>
      <w:spacing w:line="300" w:lineRule="exact"/>
      <w:jc w:val="center"/>
    </w:pPr>
    <w:rPr>
      <w:rFonts w:eastAsia="宋体"/>
    </w:rPr>
  </w:style>
  <w:style w:type="paragraph" w:customStyle="1" w:styleId="205">
    <w:name w:val="标题 51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6">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207">
    <w:name w:val="Char9"/>
    <w:basedOn w:val="1"/>
    <w:qFormat/>
    <w:uiPriority w:val="34"/>
    <w:pPr>
      <w:adjustRightInd w:val="0"/>
      <w:snapToGrid w:val="0"/>
      <w:spacing w:line="360" w:lineRule="auto"/>
      <w:ind w:firstLine="200" w:firstLineChars="200"/>
    </w:pPr>
    <w:rPr>
      <w:rFonts w:ascii="宋体" w:hAnsi="宋体" w:eastAsia="宋体" w:cs="宋体"/>
    </w:rPr>
  </w:style>
  <w:style w:type="character" w:customStyle="1" w:styleId="208">
    <w:name w:val="1表格 Char"/>
    <w:link w:val="209"/>
    <w:qFormat/>
    <w:locked/>
    <w:uiPriority w:val="0"/>
    <w:rPr>
      <w:rFonts w:ascii="Times New Roman" w:hAnsi="Times New Roman" w:eastAsia="宋体" w:cs="宋体"/>
      <w:spacing w:val="4"/>
      <w:szCs w:val="24"/>
    </w:rPr>
  </w:style>
  <w:style w:type="paragraph" w:customStyle="1" w:styleId="209">
    <w:name w:val="1表格"/>
    <w:basedOn w:val="1"/>
    <w:link w:val="208"/>
    <w:qFormat/>
    <w:uiPriority w:val="0"/>
    <w:pPr>
      <w:adjustRightInd w:val="0"/>
      <w:snapToGrid w:val="0"/>
      <w:jc w:val="center"/>
    </w:pPr>
    <w:rPr>
      <w:rFonts w:eastAsia="宋体" w:cs="宋体"/>
      <w:spacing w:val="4"/>
      <w:kern w:val="0"/>
      <w:sz w:val="20"/>
    </w:rPr>
  </w:style>
  <w:style w:type="character" w:customStyle="1" w:styleId="210">
    <w:name w:val="批注主题 Char1"/>
    <w:basedOn w:val="176"/>
    <w:semiHidden/>
    <w:qFormat/>
    <w:uiPriority w:val="0"/>
    <w:rPr>
      <w:rFonts w:ascii="Times New Roman" w:hAnsi="Times New Roman" w:eastAsia="仿宋_GB2312" w:cs="Times New Roman"/>
      <w:b/>
      <w:bCs/>
      <w:kern w:val="2"/>
      <w:sz w:val="24"/>
      <w:szCs w:val="24"/>
    </w:rPr>
  </w:style>
  <w:style w:type="character" w:customStyle="1" w:styleId="211">
    <w:name w:val="正文首行缩进 Char1"/>
    <w:basedOn w:val="56"/>
    <w:semiHidden/>
    <w:qFormat/>
    <w:uiPriority w:val="0"/>
    <w:rPr>
      <w:rFonts w:ascii="Times New Roman" w:hAnsi="Times New Roman" w:eastAsia="仿宋_GB2312" w:cs="Times New Roman"/>
      <w:kern w:val="2"/>
      <w:sz w:val="24"/>
      <w:szCs w:val="24"/>
    </w:rPr>
  </w:style>
  <w:style w:type="character" w:customStyle="1" w:styleId="212">
    <w:name w:val="日期 Char1"/>
    <w:basedOn w:val="40"/>
    <w:semiHidden/>
    <w:qFormat/>
    <w:uiPriority w:val="0"/>
    <w:rPr>
      <w:rFonts w:ascii="Times New Roman" w:hAnsi="Times New Roman" w:eastAsia="仿宋_GB2312" w:cs="Times New Roman"/>
      <w:kern w:val="2"/>
      <w:sz w:val="24"/>
      <w:szCs w:val="24"/>
    </w:rPr>
  </w:style>
  <w:style w:type="character" w:customStyle="1" w:styleId="213">
    <w:name w:val="正文文本缩进 2 Char1"/>
    <w:basedOn w:val="40"/>
    <w:semiHidden/>
    <w:qFormat/>
    <w:uiPriority w:val="0"/>
    <w:rPr>
      <w:rFonts w:ascii="Times New Roman" w:hAnsi="Times New Roman" w:eastAsia="仿宋_GB2312" w:cs="Times New Roman"/>
      <w:kern w:val="2"/>
      <w:sz w:val="24"/>
      <w:szCs w:val="24"/>
    </w:rPr>
  </w:style>
  <w:style w:type="character" w:customStyle="1" w:styleId="214">
    <w:name w:val="批注框文本 Char1"/>
    <w:basedOn w:val="40"/>
    <w:semiHidden/>
    <w:qFormat/>
    <w:uiPriority w:val="99"/>
    <w:rPr>
      <w:rFonts w:hint="eastAsia" w:ascii="仿宋_GB2312" w:hAnsi="仿宋_GB2312" w:eastAsia="仿宋_GB2312" w:cs="Times New Roman"/>
      <w:kern w:val="2"/>
      <w:sz w:val="18"/>
      <w:szCs w:val="18"/>
    </w:rPr>
  </w:style>
  <w:style w:type="character" w:customStyle="1" w:styleId="215">
    <w:name w:val="页脚 Char1"/>
    <w:basedOn w:val="40"/>
    <w:semiHidden/>
    <w:qFormat/>
    <w:uiPriority w:val="99"/>
    <w:rPr>
      <w:rFonts w:ascii="Times New Roman" w:hAnsi="Times New Roman" w:eastAsia="仿宋_GB2312" w:cs="Times New Roman"/>
      <w:kern w:val="2"/>
      <w:sz w:val="18"/>
      <w:szCs w:val="18"/>
    </w:rPr>
  </w:style>
  <w:style w:type="character" w:customStyle="1" w:styleId="216">
    <w:name w:val="页眉 Char1"/>
    <w:basedOn w:val="40"/>
    <w:semiHidden/>
    <w:qFormat/>
    <w:uiPriority w:val="99"/>
    <w:rPr>
      <w:rFonts w:ascii="Times New Roman" w:hAnsi="Times New Roman" w:eastAsia="仿宋_GB2312" w:cs="Times New Roman"/>
      <w:kern w:val="2"/>
      <w:sz w:val="18"/>
      <w:szCs w:val="18"/>
    </w:rPr>
  </w:style>
  <w:style w:type="character" w:customStyle="1" w:styleId="217">
    <w:name w:val="脚注文本 Char1"/>
    <w:basedOn w:val="40"/>
    <w:semiHidden/>
    <w:qFormat/>
    <w:uiPriority w:val="0"/>
    <w:rPr>
      <w:rFonts w:ascii="Times New Roman" w:hAnsi="Times New Roman" w:eastAsia="仿宋_GB2312" w:cs="Times New Roman"/>
      <w:kern w:val="2"/>
      <w:sz w:val="18"/>
      <w:szCs w:val="18"/>
    </w:rPr>
  </w:style>
  <w:style w:type="character" w:customStyle="1" w:styleId="218">
    <w:name w:val="正文文本缩进 3 Char1"/>
    <w:basedOn w:val="40"/>
    <w:semiHidden/>
    <w:qFormat/>
    <w:uiPriority w:val="0"/>
    <w:rPr>
      <w:rFonts w:ascii="Times New Roman" w:hAnsi="Times New Roman" w:eastAsia="仿宋_GB2312" w:cs="Times New Roman"/>
      <w:kern w:val="2"/>
      <w:sz w:val="16"/>
      <w:szCs w:val="16"/>
    </w:rPr>
  </w:style>
  <w:style w:type="character" w:customStyle="1" w:styleId="219">
    <w:name w:val="标题 Char1"/>
    <w:basedOn w:val="40"/>
    <w:qFormat/>
    <w:uiPriority w:val="0"/>
    <w:rPr>
      <w:rFonts w:eastAsia="宋体" w:asciiTheme="majorHAnsi" w:hAnsiTheme="majorHAnsi" w:cstheme="majorBidi"/>
      <w:b/>
      <w:bCs/>
      <w:kern w:val="2"/>
      <w:sz w:val="32"/>
      <w:szCs w:val="32"/>
    </w:rPr>
  </w:style>
  <w:style w:type="character" w:customStyle="1" w:styleId="220">
    <w:name w:val="正文缩进 Char1"/>
    <w:basedOn w:val="40"/>
    <w:qFormat/>
    <w:uiPriority w:val="0"/>
    <w:rPr>
      <w:rFonts w:hint="eastAsia" w:ascii="楷体" w:hAnsi="Times New Roman" w:eastAsia="楷体" w:cs="Times New Roman"/>
      <w:sz w:val="28"/>
      <w:szCs w:val="24"/>
    </w:rPr>
  </w:style>
  <w:style w:type="character" w:customStyle="1" w:styleId="221">
    <w:name w:val="Char Char"/>
    <w:qFormat/>
    <w:uiPriority w:val="0"/>
    <w:rPr>
      <w:rFonts w:hint="eastAsia" w:ascii="仿宋_GB2312" w:hAnsi="仿宋_GB2312" w:eastAsia="仿宋_GB2312"/>
      <w:kern w:val="2"/>
      <w:sz w:val="18"/>
      <w:szCs w:val="18"/>
    </w:rPr>
  </w:style>
  <w:style w:type="character" w:customStyle="1" w:styleId="222">
    <w:name w:val="infodetail1"/>
    <w:basedOn w:val="40"/>
    <w:qFormat/>
    <w:uiPriority w:val="0"/>
    <w:rPr>
      <w:rFonts w:hint="default" w:ascii="ˎ̥" w:hAnsi="ˎ̥"/>
      <w:color w:val="000000"/>
      <w:sz w:val="24"/>
      <w:szCs w:val="24"/>
      <w:u w:val="none"/>
    </w:rPr>
  </w:style>
  <w:style w:type="character" w:customStyle="1" w:styleId="223">
    <w:name w:val="c-gap-right2"/>
    <w:basedOn w:val="40"/>
    <w:qFormat/>
    <w:uiPriority w:val="0"/>
  </w:style>
  <w:style w:type="character" w:customStyle="1" w:styleId="224">
    <w:name w:val="m_21"/>
    <w:basedOn w:val="40"/>
    <w:qFormat/>
    <w:uiPriority w:val="0"/>
  </w:style>
  <w:style w:type="character" w:customStyle="1" w:styleId="225">
    <w:name w:val="m_25"/>
    <w:basedOn w:val="40"/>
    <w:qFormat/>
    <w:uiPriority w:val="0"/>
  </w:style>
  <w:style w:type="character" w:customStyle="1" w:styleId="226">
    <w:name w:val="m_18"/>
    <w:basedOn w:val="40"/>
    <w:qFormat/>
    <w:uiPriority w:val="0"/>
  </w:style>
  <w:style w:type="character" w:customStyle="1" w:styleId="227">
    <w:name w:val="m_20"/>
    <w:basedOn w:val="40"/>
    <w:qFormat/>
    <w:uiPriority w:val="0"/>
  </w:style>
  <w:style w:type="character" w:customStyle="1" w:styleId="228">
    <w:name w:val="m_17"/>
    <w:basedOn w:val="40"/>
    <w:qFormat/>
    <w:uiPriority w:val="0"/>
  </w:style>
  <w:style w:type="character" w:customStyle="1" w:styleId="229">
    <w:name w:val="m_27"/>
    <w:basedOn w:val="40"/>
    <w:qFormat/>
    <w:uiPriority w:val="0"/>
  </w:style>
  <w:style w:type="character" w:customStyle="1" w:styleId="230">
    <w:name w:val="m_4"/>
    <w:basedOn w:val="40"/>
    <w:qFormat/>
    <w:uiPriority w:val="0"/>
  </w:style>
  <w:style w:type="character" w:customStyle="1" w:styleId="231">
    <w:name w:val="m_47"/>
    <w:basedOn w:val="40"/>
    <w:qFormat/>
    <w:uiPriority w:val="0"/>
  </w:style>
  <w:style w:type="character" w:customStyle="1" w:styleId="232">
    <w:name w:val="m_12"/>
    <w:basedOn w:val="40"/>
    <w:qFormat/>
    <w:uiPriority w:val="0"/>
  </w:style>
  <w:style w:type="character" w:customStyle="1" w:styleId="233">
    <w:name w:val="m_43"/>
    <w:basedOn w:val="40"/>
    <w:qFormat/>
    <w:uiPriority w:val="0"/>
  </w:style>
  <w:style w:type="character" w:customStyle="1" w:styleId="234">
    <w:name w:val="m_15"/>
    <w:basedOn w:val="40"/>
    <w:qFormat/>
    <w:uiPriority w:val="0"/>
  </w:style>
  <w:style w:type="character" w:customStyle="1" w:styleId="235">
    <w:name w:val="m_40"/>
    <w:basedOn w:val="40"/>
    <w:qFormat/>
    <w:uiPriority w:val="0"/>
  </w:style>
  <w:style w:type="character" w:customStyle="1" w:styleId="236">
    <w:name w:val="m_37"/>
    <w:basedOn w:val="40"/>
    <w:qFormat/>
    <w:uiPriority w:val="0"/>
  </w:style>
  <w:style w:type="character" w:customStyle="1" w:styleId="237">
    <w:name w:val="标题 2 Char8"/>
    <w:qFormat/>
    <w:uiPriority w:val="0"/>
    <w:rPr>
      <w:rFonts w:hint="default" w:ascii="Arial" w:hAnsi="Arial" w:eastAsia="黑体" w:cs="Arial"/>
      <w:b/>
      <w:bCs/>
      <w:kern w:val="2"/>
      <w:sz w:val="32"/>
      <w:szCs w:val="32"/>
      <w:lang w:val="en-US" w:eastAsia="zh-CN" w:bidi="ar-SA"/>
    </w:rPr>
  </w:style>
  <w:style w:type="character" w:customStyle="1" w:styleId="238">
    <w:name w:val="f241"/>
    <w:basedOn w:val="40"/>
    <w:qFormat/>
    <w:uiPriority w:val="0"/>
    <w:rPr>
      <w:spacing w:val="288"/>
      <w:sz w:val="29"/>
      <w:szCs w:val="29"/>
    </w:rPr>
  </w:style>
  <w:style w:type="character" w:customStyle="1" w:styleId="239">
    <w:name w:val="占位符文本1"/>
    <w:basedOn w:val="40"/>
    <w:qFormat/>
    <w:uiPriority w:val="99"/>
    <w:rPr>
      <w:color w:val="808080"/>
    </w:rPr>
  </w:style>
  <w:style w:type="character" w:customStyle="1" w:styleId="240">
    <w:name w:val="font21"/>
    <w:basedOn w:val="40"/>
    <w:qFormat/>
    <w:uiPriority w:val="0"/>
    <w:rPr>
      <w:rFonts w:hint="eastAsia" w:ascii="仿宋" w:hAnsi="仿宋" w:eastAsia="仿宋"/>
      <w:color w:val="000000"/>
      <w:sz w:val="24"/>
      <w:szCs w:val="24"/>
      <w:u w:val="none"/>
    </w:rPr>
  </w:style>
  <w:style w:type="character" w:customStyle="1" w:styleId="241">
    <w:name w:val="font11"/>
    <w:basedOn w:val="40"/>
    <w:qFormat/>
    <w:uiPriority w:val="0"/>
    <w:rPr>
      <w:rFonts w:hint="default" w:ascii="Times New Roman" w:hAnsi="Times New Roman" w:cs="Times New Roman"/>
      <w:color w:val="000000"/>
      <w:sz w:val="24"/>
      <w:szCs w:val="24"/>
      <w:u w:val="none"/>
    </w:rPr>
  </w:style>
  <w:style w:type="character" w:customStyle="1" w:styleId="242">
    <w:name w:val="font31"/>
    <w:basedOn w:val="40"/>
    <w:qFormat/>
    <w:uiPriority w:val="0"/>
    <w:rPr>
      <w:rFonts w:hint="default" w:ascii="Arial" w:hAnsi="Arial" w:cs="Arial"/>
      <w:color w:val="000000"/>
      <w:sz w:val="24"/>
      <w:szCs w:val="24"/>
      <w:u w:val="none"/>
    </w:rPr>
  </w:style>
  <w:style w:type="character" w:customStyle="1" w:styleId="243">
    <w:name w:val="font41"/>
    <w:basedOn w:val="40"/>
    <w:qFormat/>
    <w:uiPriority w:val="0"/>
    <w:rPr>
      <w:rFonts w:hint="eastAsia" w:ascii="宋体" w:hAnsi="宋体" w:eastAsia="宋体"/>
      <w:color w:val="000000"/>
      <w:sz w:val="24"/>
      <w:szCs w:val="24"/>
      <w:u w:val="none"/>
    </w:rPr>
  </w:style>
  <w:style w:type="character" w:customStyle="1" w:styleId="244">
    <w:name w:val="普通(网站) Char1"/>
    <w:basedOn w:val="40"/>
    <w:semiHidden/>
    <w:qFormat/>
    <w:locked/>
    <w:uiPriority w:val="99"/>
    <w:rPr>
      <w:rFonts w:hint="default" w:ascii="Calibri" w:hAnsi="Calibri" w:eastAsia="仿宋_GB2312" w:cs="Times New Roman"/>
      <w:kern w:val="2"/>
      <w:sz w:val="18"/>
      <w:szCs w:val="18"/>
    </w:rPr>
  </w:style>
  <w:style w:type="table" w:customStyle="1" w:styleId="245">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6">
    <w:name w:val="Char Char Char1 Char Char Char Char Char Char Char Char Char Char Char Char Char Char Char Char Char Char Char"/>
    <w:basedOn w:val="1"/>
    <w:qFormat/>
    <w:uiPriority w:val="0"/>
    <w:rPr>
      <w:rFonts w:eastAsia="宋体"/>
      <w:sz w:val="21"/>
      <w:szCs w:val="21"/>
    </w:rPr>
  </w:style>
  <w:style w:type="paragraph" w:customStyle="1" w:styleId="247">
    <w:name w:val="Char3"/>
    <w:basedOn w:val="1"/>
    <w:qFormat/>
    <w:uiPriority w:val="0"/>
    <w:pPr>
      <w:spacing w:line="240" w:lineRule="exact"/>
      <w:ind w:firstLine="200" w:firstLineChars="200"/>
    </w:pPr>
    <w:rPr>
      <w:rFonts w:eastAsia="宋体"/>
      <w:sz w:val="28"/>
      <w:szCs w:val="28"/>
    </w:rPr>
  </w:style>
  <w:style w:type="paragraph" w:customStyle="1" w:styleId="248">
    <w:name w:val="正文2"/>
    <w:qFormat/>
    <w:uiPriority w:val="0"/>
    <w:pPr>
      <w:jc w:val="both"/>
    </w:pPr>
    <w:rPr>
      <w:rFonts w:ascii="Calibri" w:hAnsi="Calibri" w:eastAsia="宋体" w:cs="宋体"/>
      <w:kern w:val="2"/>
      <w:sz w:val="21"/>
      <w:szCs w:val="21"/>
      <w:lang w:val="en-US" w:eastAsia="zh-CN" w:bidi="ar-SA"/>
    </w:rPr>
  </w:style>
  <w:style w:type="paragraph" w:customStyle="1" w:styleId="249">
    <w:name w:val="报告表格"/>
    <w:basedOn w:val="1"/>
    <w:qFormat/>
    <w:uiPriority w:val="0"/>
    <w:pPr>
      <w:autoSpaceDE w:val="0"/>
      <w:autoSpaceDN w:val="0"/>
      <w:adjustRightInd w:val="0"/>
      <w:spacing w:before="40" w:after="40"/>
      <w:jc w:val="center"/>
    </w:pPr>
    <w:rPr>
      <w:rFonts w:eastAsia="宋体"/>
      <w:kern w:val="0"/>
      <w:sz w:val="21"/>
      <w:szCs w:val="20"/>
    </w:rPr>
  </w:style>
  <w:style w:type="paragraph" w:customStyle="1" w:styleId="250">
    <w:name w:val="正文 段落3级"/>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51">
    <w:name w:val="正文 段落4级"/>
    <w:basedOn w:val="1"/>
    <w:qFormat/>
    <w:uiPriority w:val="0"/>
    <w:pPr>
      <w:widowControl/>
      <w:spacing w:line="500" w:lineRule="exact"/>
      <w:jc w:val="left"/>
      <w:outlineLvl w:val="3"/>
    </w:pPr>
    <w:rPr>
      <w:b/>
      <w:bCs/>
      <w:szCs w:val="28"/>
    </w:rPr>
  </w:style>
  <w:style w:type="paragraph" w:customStyle="1" w:styleId="252">
    <w:name w:val="表蕊居中"/>
    <w:basedOn w:val="1"/>
    <w:qFormat/>
    <w:uiPriority w:val="0"/>
    <w:pPr>
      <w:spacing w:line="300" w:lineRule="exact"/>
      <w:jc w:val="center"/>
    </w:pPr>
    <w:rPr>
      <w:bCs/>
      <w:color w:val="000000"/>
      <w:szCs w:val="21"/>
    </w:rPr>
  </w:style>
  <w:style w:type="paragraph" w:customStyle="1" w:styleId="253">
    <w:name w:val="小四表格"/>
    <w:basedOn w:val="1"/>
    <w:qFormat/>
    <w:uiPriority w:val="0"/>
    <w:pPr>
      <w:keepNext/>
      <w:autoSpaceDE w:val="0"/>
      <w:autoSpaceDN w:val="0"/>
      <w:adjustRightInd w:val="0"/>
      <w:spacing w:line="480" w:lineRule="atLeast"/>
      <w:jc w:val="center"/>
    </w:pPr>
    <w:rPr>
      <w:rFonts w:eastAsia="宋体"/>
      <w:color w:val="000000"/>
      <w:szCs w:val="20"/>
    </w:rPr>
  </w:style>
  <w:style w:type="paragraph" w:customStyle="1" w:styleId="254">
    <w:name w:val="正文 文本"/>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5">
    <w:name w:val="正文lcc"/>
    <w:basedOn w:val="1"/>
    <w:qFormat/>
    <w:uiPriority w:val="0"/>
    <w:pPr>
      <w:spacing w:line="360" w:lineRule="auto"/>
      <w:ind w:firstLine="560" w:firstLineChars="200"/>
    </w:pPr>
    <w:rPr>
      <w:rFonts w:ascii="仿宋" w:hAnsi="仿宋" w:eastAsia="仿宋" w:cs="宋体"/>
      <w:kern w:val="0"/>
    </w:rPr>
  </w:style>
  <w:style w:type="paragraph" w:customStyle="1" w:styleId="256">
    <w:name w:val="Other|1"/>
    <w:basedOn w:val="1"/>
    <w:qFormat/>
    <w:uiPriority w:val="0"/>
    <w:pPr>
      <w:spacing w:after="140" w:line="382" w:lineRule="auto"/>
      <w:ind w:firstLine="400"/>
    </w:pPr>
    <w:rPr>
      <w:rFonts w:ascii="宋体" w:hAnsi="宋体" w:eastAsia="宋体" w:cs="宋体"/>
      <w:sz w:val="26"/>
      <w:szCs w:val="26"/>
      <w:lang w:val="zh-TW" w:eastAsia="zh-TW" w:bidi="zh-TW"/>
    </w:rPr>
  </w:style>
  <w:style w:type="paragraph" w:customStyle="1" w:styleId="257">
    <w:name w:val="Revision"/>
    <w:hidden/>
    <w:semiHidden/>
    <w:qFormat/>
    <w:uiPriority w:val="99"/>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bin"/><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40785</Words>
  <Characters>48229</Characters>
  <Lines>436</Lines>
  <Paragraphs>122</Paragraphs>
  <TotalTime>0</TotalTime>
  <ScaleCrop>false</ScaleCrop>
  <LinksUpToDate>false</LinksUpToDate>
  <CharactersWithSpaces>48578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A 信创环保（环评、验收、许可证）</cp:lastModifiedBy>
  <cp:lastPrinted>2021-01-08T10:46:00Z</cp:lastPrinted>
  <dcterms:modified xsi:type="dcterms:W3CDTF">2022-10-19T03:31:32Z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862A5C7819714E9D881F45EF53CDDAA9</vt:lpwstr>
  </property>
  <property fmtid="{D5CDD505-2E9C-101B-9397-08002B2CF9AE}" pid="4" name="KSOSaveFontToCloudKey">
    <vt:lpwstr>438787626_cloud</vt:lpwstr>
  </property>
</Properties>
</file>