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CA20F">
      <w:pPr>
        <w:keepNext w:val="0"/>
        <w:keepLines w:val="0"/>
        <w:pageBreakBefore w:val="0"/>
        <w:widowControl w:val="0"/>
        <w:kinsoku/>
        <w:wordWrap/>
        <w:overflowPunct/>
        <w:topLinePunct w:val="0"/>
        <w:autoSpaceDE/>
        <w:autoSpaceDN/>
        <w:bidi w:val="0"/>
        <w:adjustRightInd w:val="0"/>
        <w:snapToGrid w:val="0"/>
        <w:spacing w:line="500" w:lineRule="exact"/>
        <w:ind w:right="0" w:firstLine="0"/>
        <w:jc w:val="right"/>
        <w:textAlignment w:val="auto"/>
        <w:rPr>
          <w:rFonts w:hint="default" w:ascii="Times New Roman" w:hAnsi="Times New Roman" w:eastAsia="宋体" w:cs="Times New Roman"/>
          <w:b/>
          <w:bCs w:val="0"/>
          <w:sz w:val="28"/>
          <w:szCs w:val="28"/>
        </w:rPr>
      </w:pPr>
      <w:r>
        <w:rPr>
          <w:rFonts w:hint="default" w:ascii="Times New Roman" w:hAnsi="Times New Roman" w:eastAsia="宋体" w:cs="Times New Roman"/>
          <w:b/>
          <w:bCs w:val="0"/>
          <w:sz w:val="28"/>
          <w:szCs w:val="28"/>
        </w:rPr>
        <w:t>风险评估编号：</w:t>
      </w:r>
      <w:r>
        <w:rPr>
          <w:rFonts w:hint="eastAsia" w:eastAsia="宋体" w:cs="Times New Roman"/>
          <w:b/>
          <w:bCs w:val="0"/>
          <w:sz w:val="28"/>
          <w:szCs w:val="28"/>
          <w:lang w:val="en-US" w:eastAsia="zh-CN"/>
        </w:rPr>
        <w:t>HADJY</w:t>
      </w:r>
      <w:r>
        <w:rPr>
          <w:rFonts w:hint="default" w:ascii="Times New Roman" w:hAnsi="Times New Roman" w:eastAsia="宋体" w:cs="Times New Roman"/>
          <w:b/>
          <w:bCs w:val="0"/>
          <w:sz w:val="28"/>
          <w:szCs w:val="28"/>
        </w:rPr>
        <w:t>--FXPG</w:t>
      </w:r>
    </w:p>
    <w:p w14:paraId="080CA33D">
      <w:pPr>
        <w:keepNext w:val="0"/>
        <w:keepLines w:val="0"/>
        <w:pageBreakBefore w:val="0"/>
        <w:kinsoku/>
        <w:wordWrap/>
        <w:overflowPunct/>
        <w:topLinePunct w:val="0"/>
        <w:autoSpaceDE/>
        <w:autoSpaceDN/>
        <w:bidi w:val="0"/>
        <w:adjustRightInd w:val="0"/>
        <w:snapToGrid w:val="0"/>
        <w:spacing w:beforeAutospacing="0" w:after="0" w:afterLines="0" w:afterAutospacing="0" w:line="360" w:lineRule="auto"/>
        <w:ind w:firstLine="2249" w:firstLineChars="800"/>
        <w:jc w:val="right"/>
        <w:textAlignment w:val="auto"/>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rPr>
        <w:t>风险评估版本号：</w:t>
      </w:r>
      <w:r>
        <w:rPr>
          <w:rFonts w:hint="eastAsia" w:eastAsia="宋体" w:cs="Times New Roman"/>
          <w:b/>
          <w:bCs w:val="0"/>
          <w:sz w:val="28"/>
          <w:szCs w:val="28"/>
          <w:lang w:val="en-US" w:eastAsia="zh-CN"/>
        </w:rPr>
        <w:t>2025</w:t>
      </w:r>
      <w:r>
        <w:rPr>
          <w:rFonts w:hint="default" w:ascii="Times New Roman" w:hAnsi="Times New Roman" w:eastAsia="宋体" w:cs="Times New Roman"/>
          <w:b/>
          <w:bCs w:val="0"/>
          <w:sz w:val="28"/>
          <w:szCs w:val="28"/>
          <w:lang w:val="en-US" w:eastAsia="zh-CN"/>
        </w:rPr>
        <w:t>年</w:t>
      </w:r>
    </w:p>
    <w:p w14:paraId="2F966BB3">
      <w:pPr>
        <w:pStyle w:val="5"/>
        <w:rPr>
          <w:rFonts w:hint="default" w:ascii="Times New Roman" w:hAnsi="Times New Roman" w:eastAsia="宋体" w:cs="Times New Roman"/>
          <w:b/>
          <w:bCs w:val="0"/>
          <w:sz w:val="28"/>
          <w:szCs w:val="28"/>
          <w:lang w:val="en-US" w:eastAsia="zh-CN"/>
        </w:rPr>
      </w:pPr>
    </w:p>
    <w:p w14:paraId="0F39DDBA">
      <w:pPr>
        <w:rPr>
          <w:rFonts w:hint="default" w:ascii="Times New Roman" w:hAnsi="Times New Roman" w:eastAsia="宋体" w:cs="Times New Roman"/>
          <w:b/>
          <w:bCs w:val="0"/>
          <w:sz w:val="28"/>
          <w:szCs w:val="28"/>
          <w:lang w:val="en-US" w:eastAsia="zh-CN"/>
        </w:rPr>
      </w:pPr>
    </w:p>
    <w:p w14:paraId="4E442BF1">
      <w:pPr>
        <w:pStyle w:val="5"/>
        <w:rPr>
          <w:rFonts w:hint="default" w:ascii="Times New Roman" w:hAnsi="Times New Roman" w:eastAsia="宋体" w:cs="Times New Roman"/>
          <w:b/>
          <w:bCs w:val="0"/>
          <w:sz w:val="28"/>
          <w:szCs w:val="28"/>
          <w:lang w:val="en-US" w:eastAsia="zh-CN"/>
        </w:rPr>
      </w:pPr>
    </w:p>
    <w:p w14:paraId="4AB6B964">
      <w:pPr>
        <w:rPr>
          <w:rFonts w:hint="default" w:ascii="Times New Roman" w:hAnsi="Times New Roman" w:eastAsia="宋体" w:cs="Times New Roman"/>
          <w:b/>
          <w:bCs w:val="0"/>
          <w:sz w:val="28"/>
          <w:szCs w:val="28"/>
          <w:lang w:val="en-US" w:eastAsia="zh-CN"/>
        </w:rPr>
      </w:pPr>
    </w:p>
    <w:p w14:paraId="46703D08">
      <w:pPr>
        <w:pStyle w:val="5"/>
        <w:rPr>
          <w:rFonts w:hint="default" w:ascii="Times New Roman" w:hAnsi="Times New Roman" w:eastAsia="宋体" w:cs="Times New Roman"/>
          <w:b/>
          <w:bCs w:val="0"/>
          <w:sz w:val="28"/>
          <w:szCs w:val="28"/>
          <w:lang w:val="en-US" w:eastAsia="zh-CN"/>
        </w:rPr>
      </w:pPr>
    </w:p>
    <w:p w14:paraId="6DCC0782">
      <w:pPr>
        <w:rPr>
          <w:rFonts w:hint="default" w:ascii="Times New Roman" w:hAnsi="Times New Roman" w:eastAsia="宋体" w:cs="Times New Roman"/>
          <w:b/>
          <w:bCs w:val="0"/>
          <w:sz w:val="28"/>
          <w:szCs w:val="28"/>
          <w:lang w:val="en-US" w:eastAsia="zh-CN"/>
        </w:rPr>
      </w:pPr>
    </w:p>
    <w:p w14:paraId="3A94BF45">
      <w:pPr>
        <w:pStyle w:val="5"/>
        <w:rPr>
          <w:rFonts w:hint="eastAsia"/>
        </w:rPr>
      </w:pPr>
    </w:p>
    <w:p w14:paraId="75C8E632">
      <w:pPr>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360" w:lineRule="auto"/>
        <w:jc w:val="center"/>
        <w:textAlignment w:val="auto"/>
        <w:rPr>
          <w:rFonts w:hint="eastAsia" w:ascii="宋体" w:hAnsi="宋体" w:eastAsia="宋体" w:cs="宋体"/>
          <w:b/>
          <w:sz w:val="52"/>
          <w:szCs w:val="52"/>
        </w:rPr>
      </w:pPr>
      <w:r>
        <w:rPr>
          <w:rFonts w:hint="eastAsia" w:ascii="宋体" w:hAnsi="宋体" w:eastAsia="宋体" w:cs="宋体"/>
          <w:b/>
          <w:sz w:val="52"/>
          <w:szCs w:val="52"/>
          <w:lang w:val="en-US" w:eastAsia="zh-CN"/>
        </w:rPr>
        <w:t>海安帝洁雅家具有限公司</w:t>
      </w:r>
      <w:r>
        <w:rPr>
          <w:rFonts w:hint="eastAsia" w:ascii="宋体" w:hAnsi="宋体" w:eastAsia="宋体" w:cs="宋体"/>
          <w:b/>
          <w:sz w:val="52"/>
          <w:szCs w:val="52"/>
          <w:lang w:val="en-US" w:eastAsia="zh-CN"/>
        </w:rPr>
        <w:tab/>
      </w:r>
      <w:r>
        <w:rPr>
          <w:rFonts w:hint="eastAsia" w:ascii="宋体" w:hAnsi="宋体" w:eastAsia="宋体" w:cs="宋体"/>
          <w:b/>
          <w:sz w:val="52"/>
          <w:szCs w:val="52"/>
        </w:rPr>
        <w:t>突发环境事件风险评估报告</w:t>
      </w:r>
    </w:p>
    <w:p w14:paraId="59210A8D">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791E428A">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4C0A910A">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55C29AAE">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52DC4DFB">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7ED20475">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37657CDF">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6333A824">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73AC0304">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kern w:val="2"/>
          <w:sz w:val="32"/>
          <w:szCs w:val="32"/>
          <w:lang w:val="en-US" w:eastAsia="zh-CN" w:bidi="zh-CN"/>
        </w:rPr>
      </w:pPr>
      <w:r>
        <w:rPr>
          <w:rFonts w:hint="eastAsia" w:ascii="宋体" w:hAnsi="宋体" w:eastAsia="宋体" w:cs="宋体"/>
          <w:b/>
          <w:bCs/>
          <w:sz w:val="32"/>
          <w:szCs w:val="32"/>
          <w:lang w:val="en-US" w:eastAsia="zh-CN"/>
        </w:rPr>
        <w:t>编制单位：</w:t>
      </w:r>
      <w:r>
        <w:rPr>
          <w:rFonts w:hint="eastAsia" w:ascii="宋体" w:hAnsi="宋体" w:eastAsia="宋体" w:cs="宋体"/>
          <w:b/>
          <w:bCs/>
          <w:kern w:val="2"/>
          <w:sz w:val="32"/>
          <w:szCs w:val="32"/>
          <w:lang w:val="en-US" w:eastAsia="zh-CN" w:bidi="zh-CN"/>
        </w:rPr>
        <w:fldChar w:fldCharType="begin"/>
      </w:r>
      <w:r>
        <w:rPr>
          <w:rFonts w:hint="eastAsia" w:ascii="宋体" w:hAnsi="宋体" w:eastAsia="宋体" w:cs="宋体"/>
          <w:b/>
          <w:bCs/>
          <w:kern w:val="2"/>
          <w:sz w:val="32"/>
          <w:szCs w:val="32"/>
          <w:lang w:val="en-US" w:eastAsia="zh-CN" w:bidi="zh-CN"/>
        </w:rPr>
        <w:instrText xml:space="preserve"> HYPERLINK "javascript:zxtb('XZXKTYPE_A','%E6%9A%82%E5%AD%98','card1','fc5c1215140948f896b26e64c489f794','readonly')" </w:instrText>
      </w:r>
      <w:r>
        <w:rPr>
          <w:rFonts w:hint="eastAsia" w:ascii="宋体" w:hAnsi="宋体" w:eastAsia="宋体" w:cs="宋体"/>
          <w:b/>
          <w:bCs/>
          <w:kern w:val="2"/>
          <w:sz w:val="32"/>
          <w:szCs w:val="32"/>
          <w:lang w:val="en-US" w:eastAsia="zh-CN" w:bidi="zh-CN"/>
        </w:rPr>
        <w:fldChar w:fldCharType="separate"/>
      </w:r>
      <w:r>
        <w:rPr>
          <w:rFonts w:hint="eastAsia" w:ascii="宋体" w:hAnsi="宋体" w:eastAsia="宋体" w:cs="宋体"/>
          <w:b/>
          <w:bCs/>
          <w:kern w:val="2"/>
          <w:sz w:val="32"/>
          <w:szCs w:val="32"/>
          <w:lang w:val="en-US" w:eastAsia="zh-CN" w:bidi="zh-CN"/>
        </w:rPr>
        <w:t>海安帝洁雅家具有限公司</w:t>
      </w:r>
      <w:r>
        <w:rPr>
          <w:rFonts w:hint="eastAsia" w:ascii="宋体" w:hAnsi="宋体" w:eastAsia="宋体" w:cs="宋体"/>
          <w:b/>
          <w:bCs/>
          <w:kern w:val="2"/>
          <w:sz w:val="32"/>
          <w:szCs w:val="32"/>
          <w:lang w:val="en-US" w:eastAsia="zh-CN" w:bidi="zh-CN"/>
        </w:rPr>
        <w:tab/>
      </w:r>
      <w:r>
        <w:rPr>
          <w:rFonts w:hint="eastAsia" w:ascii="宋体" w:hAnsi="宋体" w:eastAsia="宋体" w:cs="宋体"/>
          <w:b/>
          <w:bCs/>
          <w:kern w:val="2"/>
          <w:sz w:val="32"/>
          <w:szCs w:val="32"/>
          <w:lang w:val="en-US" w:eastAsia="zh-CN" w:bidi="zh-CN"/>
        </w:rPr>
        <w:fldChar w:fldCharType="end"/>
      </w:r>
    </w:p>
    <w:p w14:paraId="7A03B81D">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宋体" w:hAnsi="宋体" w:eastAsia="宋体" w:cs="宋体"/>
          <w:b/>
          <w:bCs/>
          <w:sz w:val="32"/>
          <w:szCs w:val="32"/>
          <w:lang w:val="en-US" w:eastAsia="zh-CN" w:bidi="zh-CN"/>
        </w:rPr>
      </w:pPr>
      <w:r>
        <w:rPr>
          <w:rFonts w:hint="eastAsia" w:ascii="宋体" w:hAnsi="宋体" w:eastAsia="宋体" w:cs="宋体"/>
          <w:b/>
          <w:bCs/>
          <w:sz w:val="32"/>
          <w:szCs w:val="32"/>
          <w:lang w:val="en-US" w:eastAsia="zh-CN" w:bidi="zh-CN"/>
        </w:rPr>
        <w:t>技术协助单位：南通久蓝环保科技有限公司</w:t>
      </w:r>
    </w:p>
    <w:p w14:paraId="550F40C3">
      <w:pPr>
        <w:pStyle w:val="13"/>
        <w:jc w:val="center"/>
        <w:rPr>
          <w:rFonts w:hint="eastAsia" w:ascii="宋体" w:hAnsi="宋体" w:eastAsia="宋体" w:cs="宋体"/>
          <w:b/>
          <w:bCs/>
          <w:sz w:val="32"/>
          <w:szCs w:val="32"/>
          <w:lang w:val="en-US" w:eastAsia="zh-CN"/>
        </w:rPr>
      </w:pPr>
      <w:r>
        <w:rPr>
          <w:rFonts w:hint="eastAsia" w:eastAsia="宋体" w:cs="Times New Roman"/>
          <w:b/>
          <w:bCs/>
          <w:sz w:val="32"/>
          <w:szCs w:val="32"/>
          <w:lang w:val="zh-CN" w:eastAsia="zh-CN" w:bidi="zh-CN"/>
        </w:rPr>
        <w:t>2025</w:t>
      </w:r>
      <w:r>
        <w:rPr>
          <w:rFonts w:hint="default" w:ascii="Times New Roman" w:hAnsi="Times New Roman" w:eastAsia="宋体" w:cs="Times New Roman"/>
          <w:b/>
          <w:bCs/>
          <w:sz w:val="32"/>
          <w:szCs w:val="32"/>
          <w:lang w:val="zh-CN" w:eastAsia="zh-CN" w:bidi="zh-CN"/>
        </w:rPr>
        <w:t>年</w:t>
      </w:r>
      <w:r>
        <w:rPr>
          <w:rFonts w:hint="eastAsia" w:eastAsia="宋体" w:cs="Times New Roman"/>
          <w:b/>
          <w:bCs/>
          <w:sz w:val="32"/>
          <w:szCs w:val="32"/>
          <w:lang w:val="en-US" w:eastAsia="zh-CN" w:bidi="zh-CN"/>
        </w:rPr>
        <w:t>3</w:t>
      </w:r>
      <w:r>
        <w:rPr>
          <w:rFonts w:hint="default" w:ascii="Times New Roman" w:hAnsi="Times New Roman" w:eastAsia="宋体" w:cs="Times New Roman"/>
          <w:b/>
          <w:bCs/>
          <w:sz w:val="32"/>
          <w:szCs w:val="32"/>
          <w:lang w:val="zh-CN" w:eastAsia="zh-CN" w:bidi="zh-CN"/>
        </w:rPr>
        <w:t>月</w:t>
      </w:r>
    </w:p>
    <w:p w14:paraId="22FC880A">
      <w:pPr>
        <w:pStyle w:val="5"/>
        <w:rPr>
          <w:rFonts w:hint="eastAsia" w:ascii="宋体" w:hAnsi="宋体" w:eastAsia="宋体" w:cs="宋体"/>
          <w:b/>
          <w:bCs/>
          <w:sz w:val="32"/>
          <w:szCs w:val="32"/>
          <w:lang w:val="en-US" w:eastAsia="zh-CN"/>
        </w:rPr>
      </w:pPr>
    </w:p>
    <w:p w14:paraId="345547FB">
      <w:pPr>
        <w:rPr>
          <w:rFonts w:hint="eastAsia" w:ascii="宋体" w:hAnsi="宋体" w:eastAsia="宋体" w:cs="宋体"/>
          <w:b/>
          <w:bCs/>
          <w:sz w:val="32"/>
          <w:szCs w:val="32"/>
          <w:lang w:val="en-US" w:eastAsia="zh-CN"/>
        </w:rPr>
      </w:pPr>
    </w:p>
    <w:p w14:paraId="656B04A2">
      <w:pPr>
        <w:pStyle w:val="13"/>
        <w:sectPr>
          <w:headerReference r:id="rId5" w:type="first"/>
          <w:headerReference r:id="rId3" w:type="default"/>
          <w:headerReference r:id="rId4" w:type="even"/>
          <w:footerReference r:id="rId6"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35B1544E">
      <w:pPr>
        <w:adjustRightInd w:val="0"/>
        <w:snapToGrid w:val="0"/>
        <w:spacing w:line="360" w:lineRule="auto"/>
        <w:jc w:val="center"/>
        <w:rPr>
          <w:rFonts w:hint="eastAsia" w:ascii="宋体" w:hAnsi="宋体" w:eastAsia="宋体" w:cs="宋体"/>
          <w:sz w:val="44"/>
          <w:szCs w:val="44"/>
        </w:rPr>
      </w:pPr>
      <w:r>
        <w:rPr>
          <w:rFonts w:hint="eastAsia" w:ascii="宋体" w:hAnsi="宋体" w:eastAsia="宋体" w:cs="宋体"/>
          <w:b/>
          <w:sz w:val="44"/>
          <w:szCs w:val="44"/>
        </w:rPr>
        <w:t>目录</w:t>
      </w:r>
    </w:p>
    <w:p w14:paraId="6B56ECB7">
      <w:pPr>
        <w:pStyle w:val="24"/>
        <w:tabs>
          <w:tab w:val="right" w:leader="dot" w:pos="9026"/>
        </w:tabs>
        <w:spacing w:line="360" w:lineRule="exact"/>
        <w:rPr>
          <w:rFonts w:hint="default" w:ascii="Times New Roman" w:hAnsi="Times New Roman" w:eastAsia="宋体" w:cs="Times New Roman"/>
          <w:i w:val="0"/>
          <w:iCs w:val="0"/>
          <w:sz w:val="24"/>
          <w:szCs w:val="24"/>
        </w:rPr>
      </w:pPr>
      <w:bookmarkStart w:id="0" w:name="_Toc264884287"/>
      <w:bookmarkStart w:id="1" w:name="_Toc142238908"/>
      <w:bookmarkStart w:id="2" w:name="_Toc162428693"/>
      <w:r>
        <w:rPr>
          <w:rFonts w:hint="default" w:ascii="Times New Roman" w:hAnsi="Times New Roman" w:eastAsia="宋体" w:cs="Times New Roman"/>
          <w:b w:val="0"/>
          <w:i w:val="0"/>
          <w:iCs w:val="0"/>
          <w:sz w:val="36"/>
          <w:szCs w:val="36"/>
        </w:rPr>
        <w:fldChar w:fldCharType="begin"/>
      </w:r>
      <w:r>
        <w:rPr>
          <w:rFonts w:hint="default" w:ascii="Times New Roman" w:hAnsi="Times New Roman" w:eastAsia="宋体" w:cs="Times New Roman"/>
          <w:b w:val="0"/>
          <w:i w:val="0"/>
          <w:iCs w:val="0"/>
          <w:sz w:val="36"/>
          <w:szCs w:val="36"/>
        </w:rPr>
        <w:instrText xml:space="preserve"> TOC \o "1-3" \h \z \u </w:instrText>
      </w:r>
      <w:r>
        <w:rPr>
          <w:rFonts w:hint="default" w:ascii="Times New Roman" w:hAnsi="Times New Roman" w:eastAsia="宋体" w:cs="Times New Roman"/>
          <w:b w:val="0"/>
          <w:i w:val="0"/>
          <w:iCs w:val="0"/>
          <w:sz w:val="36"/>
          <w:szCs w:val="36"/>
        </w:rPr>
        <w:fldChar w:fldCharType="separate"/>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_Toc7714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1前言</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_Toc7714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92ABFC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_Toc8177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2总则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_Toc8177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5EAE8F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_Toc20253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2.1编制原则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_Toc20253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6FFD2E6">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_Toc21056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2.2编制依据</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_Toc21056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49389F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_Toc19349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2.2.1政策法规</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_Toc19349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99DCDC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_Toc31049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2.2.2标准规范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_Toc31049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9AD0F9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_Toc32074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2.2.3其他文件</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_Toc32074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07F7F8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_Toc31581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2.3评估范围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_Toc31581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89C21F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_Toc3727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2.4环境风险评估程序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_Toc3727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7ADE584">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_Toc27051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环境风险评估</w:t>
      </w:r>
      <w:r>
        <w:rPr>
          <w:rFonts w:hint="default" w:ascii="Times New Roman" w:hAnsi="Times New Roman" w:eastAsia="宋体" w:cs="Times New Roman"/>
          <w:i w:val="0"/>
          <w:iCs w:val="0"/>
          <w:sz w:val="24"/>
          <w:szCs w:val="24"/>
          <w:lang w:val="en-US" w:eastAsia="zh-CN"/>
        </w:rPr>
        <w:t>的一般要求</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_Toc27051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963EA67">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_Toc9077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lang w:val="en-US" w:eastAsia="zh-CN"/>
        </w:rPr>
        <w:t>6术语与定义</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_Toc9077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22E60F7">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_Toc14635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3资料准备与环境风险识别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_Toc14635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ABB9237">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3.1企业基本信息</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FB352B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_Toc21550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3.1.1企业概况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_Toc21550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B52701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_Toc16743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_Toc16743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17C950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_Toc20763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_Toc20763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353F4D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_Toc17812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3.2企业周边环境风险受体情况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_Toc17812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E1522C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_Toc16476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3.2.1大气环境风险受体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_Toc16476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2AD486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_Toc16025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_Toc16025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68362E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_Toc21141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lang w:val="en-US" w:eastAsia="zh-CN"/>
        </w:rPr>
        <w:t>3.2.3</w:t>
      </w:r>
      <w:r>
        <w:rPr>
          <w:rFonts w:hint="default" w:ascii="Times New Roman" w:hAnsi="Times New Roman" w:eastAsia="宋体" w:cs="Times New Roman"/>
          <w:bCs/>
          <w:i w:val="0"/>
          <w:iCs w:val="0"/>
          <w:sz w:val="24"/>
          <w:szCs w:val="24"/>
        </w:rPr>
        <w:t>生态环境保护目标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_Toc21141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FCD0E8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_Toc6964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lang w:val="en-US" w:eastAsia="zh-CN"/>
        </w:rPr>
        <w:t>3.2.4</w:t>
      </w:r>
      <w:r>
        <w:rPr>
          <w:rFonts w:hint="default" w:ascii="Times New Roman" w:hAnsi="Times New Roman" w:eastAsia="宋体" w:cs="Times New Roman"/>
          <w:bCs/>
          <w:i w:val="0"/>
          <w:iCs w:val="0"/>
          <w:sz w:val="24"/>
          <w:szCs w:val="24"/>
        </w:rPr>
        <w:t>土壤环境敏感度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_Toc6964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07B8BB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3.3风险物质识别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_Toc24977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B8D361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_Toc25602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3.3.1物质性质</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_Toc25602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6AF8A84">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_Toc31109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w:t>
      </w:r>
      <w:r>
        <w:rPr>
          <w:rFonts w:hint="default" w:ascii="Times New Roman" w:hAnsi="Times New Roman" w:eastAsia="宋体" w:cs="Times New Roman"/>
          <w:i w:val="0"/>
          <w:iCs w:val="0"/>
          <w:sz w:val="24"/>
          <w:szCs w:val="24"/>
          <w:lang w:val="en-US" w:eastAsia="zh-CN"/>
        </w:rPr>
        <w:t>环境风险单元识别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_Toc31109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80F547B">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_Toc18985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生产工艺情况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_Toc18985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587023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_Toc11684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.1生产工艺简介</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_Toc11684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25821C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_Toc10285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.2生产设备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_Toc10285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13CFB3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_Toc6678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5.3</w:t>
      </w:r>
      <w:r>
        <w:rPr>
          <w:rFonts w:hint="default" w:ascii="Times New Roman" w:hAnsi="Times New Roman" w:eastAsia="宋体" w:cs="Times New Roman"/>
          <w:i w:val="0"/>
          <w:iCs w:val="0"/>
          <w:sz w:val="24"/>
          <w:szCs w:val="24"/>
        </w:rPr>
        <w:t>生产工艺过程含有风险工艺和设备情况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_Toc6678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9220ED5">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_Toc28286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公用辅助工程情况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_Toc28286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CC0060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“三废”排放及处理情况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_Toc18121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069D33A">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_Toc398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6</w:t>
      </w:r>
      <w:r>
        <w:rPr>
          <w:rFonts w:hint="default" w:ascii="Times New Roman" w:hAnsi="Times New Roman" w:eastAsia="宋体" w:cs="Times New Roman"/>
          <w:i w:val="0"/>
          <w:iCs w:val="0"/>
          <w:sz w:val="24"/>
          <w:szCs w:val="24"/>
        </w:rPr>
        <w:t>重大环境风险事故发生情况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_Toc398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C4E3BF6">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_Toc31165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7</w:t>
      </w:r>
      <w:r>
        <w:rPr>
          <w:rFonts w:hint="default" w:ascii="Times New Roman" w:hAnsi="Times New Roman" w:eastAsia="宋体" w:cs="Times New Roman"/>
          <w:i w:val="0"/>
          <w:iCs w:val="0"/>
          <w:sz w:val="24"/>
          <w:szCs w:val="24"/>
        </w:rPr>
        <w:t>安全生产管理</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_Toc31165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81DA68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_Toc32103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现有环境风险防控与应急措施情况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_Toc32103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69BB4B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_Toc15542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1现有环境风险防控措施情况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_Toc15542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DC8AC85">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_Toc13078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8.2应急物资及装备情况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_Toc13078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746843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8.3应急监测能力</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69609D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_Toc5748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8.4内部应急队伍</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_Toc5748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A93D63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_Toc26885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8.5外部应急救援力量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_Toc26885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2005C42">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4突发环境事件及其后果分析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_Toc18181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AA6998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_Toc13659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4.1突发环境事件情景分析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_Toc13659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2109313">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_Toc29962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4.2突发环境事件情景源强分析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_Toc29962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48BCD9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_Toc27354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_Toc27354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3A4A4A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_Toc11264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_Toc11264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FE1006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_Toc32065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4.2.</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rPr>
        <w:t>事件情景</w:t>
      </w:r>
      <w:r>
        <w:rPr>
          <w:rFonts w:hint="default" w:ascii="Times New Roman" w:hAnsi="Times New Roman" w:eastAsia="宋体" w:cs="Times New Roman"/>
          <w:bCs/>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_Toc32065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84990F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4.3释放环境风险物质的扩散途径、涉及环境风险防控与应急措施、应急资源情况分析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_Toc5652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B23F83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483085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_Toc10339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_Toc10339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7BB066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_Toc19174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_Toc19174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7D85624">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_Toc26102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4.4突发环境事件危害后果分析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_Toc26102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406D90E">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_Toc26602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4.4.1</w:t>
      </w:r>
      <w:r>
        <w:rPr>
          <w:rFonts w:hint="default" w:ascii="Times New Roman" w:hAnsi="Times New Roman" w:eastAsia="宋体" w:cs="Times New Roman"/>
          <w:i w:val="0"/>
          <w:iCs w:val="0"/>
          <w:sz w:val="24"/>
          <w:szCs w:val="24"/>
          <w:lang w:val="en-US" w:eastAsia="zh-CN"/>
        </w:rPr>
        <w:t>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_Toc26602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802F4A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_Toc6104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2事件情景3、6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_Toc6104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A70787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_Toc6431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_Toc6431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9C088C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5现有环境风险防控和应急措施差距分析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2615C42">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_Toc7007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5.1环境风险管理制度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_Toc7007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0E65CD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_Toc10025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5.2环境风险防控与应急措施</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_Toc10025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CFE6511">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_Toc16479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5.3环境应急资源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_Toc16479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3279DF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_Toc7855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5.4历史经验教训总结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_Toc7855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D2DCD5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_Toc9941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5.5需要整改的短期、中期和长期项目内容</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_Toc9941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3D1969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_Toc594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6完善环境风险防控和应急措施的实施计划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_Toc594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007EE2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_Toc15485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6.1短期整改内容及实施计划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_Toc15485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06D2999">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_Toc28359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6.2中、长期整改内容及实施计划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_Toc28359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ECD487E">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_Toc8571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7企业突发环境事件风险等级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_Toc8571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84BD84F">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_Toc10459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7.1企业突发大气环境事件风险等级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_Toc10459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31C316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_Toc32695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7.1.1</w:t>
      </w:r>
      <w:r>
        <w:rPr>
          <w:rFonts w:hint="default" w:ascii="Times New Roman" w:hAnsi="Times New Roman" w:eastAsia="宋体" w:cs="Times New Roman"/>
          <w:i w:val="0"/>
          <w:iCs w:val="0"/>
          <w:sz w:val="24"/>
          <w:szCs w:val="24"/>
          <w:lang w:val="en-US" w:eastAsia="zh-CN"/>
        </w:rPr>
        <w:t>涉气风险物质数量与临界值比值（Q）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_Toc32695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6F1FDD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_Toc4575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生产工艺过程与大气环境风险控制水平（M）评估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_Toc4575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BAADE9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_Toc15903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大气环境风险受体敏感程度（E）评估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_Toc15903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216841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突发大气环境事件风险等级确定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_Toc23652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13A4ED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_Toc30454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突发大气环境事件风险等级表征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_Toc30454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DFDBC3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_Toc27596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企业突发</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_Toc27596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BE5635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_Toc4502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.1</w:t>
      </w:r>
      <w:r>
        <w:rPr>
          <w:rFonts w:hint="default" w:ascii="Times New Roman" w:hAnsi="Times New Roman" w:eastAsia="宋体" w:cs="Times New Roman"/>
          <w:i w:val="0"/>
          <w:iCs w:val="0"/>
          <w:sz w:val="24"/>
          <w:szCs w:val="24"/>
          <w:lang w:val="en-US" w:eastAsia="zh-CN"/>
        </w:rPr>
        <w:t>涉水风险物质数量与临界值比值（Q）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_Toc4502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07B1D1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_Toc23938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生产工艺过程与</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_Toc23938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FEF7AA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_Toc9044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3水</w:t>
      </w:r>
      <w:r>
        <w:rPr>
          <w:rFonts w:hint="default" w:ascii="Times New Roman" w:hAnsi="Times New Roman" w:eastAsia="宋体" w:cs="Times New Roman"/>
          <w:i w:val="0"/>
          <w:iCs w:val="0"/>
          <w:sz w:val="24"/>
          <w:szCs w:val="24"/>
        </w:rPr>
        <w:t>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_Toc9044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B5B1E2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_Toc28884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突发</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_Toc28884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75E625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_Toc6239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lang w:val="en-US" w:eastAsia="zh-CN"/>
        </w:rPr>
        <w:t>7.2.5突发水环境事件风险等级表征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_Toc6239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6403A55">
      <w:pPr>
        <w:pStyle w:val="30"/>
        <w:tabs>
          <w:tab w:val="right" w:leader="dot" w:pos="9026"/>
        </w:tabs>
        <w:spacing w:line="360" w:lineRule="exact"/>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_Toc27337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风险等级调整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_Toc27337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1836070">
      <w:pPr>
        <w:pStyle w:val="24"/>
        <w:keepNext w:val="0"/>
        <w:keepLines w:val="0"/>
        <w:pageBreakBefore w:val="0"/>
        <w:widowControl w:val="0"/>
        <w:tabs>
          <w:tab w:val="left" w:pos="420"/>
          <w:tab w:val="right" w:pos="9120"/>
        </w:tabs>
        <w:kinsoku/>
        <w:wordWrap/>
        <w:overflowPunct/>
        <w:topLinePunct w:val="0"/>
        <w:autoSpaceDE/>
        <w:autoSpaceDN/>
        <w:bidi w:val="0"/>
        <w:adjustRightInd w:val="0"/>
        <w:snapToGrid w:val="0"/>
        <w:spacing w:before="0" w:after="0" w:line="300" w:lineRule="exact"/>
        <w:textAlignment w:val="auto"/>
        <w:rPr>
          <w:rFonts w:ascii="Times New Roman" w:hAnsi="Times New Roman" w:eastAsia="仿宋" w:cs="Times New Roman"/>
          <w:sz w:val="21"/>
          <w:szCs w:val="21"/>
        </w:rPr>
        <w:sectPr>
          <w:head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eastAsia="宋体" w:cs="Times New Roman"/>
          <w:i w:val="0"/>
          <w:iCs w:val="0"/>
          <w:szCs w:val="36"/>
        </w:rPr>
        <w:fldChar w:fldCharType="end"/>
      </w:r>
    </w:p>
    <w:p w14:paraId="33C9FA71">
      <w:pPr>
        <w:pStyle w:val="2"/>
        <w:adjustRightInd w:val="0"/>
        <w:snapToGrid w:val="0"/>
        <w:spacing w:line="500" w:lineRule="exact"/>
        <w:rPr>
          <w:rFonts w:ascii="宋体" w:hAnsi="宋体" w:eastAsia="宋体" w:cs="宋体"/>
          <w:sz w:val="24"/>
          <w:szCs w:val="24"/>
        </w:rPr>
      </w:pPr>
      <w:bookmarkStart w:id="3" w:name="_Toc26756"/>
      <w:bookmarkStart w:id="4" w:name="_Toc7714"/>
      <w:bookmarkStart w:id="5" w:name="_Toc21200"/>
      <w:r>
        <w:rPr>
          <w:rFonts w:hint="eastAsia" w:ascii="宋体" w:hAnsi="宋体" w:eastAsia="宋体" w:cs="宋体"/>
          <w:sz w:val="24"/>
          <w:szCs w:val="24"/>
        </w:rPr>
        <w:t>1前言</w:t>
      </w:r>
      <w:bookmarkEnd w:id="0"/>
      <w:bookmarkEnd w:id="3"/>
      <w:bookmarkEnd w:id="4"/>
      <w:bookmarkEnd w:id="5"/>
    </w:p>
    <w:p w14:paraId="27F1E532">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是指由人类活动引起或由人类活动与自然界的运动过程共同作用造成的，通过环境介质传播的，能对人类社会及其生存、发展的基础——环境产生破坏、损失乃至毁灭性作用等不利后果的事件的发生概率。</w:t>
      </w:r>
    </w:p>
    <w:p w14:paraId="5C4EC743">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环境风险达到一定程度会很容易造成突发性的环境事件，致使环境受到污染，生态系统受到干扰，人体健康受到危害，社会财富受到损失，并造成不良社会影响。</w:t>
      </w:r>
    </w:p>
    <w:p w14:paraId="46A2149B">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color w:val="auto"/>
          <w:kern w:val="0"/>
          <w:szCs w:val="28"/>
        </w:rPr>
      </w:pPr>
      <w:r>
        <w:rPr>
          <w:rFonts w:hint="eastAsia" w:ascii="宋体" w:hAnsi="宋体" w:eastAsia="宋体" w:cs="宋体"/>
          <w:bCs/>
          <w:color w:val="auto"/>
        </w:rPr>
        <w:t>企业存贮使用化学物质、生产工艺落后、生产设备陈旧、生产管理上的不科学性、不合理性以及化学物质未能规范安全储运等都会增加企业的环境风险概率，从而导致环境事故的发生。</w:t>
      </w:r>
    </w:p>
    <w:p w14:paraId="72D2D04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cs="Times New Roman" w:eastAsiaTheme="minorEastAsia"/>
          <w:kern w:val="0"/>
          <w:sz w:val="24"/>
          <w:szCs w:val="24"/>
          <w:highlight w:val="none"/>
          <w:lang w:val="en-US" w:eastAsia="zh-CN"/>
        </w:rPr>
      </w:pPr>
      <w:r>
        <w:rPr>
          <w:rFonts w:hint="eastAsia" w:ascii="宋体" w:hAnsi="宋体" w:eastAsia="宋体" w:cs="宋体"/>
          <w:color w:val="auto"/>
          <w:kern w:val="0"/>
          <w:szCs w:val="28"/>
          <w:highlight w:val="none"/>
          <w:lang w:eastAsia="zh-CN"/>
        </w:rPr>
        <w:t>海安帝洁雅家具有限公司</w:t>
      </w:r>
      <w:r>
        <w:rPr>
          <w:rFonts w:hint="eastAsia" w:ascii="宋体" w:hAnsi="宋体" w:eastAsia="宋体" w:cs="宋体"/>
          <w:color w:val="auto"/>
          <w:kern w:val="0"/>
          <w:szCs w:val="28"/>
          <w:highlight w:val="none"/>
          <w:lang w:eastAsia="zh-CN"/>
        </w:rPr>
        <w:tab/>
      </w:r>
      <w:r>
        <w:rPr>
          <w:rFonts w:hint="eastAsia" w:ascii="宋体" w:hAnsi="宋体" w:eastAsia="宋体" w:cs="宋体"/>
          <w:color w:val="auto"/>
          <w:kern w:val="0"/>
          <w:szCs w:val="28"/>
          <w:highlight w:val="none"/>
        </w:rPr>
        <w:t>（以下简称“</w:t>
      </w:r>
      <w:r>
        <w:rPr>
          <w:rFonts w:hint="eastAsia" w:ascii="宋体" w:hAnsi="宋体" w:eastAsia="宋体" w:cs="宋体"/>
          <w:color w:val="auto"/>
          <w:kern w:val="0"/>
          <w:szCs w:val="28"/>
          <w:highlight w:val="none"/>
          <w:lang w:val="en-US" w:eastAsia="zh-CN"/>
        </w:rPr>
        <w:t>帝洁雅</w:t>
      </w:r>
      <w:r>
        <w:rPr>
          <w:rFonts w:hint="eastAsia" w:ascii="宋体" w:hAnsi="宋体" w:eastAsia="宋体" w:cs="宋体"/>
          <w:color w:val="auto"/>
          <w:kern w:val="0"/>
          <w:szCs w:val="28"/>
          <w:highlight w:val="none"/>
        </w:rPr>
        <w:t>”）成立于</w:t>
      </w:r>
      <w:r>
        <w:rPr>
          <w:rFonts w:hint="eastAsia" w:eastAsia="宋体"/>
          <w:bCs/>
          <w:color w:val="auto"/>
          <w:highlight w:val="none"/>
          <w:lang w:val="en-US" w:eastAsia="zh-CN"/>
        </w:rPr>
        <w:t>2017</w:t>
      </w:r>
      <w:r>
        <w:rPr>
          <w:rFonts w:eastAsia="宋体"/>
          <w:bCs/>
          <w:color w:val="auto"/>
          <w:highlight w:val="none"/>
        </w:rPr>
        <w:t>年</w:t>
      </w:r>
      <w:r>
        <w:rPr>
          <w:rFonts w:hint="eastAsia" w:eastAsia="宋体"/>
          <w:bCs/>
          <w:color w:val="auto"/>
          <w:highlight w:val="none"/>
          <w:lang w:val="en-US" w:eastAsia="zh-CN"/>
        </w:rPr>
        <w:t>6</w:t>
      </w:r>
      <w:r>
        <w:rPr>
          <w:rFonts w:eastAsia="宋体"/>
          <w:bCs/>
          <w:color w:val="auto"/>
          <w:highlight w:val="none"/>
        </w:rPr>
        <w:t>月，</w:t>
      </w:r>
      <w:r>
        <w:rPr>
          <w:rFonts w:hint="eastAsia" w:eastAsia="宋体"/>
          <w:bCs/>
          <w:color w:val="auto"/>
          <w:highlight w:val="none"/>
          <w:lang w:val="en-US" w:eastAsia="zh-CN"/>
        </w:rPr>
        <w:t>位于海安市城东镇东部大道175号，占地面积</w:t>
      </w:r>
      <w:r>
        <w:rPr>
          <w:rFonts w:hint="eastAsia" w:ascii="宋体" w:hAnsi="宋体" w:eastAsia="宋体" w:cs="宋体"/>
          <w:sz w:val="24"/>
          <w:szCs w:val="24"/>
          <w:lang w:val="en-US" w:eastAsia="zh-CN"/>
        </w:rPr>
        <w:t>3120</w:t>
      </w:r>
      <w:r>
        <w:rPr>
          <w:rFonts w:hint="eastAsia" w:eastAsia="宋体"/>
          <w:bCs/>
          <w:color w:val="auto"/>
          <w:highlight w:val="none"/>
          <w:lang w:val="en-US" w:eastAsia="zh-CN"/>
        </w:rPr>
        <w:t>平方米，从事家具生产项目</w:t>
      </w:r>
      <w:r>
        <w:rPr>
          <w:rFonts w:hint="eastAsia" w:eastAsia="宋体"/>
          <w:bCs/>
          <w:color w:val="auto"/>
          <w:highlight w:val="none"/>
        </w:rPr>
        <w:t>。</w:t>
      </w:r>
      <w:bookmarkStart w:id="6" w:name="_Hlk51407346"/>
      <w:r>
        <w:rPr>
          <w:rFonts w:hint="eastAsia" w:ascii="宋体" w:hAnsi="宋体" w:eastAsia="宋体" w:cs="宋体"/>
          <w:color w:val="auto"/>
          <w:kern w:val="0"/>
          <w:szCs w:val="28"/>
          <w:highlight w:val="none"/>
          <w:lang w:val="en-US" w:eastAsia="zh-CN"/>
        </w:rPr>
        <w:t>帝洁雅</w:t>
      </w:r>
      <w:r>
        <w:rPr>
          <w:rFonts w:hint="default" w:ascii="Times New Roman" w:hAnsi="Times New Roman" w:cs="Times New Roman" w:eastAsiaTheme="minorEastAsia"/>
          <w:kern w:val="0"/>
          <w:sz w:val="24"/>
          <w:szCs w:val="24"/>
          <w:lang w:eastAsia="zh-CN"/>
        </w:rPr>
        <w:t>于20</w:t>
      </w:r>
      <w:r>
        <w:rPr>
          <w:rFonts w:hint="eastAsia" w:cs="Times New Roman" w:eastAsiaTheme="minorEastAsia"/>
          <w:kern w:val="0"/>
          <w:sz w:val="24"/>
          <w:szCs w:val="24"/>
          <w:lang w:val="en-US" w:eastAsia="zh-CN"/>
        </w:rPr>
        <w:t>20</w:t>
      </w:r>
      <w:r>
        <w:rPr>
          <w:rFonts w:hint="default" w:ascii="Times New Roman" w:hAnsi="Times New Roman" w:cs="Times New Roman" w:eastAsiaTheme="minorEastAsia"/>
          <w:kern w:val="0"/>
          <w:sz w:val="24"/>
          <w:szCs w:val="24"/>
          <w:lang w:eastAsia="zh-CN"/>
        </w:rPr>
        <w:t>年</w:t>
      </w:r>
      <w:r>
        <w:rPr>
          <w:rFonts w:hint="eastAsia" w:cs="Times New Roman" w:eastAsiaTheme="minorEastAsia"/>
          <w:kern w:val="0"/>
          <w:sz w:val="24"/>
          <w:szCs w:val="24"/>
          <w:lang w:val="en-US" w:eastAsia="zh-CN"/>
        </w:rPr>
        <w:t>8</w:t>
      </w:r>
      <w:r>
        <w:rPr>
          <w:rFonts w:hint="default" w:ascii="Times New Roman" w:hAnsi="Times New Roman" w:cs="Times New Roman" w:eastAsiaTheme="minorEastAsia"/>
          <w:kern w:val="0"/>
          <w:sz w:val="24"/>
          <w:szCs w:val="24"/>
          <w:lang w:eastAsia="zh-CN"/>
        </w:rPr>
        <w:t>月</w:t>
      </w:r>
      <w:r>
        <w:rPr>
          <w:rFonts w:hint="eastAsia" w:cs="Times New Roman" w:eastAsiaTheme="minorEastAsia"/>
          <w:kern w:val="0"/>
          <w:sz w:val="24"/>
          <w:szCs w:val="24"/>
          <w:lang w:val="en-US" w:eastAsia="zh-CN"/>
        </w:rPr>
        <w:t>24</w:t>
      </w:r>
      <w:r>
        <w:rPr>
          <w:rFonts w:hint="default" w:ascii="Times New Roman" w:hAnsi="Times New Roman" w:cs="Times New Roman" w:eastAsiaTheme="minorEastAsia"/>
          <w:kern w:val="0"/>
          <w:sz w:val="24"/>
          <w:szCs w:val="24"/>
          <w:lang w:eastAsia="zh-CN"/>
        </w:rPr>
        <w:t>日获得海安</w:t>
      </w:r>
      <w:r>
        <w:rPr>
          <w:rFonts w:hint="eastAsia" w:ascii="Times New Roman" w:hAnsi="Times New Roman" w:cs="Times New Roman" w:eastAsiaTheme="minorEastAsia"/>
          <w:kern w:val="0"/>
          <w:sz w:val="24"/>
          <w:szCs w:val="24"/>
          <w:lang w:val="en-US" w:eastAsia="zh-CN"/>
        </w:rPr>
        <w:t>市行政审批局</w:t>
      </w:r>
      <w:r>
        <w:rPr>
          <w:rFonts w:hint="default" w:ascii="Times New Roman" w:hAnsi="Times New Roman" w:cs="Times New Roman" w:eastAsiaTheme="minorEastAsia"/>
          <w:kern w:val="0"/>
          <w:sz w:val="24"/>
          <w:szCs w:val="24"/>
          <w:lang w:eastAsia="zh-CN"/>
        </w:rPr>
        <w:t>审批（</w:t>
      </w:r>
      <w:r>
        <w:rPr>
          <w:rFonts w:hint="default" w:ascii="Times New Roman" w:hAnsi="Times New Roman" w:cs="Times New Roman" w:eastAsiaTheme="minorEastAsia"/>
          <w:kern w:val="0"/>
          <w:sz w:val="24"/>
          <w:szCs w:val="24"/>
          <w:lang w:val="en-US" w:eastAsia="zh-CN"/>
        </w:rPr>
        <w:t>海行审〔20</w:t>
      </w:r>
      <w:r>
        <w:rPr>
          <w:rFonts w:hint="eastAsia" w:cs="Times New Roman" w:eastAsiaTheme="minorEastAsia"/>
          <w:kern w:val="0"/>
          <w:sz w:val="24"/>
          <w:szCs w:val="24"/>
          <w:lang w:val="en-US" w:eastAsia="zh-CN"/>
        </w:rPr>
        <w:t>20)417</w:t>
      </w:r>
      <w:r>
        <w:rPr>
          <w:rFonts w:hint="default" w:ascii="Times New Roman" w:hAnsi="Times New Roman" w:cs="Times New Roman" w:eastAsiaTheme="minorEastAsia"/>
          <w:kern w:val="0"/>
          <w:sz w:val="24"/>
          <w:szCs w:val="24"/>
          <w:lang w:val="en-US" w:eastAsia="zh-CN"/>
        </w:rPr>
        <w:t>号</w:t>
      </w:r>
      <w:r>
        <w:rPr>
          <w:rFonts w:hint="default" w:ascii="Times New Roman" w:hAnsi="Times New Roman" w:cs="Times New Roman" w:eastAsiaTheme="minorEastAsia"/>
          <w:kern w:val="0"/>
          <w:sz w:val="24"/>
          <w:szCs w:val="24"/>
          <w:lang w:eastAsia="zh-CN"/>
        </w:rPr>
        <w:t>）。</w:t>
      </w:r>
    </w:p>
    <w:p w14:paraId="47BC87A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hint="eastAsia" w:eastAsia="宋体"/>
          <w:color w:val="auto"/>
          <w:lang w:eastAsia="zh-CN"/>
        </w:rPr>
        <w:t>海安帝洁雅家具有限公司</w:t>
      </w:r>
      <w:r>
        <w:rPr>
          <w:rFonts w:hint="eastAsia" w:eastAsia="宋体"/>
          <w:color w:val="auto"/>
          <w:lang w:eastAsia="zh-CN"/>
        </w:rPr>
        <w:tab/>
      </w:r>
      <w:r>
        <w:rPr>
          <w:rFonts w:hint="eastAsia" w:eastAsia="宋体"/>
          <w:color w:val="auto"/>
          <w:lang w:val="en-US" w:eastAsia="zh-CN"/>
        </w:rPr>
        <w:t>现年产7000套浴室家具、3000套厨房家具等。</w:t>
      </w:r>
      <w:r>
        <w:rPr>
          <w:rFonts w:hint="default" w:eastAsia="宋体"/>
          <w:color w:val="auto"/>
        </w:rPr>
        <w:t>公司目前</w:t>
      </w:r>
      <w:r>
        <w:rPr>
          <w:rFonts w:hint="eastAsia" w:eastAsia="宋体"/>
          <w:color w:val="auto"/>
          <w:lang w:val="en-US" w:eastAsia="zh-CN"/>
        </w:rPr>
        <w:t>劳动定员10</w:t>
      </w:r>
      <w:r>
        <w:rPr>
          <w:rFonts w:hint="default" w:eastAsia="宋体"/>
          <w:color w:val="auto"/>
        </w:rPr>
        <w:t>人，全年运行</w:t>
      </w:r>
      <w:r>
        <w:rPr>
          <w:rFonts w:hint="eastAsia" w:eastAsia="宋体"/>
          <w:color w:val="auto"/>
          <w:lang w:val="en-US" w:eastAsia="zh-CN"/>
        </w:rPr>
        <w:t>300</w:t>
      </w:r>
      <w:r>
        <w:rPr>
          <w:rFonts w:hint="default" w:eastAsia="宋体"/>
          <w:color w:val="auto"/>
        </w:rPr>
        <w:t>天</w:t>
      </w:r>
      <w:r>
        <w:rPr>
          <w:rFonts w:hint="eastAsia" w:eastAsia="宋体"/>
          <w:color w:val="auto"/>
          <w:lang w:eastAsia="zh-CN"/>
        </w:rPr>
        <w:t>，</w:t>
      </w:r>
      <w:r>
        <w:rPr>
          <w:rFonts w:hint="eastAsia" w:eastAsia="宋体"/>
          <w:color w:val="auto"/>
          <w:lang w:val="en-US" w:eastAsia="zh-CN"/>
        </w:rPr>
        <w:t>每班工作8小时，年产时数2400h/a</w:t>
      </w:r>
      <w:r>
        <w:rPr>
          <w:rFonts w:eastAsia="宋体"/>
          <w:color w:val="auto"/>
        </w:rPr>
        <w:t>。</w:t>
      </w:r>
      <w:r>
        <w:rPr>
          <w:rFonts w:hint="eastAsia" w:eastAsia="宋体"/>
          <w:color w:val="auto"/>
          <w:lang w:eastAsia="zh-CN"/>
        </w:rPr>
        <w:t>海安帝洁雅家具有限公司</w:t>
      </w:r>
      <w:r>
        <w:rPr>
          <w:rFonts w:hint="eastAsia" w:eastAsia="宋体"/>
          <w:color w:val="auto"/>
          <w:lang w:eastAsia="zh-CN"/>
        </w:rPr>
        <w:tab/>
      </w:r>
      <w:r>
        <w:rPr>
          <w:rFonts w:hint="eastAsia" w:eastAsia="宋体"/>
          <w:color w:val="auto"/>
          <w:lang w:val="en-US" w:eastAsia="zh-CN"/>
        </w:rPr>
        <w:t>于2022年首次编制完成应急预案，并通过了南通市海安生态环境局备案，根据《企事业单位突发环境事件应急预案备案管理办法（试行）》要求至少每三年对环境应急预案进行一次回顾性评估，本次应急预案为修编。</w:t>
      </w:r>
    </w:p>
    <w:bookmarkEnd w:id="6"/>
    <w:p w14:paraId="521BE3A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根据《关于印发</w:t>
      </w:r>
      <w:r>
        <w:rPr>
          <w:rFonts w:hint="eastAsia" w:eastAsia="宋体"/>
          <w:color w:val="auto"/>
          <w:lang w:eastAsia="zh-CN"/>
        </w:rPr>
        <w:t>〈</w:t>
      </w:r>
      <w:r>
        <w:rPr>
          <w:rFonts w:eastAsia="宋体"/>
          <w:color w:val="auto"/>
        </w:rPr>
        <w:t>企业事业单位突发环境事件应急预案备案管理办法（试行）</w:t>
      </w:r>
      <w:r>
        <w:rPr>
          <w:rFonts w:hint="eastAsia" w:eastAsia="宋体"/>
          <w:color w:val="auto"/>
          <w:lang w:eastAsia="zh-CN"/>
        </w:rPr>
        <w:t>〉</w:t>
      </w:r>
      <w:r>
        <w:rPr>
          <w:rFonts w:eastAsia="宋体"/>
          <w:color w:val="auto"/>
        </w:rPr>
        <w:t>的通知》（环发</w:t>
      </w:r>
      <w:r>
        <w:rPr>
          <w:rFonts w:hint="eastAsia" w:eastAsia="宋体"/>
          <w:color w:val="auto"/>
          <w:lang w:eastAsia="zh-CN"/>
        </w:rPr>
        <w:t>〔</w:t>
      </w:r>
      <w:r>
        <w:rPr>
          <w:rFonts w:eastAsia="宋体"/>
          <w:color w:val="auto"/>
        </w:rPr>
        <w:t>2015</w:t>
      </w:r>
      <w:r>
        <w:rPr>
          <w:rFonts w:hint="eastAsia" w:eastAsia="宋体"/>
          <w:color w:val="auto"/>
          <w:lang w:eastAsia="zh-CN"/>
        </w:rPr>
        <w:t>〕</w:t>
      </w:r>
      <w:r>
        <w:rPr>
          <w:rFonts w:eastAsia="宋体"/>
          <w:color w:val="auto"/>
        </w:rPr>
        <w:t>4号）、《突发环境事件应急管理办法》（环保部令第34号）、《关于印发</w:t>
      </w:r>
      <w:r>
        <w:rPr>
          <w:rFonts w:hint="eastAsia" w:eastAsia="宋体"/>
          <w:color w:val="auto"/>
          <w:lang w:eastAsia="zh-CN"/>
        </w:rPr>
        <w:t>〈</w:t>
      </w:r>
      <w:r>
        <w:rPr>
          <w:rFonts w:eastAsia="宋体"/>
          <w:color w:val="auto"/>
        </w:rPr>
        <w:t>南通市企业事业单位突发环境事件应急预案备案管理制度</w:t>
      </w:r>
      <w:r>
        <w:rPr>
          <w:rFonts w:hint="eastAsia" w:eastAsia="宋体"/>
          <w:color w:val="auto"/>
          <w:lang w:eastAsia="zh-CN"/>
        </w:rPr>
        <w:t>〉</w:t>
      </w:r>
      <w:r>
        <w:rPr>
          <w:rFonts w:eastAsia="宋体"/>
          <w:color w:val="auto"/>
        </w:rPr>
        <w:t>的通知》（通环办</w:t>
      </w:r>
      <w:r>
        <w:rPr>
          <w:rFonts w:hint="eastAsia" w:eastAsia="宋体"/>
          <w:color w:val="auto"/>
          <w:lang w:eastAsia="zh-CN"/>
        </w:rPr>
        <w:t>〔</w:t>
      </w:r>
      <w:r>
        <w:rPr>
          <w:rFonts w:eastAsia="宋体"/>
          <w:color w:val="auto"/>
        </w:rPr>
        <w:t>2016</w:t>
      </w:r>
      <w:r>
        <w:rPr>
          <w:rFonts w:hint="eastAsia" w:eastAsia="宋体"/>
          <w:color w:val="auto"/>
          <w:lang w:eastAsia="zh-CN"/>
        </w:rPr>
        <w:t>〕</w:t>
      </w:r>
      <w:r>
        <w:rPr>
          <w:rFonts w:eastAsia="宋体"/>
          <w:color w:val="auto"/>
        </w:rPr>
        <w:t>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p w14:paraId="0533BCC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rPr>
      </w:pPr>
      <w:r>
        <w:rPr>
          <w:rFonts w:eastAsia="宋体"/>
          <w:color w:val="auto"/>
        </w:rPr>
        <w:t>公司专门成立了工作组，在对</w:t>
      </w:r>
      <w:r>
        <w:rPr>
          <w:rFonts w:hint="eastAsia" w:eastAsia="宋体"/>
          <w:color w:val="auto"/>
        </w:rPr>
        <w:t>公司</w:t>
      </w:r>
      <w:r>
        <w:rPr>
          <w:rFonts w:eastAsia="宋体"/>
          <w:color w:val="auto"/>
        </w:rPr>
        <w:t>生产项目进行现场勘查及相关资料收集、整理和研究的基础上，根据《企业突发环境事件风险评估指南（试行）</w:t>
      </w:r>
      <w:r>
        <w:rPr>
          <w:rFonts w:hint="eastAsia" w:eastAsia="宋体"/>
          <w:color w:val="auto"/>
          <w:lang w:eastAsia="zh-CN"/>
        </w:rPr>
        <w:t>》《</w:t>
      </w:r>
      <w:r>
        <w:rPr>
          <w:rFonts w:eastAsia="宋体"/>
          <w:color w:val="auto"/>
        </w:rPr>
        <w:t>企业突发环境事件风险分级方法》（HJ941-2018）的要求，编制</w:t>
      </w:r>
      <w:r>
        <w:rPr>
          <w:rFonts w:hint="eastAsia" w:ascii="宋体" w:hAnsi="宋体" w:eastAsia="宋体" w:cs="宋体"/>
          <w:color w:val="auto"/>
        </w:rPr>
        <w:t>完成了本风险评估报告。</w:t>
      </w:r>
    </w:p>
    <w:p w14:paraId="40360D28">
      <w:pPr>
        <w:rPr>
          <w:rFonts w:ascii="宋体" w:hAnsi="宋体" w:eastAsia="宋体" w:cs="宋体"/>
        </w:rPr>
      </w:pPr>
      <w:r>
        <w:rPr>
          <w:rFonts w:hint="eastAsia" w:ascii="宋体" w:hAnsi="宋体" w:eastAsia="宋体" w:cs="宋体"/>
        </w:rPr>
        <w:br w:type="page"/>
      </w:r>
    </w:p>
    <w:p w14:paraId="1529741A">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7" w:name="_Toc8177"/>
      <w:bookmarkStart w:id="8" w:name="_Toc18595"/>
      <w:bookmarkStart w:id="9" w:name="_Toc19219"/>
      <w:r>
        <w:rPr>
          <w:rFonts w:eastAsia="宋体"/>
          <w:sz w:val="24"/>
          <w:szCs w:val="24"/>
        </w:rPr>
        <w:t>2总则</w:t>
      </w:r>
      <w:bookmarkEnd w:id="7"/>
      <w:bookmarkEnd w:id="8"/>
      <w:bookmarkEnd w:id="9"/>
    </w:p>
    <w:p w14:paraId="06575E6B">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10" w:name="_Toc31464"/>
      <w:bookmarkStart w:id="11" w:name="_Toc19570"/>
      <w:bookmarkStart w:id="12" w:name="_Toc20253"/>
      <w:r>
        <w:rPr>
          <w:rFonts w:eastAsia="宋体"/>
          <w:sz w:val="24"/>
          <w:szCs w:val="24"/>
        </w:rPr>
        <w:t>2.1编制原则</w:t>
      </w:r>
      <w:bookmarkEnd w:id="10"/>
      <w:bookmarkEnd w:id="11"/>
      <w:bookmarkEnd w:id="12"/>
    </w:p>
    <w:p w14:paraId="482AAE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本评估报告的编制遵循以下几点原则：</w:t>
      </w:r>
    </w:p>
    <w:p w14:paraId="47F891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（1）全面、细致地进行现状调查。</w:t>
      </w:r>
    </w:p>
    <w:p w14:paraId="126413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（2）科学、客观地进行评估，如实反映企业的环境风险水平。</w:t>
      </w:r>
    </w:p>
    <w:p w14:paraId="22D0C5D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（3）对照</w:t>
      </w:r>
      <w:r>
        <w:rPr>
          <w:rFonts w:hint="eastAsia" w:eastAsia="宋体"/>
        </w:rPr>
        <w:t>《企业突发环境事件风险评估指南（试行）</w:t>
      </w:r>
      <w:r>
        <w:rPr>
          <w:rFonts w:hint="eastAsia" w:eastAsia="宋体"/>
          <w:lang w:eastAsia="zh-CN"/>
        </w:rPr>
        <w:t>》《</w:t>
      </w:r>
      <w:r>
        <w:rPr>
          <w:rFonts w:eastAsia="宋体"/>
        </w:rPr>
        <w:t>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14:paraId="61A7BD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b/>
        </w:rPr>
      </w:pPr>
      <w:r>
        <w:rPr>
          <w:rFonts w:eastAsia="宋体"/>
        </w:rPr>
        <w:t>（4）评估报告的内容和格式必须符合规范要求。</w:t>
      </w:r>
    </w:p>
    <w:p w14:paraId="26A04947">
      <w:pPr>
        <w:pStyle w:val="3"/>
        <w:adjustRightInd w:val="0"/>
        <w:snapToGrid w:val="0"/>
        <w:spacing w:line="500" w:lineRule="exact"/>
        <w:rPr>
          <w:rFonts w:eastAsia="宋体"/>
          <w:sz w:val="24"/>
          <w:szCs w:val="24"/>
        </w:rPr>
      </w:pPr>
      <w:bookmarkStart w:id="13" w:name="_Toc1839"/>
      <w:bookmarkStart w:id="14" w:name="_Toc27964"/>
      <w:bookmarkStart w:id="15" w:name="_Toc21056"/>
      <w:r>
        <w:rPr>
          <w:rFonts w:eastAsia="宋体"/>
          <w:sz w:val="24"/>
          <w:szCs w:val="24"/>
        </w:rPr>
        <w:t>2.2编制依据</w:t>
      </w:r>
      <w:bookmarkEnd w:id="13"/>
      <w:bookmarkEnd w:id="14"/>
      <w:bookmarkEnd w:id="15"/>
    </w:p>
    <w:p w14:paraId="71FBAB6B">
      <w:pPr>
        <w:pStyle w:val="5"/>
        <w:adjustRightInd w:val="0"/>
        <w:snapToGrid w:val="0"/>
        <w:spacing w:line="500" w:lineRule="exact"/>
        <w:rPr>
          <w:rFonts w:eastAsia="宋体"/>
          <w:sz w:val="24"/>
          <w:szCs w:val="24"/>
        </w:rPr>
      </w:pPr>
      <w:bookmarkStart w:id="16" w:name="_Toc28089"/>
      <w:bookmarkStart w:id="17" w:name="_Toc11371"/>
      <w:bookmarkStart w:id="18" w:name="_Toc19349"/>
      <w:r>
        <w:rPr>
          <w:rFonts w:eastAsia="宋体"/>
          <w:sz w:val="24"/>
          <w:szCs w:val="24"/>
        </w:rPr>
        <w:t>2.2.1政策法规</w:t>
      </w:r>
      <w:bookmarkEnd w:id="16"/>
      <w:bookmarkEnd w:id="17"/>
      <w:bookmarkEnd w:id="18"/>
    </w:p>
    <w:p w14:paraId="43EBB1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bookmarkStart w:id="19" w:name="_Toc499034377"/>
      <w:r>
        <w:rPr>
          <w:rFonts w:eastAsia="宋体"/>
        </w:rPr>
        <w:t>（1）《中华人民共和国环境保护法》（中华人民共和国第十二届全国人民代表大会常务委员会第八次会议于2014年4月24日修订通过，自2015年1月1日起施行）；</w:t>
      </w:r>
    </w:p>
    <w:p w14:paraId="2FB52E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（2）《中华人民共和国突发事件应对法》（国家主席令第69号，2007年8月30日通过，2007年11月1日起施行）；</w:t>
      </w:r>
    </w:p>
    <w:p w14:paraId="41E45C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（3）《中华人民共和国安全生产法》（中华人民共和国第十</w:t>
      </w:r>
      <w:r>
        <w:rPr>
          <w:rFonts w:hint="eastAsia" w:eastAsia="宋体"/>
          <w:lang w:val="en-US" w:eastAsia="zh-CN"/>
        </w:rPr>
        <w:t>三</w:t>
      </w:r>
      <w:r>
        <w:rPr>
          <w:rFonts w:eastAsia="宋体"/>
        </w:rPr>
        <w:t>届全国人民代表大会常务委员会第</w:t>
      </w:r>
      <w:r>
        <w:rPr>
          <w:rFonts w:hint="eastAsia" w:eastAsia="宋体"/>
          <w:lang w:val="en-US" w:eastAsia="zh-CN"/>
        </w:rPr>
        <w:t>二十九</w:t>
      </w:r>
      <w:r>
        <w:rPr>
          <w:rFonts w:eastAsia="宋体"/>
        </w:rPr>
        <w:t>次会议于20</w:t>
      </w:r>
      <w:r>
        <w:rPr>
          <w:rFonts w:hint="eastAsia" w:eastAsia="宋体"/>
          <w:lang w:val="en-US" w:eastAsia="zh-CN"/>
        </w:rPr>
        <w:t>21</w:t>
      </w:r>
      <w:r>
        <w:rPr>
          <w:rFonts w:eastAsia="宋体"/>
        </w:rPr>
        <w:t>年</w:t>
      </w:r>
      <w:r>
        <w:rPr>
          <w:rFonts w:hint="eastAsia" w:eastAsia="宋体"/>
          <w:lang w:val="en-US" w:eastAsia="zh-CN"/>
        </w:rPr>
        <w:t>6</w:t>
      </w:r>
      <w:r>
        <w:rPr>
          <w:rFonts w:eastAsia="宋体"/>
        </w:rPr>
        <w:t>月</w:t>
      </w:r>
      <w:r>
        <w:rPr>
          <w:rFonts w:hint="eastAsia" w:eastAsia="宋体"/>
          <w:lang w:val="en-US" w:eastAsia="zh-CN"/>
        </w:rPr>
        <w:t>10</w:t>
      </w:r>
      <w:r>
        <w:rPr>
          <w:rFonts w:eastAsia="宋体"/>
        </w:rPr>
        <w:t>日修订通过，自20</w:t>
      </w:r>
      <w:r>
        <w:rPr>
          <w:rFonts w:hint="eastAsia" w:eastAsia="宋体"/>
          <w:lang w:val="en-US" w:eastAsia="zh-CN"/>
        </w:rPr>
        <w:t>21</w:t>
      </w:r>
      <w:r>
        <w:rPr>
          <w:rFonts w:eastAsia="宋体"/>
        </w:rPr>
        <w:t>年</w:t>
      </w:r>
      <w:r>
        <w:rPr>
          <w:rFonts w:hint="eastAsia" w:eastAsia="宋体"/>
          <w:lang w:val="en-US" w:eastAsia="zh-CN"/>
        </w:rPr>
        <w:t>9</w:t>
      </w:r>
      <w:r>
        <w:rPr>
          <w:rFonts w:eastAsia="宋体"/>
        </w:rPr>
        <w:t>月1日起施行）；</w:t>
      </w:r>
    </w:p>
    <w:p w14:paraId="02DA587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（4）《中华人民共和国消防法》（国家主席令第6号，2009年5月1日起施行，</w:t>
      </w:r>
      <w:bookmarkStart w:id="20" w:name="_Hlk25619302"/>
      <w:r>
        <w:rPr>
          <w:rFonts w:eastAsia="宋体"/>
        </w:rPr>
        <w:t>20</w:t>
      </w:r>
      <w:r>
        <w:rPr>
          <w:rFonts w:hint="eastAsia" w:eastAsia="宋体"/>
          <w:lang w:val="en-US" w:eastAsia="zh-CN"/>
        </w:rPr>
        <w:t>21年4月29日</w:t>
      </w:r>
      <w:bookmarkEnd w:id="20"/>
      <w:r>
        <w:rPr>
          <w:rFonts w:hint="eastAsia" w:eastAsia="宋体"/>
          <w:lang w:val="en-US" w:eastAsia="zh-CN"/>
        </w:rPr>
        <w:t>第三次修正</w:t>
      </w:r>
      <w:r>
        <w:rPr>
          <w:rFonts w:eastAsia="宋体"/>
        </w:rPr>
        <w:t>）；</w:t>
      </w:r>
    </w:p>
    <w:p w14:paraId="5144BD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（5）《</w:t>
      </w:r>
      <w:r>
        <w:rPr>
          <w:rFonts w:hint="eastAsia" w:eastAsia="宋体"/>
        </w:rPr>
        <w:t>化学物质</w:t>
      </w:r>
      <w:r>
        <w:rPr>
          <w:rFonts w:eastAsia="宋体"/>
        </w:rPr>
        <w:t>安全管理条例》（</w:t>
      </w:r>
      <w:r>
        <w:rPr>
          <w:rFonts w:eastAsia="宋体"/>
          <w:kern w:val="0"/>
          <w:szCs w:val="28"/>
        </w:rPr>
        <w:t>国务院令第645号，2013年12月4日修订，2013年12月7日起施行</w:t>
      </w:r>
      <w:r>
        <w:rPr>
          <w:rFonts w:eastAsia="宋体"/>
        </w:rPr>
        <w:t>）；</w:t>
      </w:r>
    </w:p>
    <w:p w14:paraId="519294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（6）《中华人民共和国水污染防治法》（2017年6月27日修订，2018年1月1日起施行）；</w:t>
      </w:r>
    </w:p>
    <w:p w14:paraId="6BBA2D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（7）《中华人民共和国噪声污染防治法》（</w:t>
      </w:r>
      <w:r>
        <w:rPr>
          <w:rFonts w:hint="default" w:ascii="Times New Roman" w:hAnsi="Times New Roman" w:cs="Times New Roman" w:eastAsiaTheme="minorEastAsia"/>
          <w:color w:val="auto"/>
          <w:kern w:val="0"/>
          <w:sz w:val="24"/>
          <w:szCs w:val="24"/>
          <w:highlight w:val="none"/>
        </w:rPr>
        <w:t>国家主席令</w:t>
      </w:r>
      <w:r>
        <w:rPr>
          <w:rFonts w:hint="eastAsia" w:ascii="Times New Roman" w:hAnsi="Times New Roman" w:cs="Times New Roman" w:eastAsiaTheme="minorEastAsia"/>
          <w:color w:val="auto"/>
          <w:kern w:val="0"/>
          <w:sz w:val="24"/>
          <w:szCs w:val="24"/>
          <w:highlight w:val="none"/>
          <w:lang w:val="en-US" w:eastAsia="zh-CN"/>
        </w:rPr>
        <w:t>104</w:t>
      </w:r>
      <w:r>
        <w:rPr>
          <w:rFonts w:hint="default" w:ascii="Times New Roman" w:hAnsi="Times New Roman" w:cs="Times New Roman" w:eastAsiaTheme="minorEastAsia"/>
          <w:color w:val="auto"/>
          <w:kern w:val="0"/>
          <w:sz w:val="24"/>
          <w:szCs w:val="24"/>
          <w:highlight w:val="none"/>
        </w:rPr>
        <w:t>号，</w:t>
      </w:r>
      <w:r>
        <w:rPr>
          <w:rFonts w:hint="eastAsia" w:ascii="Times New Roman" w:hAnsi="Times New Roman" w:cs="Times New Roman" w:eastAsiaTheme="minorEastAsia"/>
          <w:color w:val="auto"/>
          <w:kern w:val="0"/>
          <w:sz w:val="24"/>
          <w:szCs w:val="24"/>
          <w:highlight w:val="none"/>
          <w:lang w:val="en-US" w:eastAsia="zh-CN"/>
        </w:rPr>
        <w:t>2021年12月24日通过修改，</w:t>
      </w:r>
      <w:r>
        <w:rPr>
          <w:rFonts w:hint="eastAsia" w:cs="Times New Roman" w:eastAsiaTheme="minorEastAsia"/>
          <w:color w:val="auto"/>
          <w:kern w:val="0"/>
          <w:sz w:val="24"/>
          <w:szCs w:val="24"/>
          <w:highlight w:val="none"/>
          <w:lang w:val="en-US" w:eastAsia="zh-CN"/>
        </w:rPr>
        <w:t>2025</w:t>
      </w:r>
      <w:r>
        <w:rPr>
          <w:rFonts w:hint="eastAsia" w:ascii="Times New Roman" w:hAnsi="Times New Roman" w:cs="Times New Roman" w:eastAsiaTheme="minorEastAsia"/>
          <w:color w:val="auto"/>
          <w:kern w:val="0"/>
          <w:sz w:val="24"/>
          <w:szCs w:val="24"/>
          <w:highlight w:val="none"/>
          <w:lang w:val="en-US" w:eastAsia="zh-CN"/>
        </w:rPr>
        <w:t>年6月5日起实施</w:t>
      </w:r>
      <w:r>
        <w:rPr>
          <w:rFonts w:eastAsia="宋体"/>
        </w:rPr>
        <w:t>）；</w:t>
      </w:r>
    </w:p>
    <w:p w14:paraId="3DAE05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（8）《中华人民共和国固体废物污染环境防治法》（</w:t>
      </w:r>
      <w:r>
        <w:rPr>
          <w:rFonts w:eastAsia="宋体"/>
          <w:kern w:val="0"/>
          <w:szCs w:val="28"/>
        </w:rPr>
        <w:t>2020年9月1日施行</w:t>
      </w:r>
      <w:r>
        <w:rPr>
          <w:rFonts w:eastAsia="宋体"/>
        </w:rPr>
        <w:t>）；</w:t>
      </w:r>
    </w:p>
    <w:p w14:paraId="7CDB91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（9）《</w:t>
      </w:r>
      <w:r>
        <w:rPr>
          <w:rFonts w:eastAsia="宋体"/>
          <w:kern w:val="0"/>
          <w:szCs w:val="28"/>
        </w:rPr>
        <w:t>中华人民共和国大气污染防治法》（</w:t>
      </w:r>
      <w:r>
        <w:rPr>
          <w:rFonts w:hint="eastAsia" w:eastAsia="宋体"/>
          <w:kern w:val="0"/>
          <w:szCs w:val="28"/>
          <w:lang w:eastAsia="zh-CN"/>
        </w:rPr>
        <w:t>国家</w:t>
      </w:r>
      <w:r>
        <w:rPr>
          <w:rFonts w:eastAsia="宋体"/>
          <w:kern w:val="0"/>
          <w:szCs w:val="28"/>
        </w:rPr>
        <w:t>主席令十六号，2018年10月26日施行）；</w:t>
      </w:r>
    </w:p>
    <w:p w14:paraId="2AAE30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（10）《国务院关于加强环境保护重点工作的意见》（国发〔2011〕35号）；</w:t>
      </w:r>
    </w:p>
    <w:p w14:paraId="3A7007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lang w:eastAsia="zh-CN"/>
        </w:rPr>
      </w:pPr>
      <w:r>
        <w:rPr>
          <w:rFonts w:eastAsia="宋体"/>
        </w:rPr>
        <w:t>（11）《</w:t>
      </w:r>
      <w:r>
        <w:rPr>
          <w:rFonts w:eastAsia="宋体"/>
          <w:kern w:val="0"/>
          <w:szCs w:val="28"/>
        </w:rPr>
        <w:t>生产安全事故应急预</w:t>
      </w:r>
      <w:r>
        <w:rPr>
          <w:rFonts w:eastAsia="宋体"/>
        </w:rPr>
        <w:t>案管理办法》（国家安全生产监督管理总局令第88号，2016年7月1日施行）；</w:t>
      </w:r>
    </w:p>
    <w:p w14:paraId="4DD459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（12）《突发环境事件信息报告办法》（环境保护部令第17号，2011年5月1日起施行）；</w:t>
      </w:r>
    </w:p>
    <w:p w14:paraId="11BC01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（13）《突发环境事件应急管理办法》（环保部令第34号，2015年6月5日起施行）；</w:t>
      </w:r>
    </w:p>
    <w:p w14:paraId="374C76E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（14）《</w:t>
      </w:r>
      <w:r>
        <w:rPr>
          <w:rFonts w:hint="eastAsia" w:eastAsia="宋体"/>
          <w:lang w:val="en-US" w:eastAsia="zh-CN"/>
        </w:rPr>
        <w:t>危险化学品名录</w:t>
      </w:r>
      <w:r>
        <w:rPr>
          <w:rFonts w:eastAsia="宋体"/>
        </w:rPr>
        <w:t>》（201</w:t>
      </w:r>
      <w:r>
        <w:rPr>
          <w:rFonts w:hint="eastAsia" w:eastAsia="宋体"/>
          <w:lang w:val="en-US" w:eastAsia="zh-CN"/>
        </w:rPr>
        <w:t>5</w:t>
      </w:r>
      <w:r>
        <w:rPr>
          <w:rFonts w:eastAsia="宋体"/>
        </w:rPr>
        <w:t>版）；</w:t>
      </w:r>
    </w:p>
    <w:p w14:paraId="7810A5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（15）《国家危险废物名录</w:t>
      </w:r>
      <w:r>
        <w:rPr>
          <w:rFonts w:hint="eastAsia" w:eastAsia="宋体"/>
          <w:lang w:eastAsia="zh-CN"/>
        </w:rPr>
        <w:t>（</w:t>
      </w:r>
      <w:r>
        <w:rPr>
          <w:rFonts w:eastAsia="宋体"/>
        </w:rPr>
        <w:t>2021年版</w:t>
      </w:r>
      <w:r>
        <w:rPr>
          <w:rFonts w:hint="eastAsia" w:eastAsia="宋体"/>
          <w:lang w:eastAsia="zh-CN"/>
        </w:rPr>
        <w:t>）</w:t>
      </w:r>
      <w:r>
        <w:rPr>
          <w:rFonts w:eastAsia="宋体"/>
        </w:rPr>
        <w:t>》（</w:t>
      </w:r>
      <w:r>
        <w:rPr>
          <w:rFonts w:hint="eastAsia" w:eastAsia="宋体"/>
          <w:lang w:val="en-US" w:eastAsia="zh-CN"/>
        </w:rPr>
        <w:t>自</w:t>
      </w:r>
      <w:r>
        <w:rPr>
          <w:rFonts w:eastAsia="宋体"/>
        </w:rPr>
        <w:t>2021年1月1日起施行）；</w:t>
      </w:r>
    </w:p>
    <w:p w14:paraId="610177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（16）《重点监管的</w:t>
      </w:r>
      <w:r>
        <w:rPr>
          <w:rFonts w:hint="eastAsia" w:eastAsia="宋体"/>
        </w:rPr>
        <w:t>化学物质</w:t>
      </w:r>
      <w:r>
        <w:rPr>
          <w:rFonts w:eastAsia="宋体"/>
        </w:rPr>
        <w:t>名录》（2013年完整版）；</w:t>
      </w:r>
    </w:p>
    <w:p w14:paraId="2B09FF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（17）《关于进一步加强环境影响评价管</w:t>
      </w:r>
      <w:r>
        <w:rPr>
          <w:rFonts w:hint="eastAsia" w:eastAsia="宋体"/>
          <w:lang w:eastAsia="zh-CN"/>
        </w:rPr>
        <w:t>理和</w:t>
      </w:r>
      <w:r>
        <w:rPr>
          <w:rFonts w:eastAsia="宋体"/>
        </w:rPr>
        <w:t>防范环境风险的通知》</w:t>
      </w:r>
      <w:r>
        <w:rPr>
          <w:rFonts w:hint="eastAsia" w:eastAsia="宋体"/>
          <w:lang w:eastAsia="zh-CN"/>
        </w:rPr>
        <w:t>（</w:t>
      </w:r>
      <w:r>
        <w:rPr>
          <w:rFonts w:eastAsia="宋体"/>
        </w:rPr>
        <w:t>国家环保总局，环发〔2012〕77号</w:t>
      </w:r>
      <w:r>
        <w:rPr>
          <w:rFonts w:hint="eastAsia" w:eastAsia="宋体"/>
          <w:lang w:eastAsia="zh-CN"/>
        </w:rPr>
        <w:t>）</w:t>
      </w:r>
      <w:r>
        <w:rPr>
          <w:rFonts w:eastAsia="宋体"/>
        </w:rPr>
        <w:t>；</w:t>
      </w:r>
    </w:p>
    <w:p w14:paraId="1D0F0D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（18）《</w:t>
      </w:r>
      <w:r>
        <w:rPr>
          <w:rFonts w:hint="eastAsia" w:eastAsia="宋体"/>
          <w:lang w:eastAsia="zh-CN"/>
        </w:rPr>
        <w:t>危险化学品事故应急救援指挥导则</w:t>
      </w:r>
      <w:r>
        <w:rPr>
          <w:rFonts w:eastAsia="宋体"/>
        </w:rPr>
        <w:t>》（AQ/T3052-2015）；</w:t>
      </w:r>
    </w:p>
    <w:p w14:paraId="554384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（19）</w:t>
      </w:r>
      <w:r>
        <w:rPr>
          <w:rFonts w:hint="default" w:ascii="Times New Roman" w:hAnsi="Times New Roman" w:cs="Times New Roman" w:eastAsiaTheme="minorEastAsia"/>
          <w:kern w:val="0"/>
          <w:sz w:val="24"/>
          <w:szCs w:val="24"/>
        </w:rPr>
        <w:t>《企事业单位和工业园区突发环境事件应急预案编制导则》（DB32/T3795-2020）</w:t>
      </w:r>
      <w:r>
        <w:rPr>
          <w:rFonts w:eastAsia="宋体"/>
        </w:rPr>
        <w:t>；</w:t>
      </w:r>
    </w:p>
    <w:p w14:paraId="6A3F05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lang w:val="en-US" w:eastAsia="zh-CN"/>
        </w:rPr>
      </w:pPr>
      <w:r>
        <w:rPr>
          <w:rFonts w:eastAsia="宋体"/>
        </w:rPr>
        <w:t>（</w:t>
      </w:r>
      <w:r>
        <w:rPr>
          <w:rFonts w:hint="eastAsia" w:eastAsia="宋体"/>
          <w:lang w:val="en-US" w:eastAsia="zh-CN"/>
        </w:rPr>
        <w:t>20</w:t>
      </w:r>
      <w:r>
        <w:rPr>
          <w:rFonts w:eastAsia="宋体"/>
        </w:rPr>
        <w:t>）</w:t>
      </w:r>
      <w:r>
        <w:rPr>
          <w:rFonts w:hint="eastAsia" w:eastAsia="宋体"/>
          <w:lang w:val="en-US" w:eastAsia="zh-CN"/>
        </w:rPr>
        <w:t>江苏省突发环境事件应急预案管理办法（苏环发[2023]7号；</w:t>
      </w:r>
    </w:p>
    <w:p w14:paraId="08F456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rPr>
      </w:pPr>
      <w:r>
        <w:rPr>
          <w:rFonts w:eastAsia="宋体"/>
        </w:rPr>
        <w:t>（</w:t>
      </w:r>
      <w:r>
        <w:rPr>
          <w:rFonts w:hint="eastAsia" w:eastAsia="宋体"/>
          <w:lang w:val="en-US" w:eastAsia="zh-CN"/>
        </w:rPr>
        <w:t>21</w:t>
      </w:r>
      <w:r>
        <w:rPr>
          <w:rFonts w:eastAsia="宋体"/>
        </w:rPr>
        <w:t>）</w:t>
      </w:r>
      <w:r>
        <w:rPr>
          <w:rFonts w:hint="eastAsia" w:eastAsia="宋体"/>
        </w:rPr>
        <w:t>国务院办公厅关于印发《突发事件应急预案管理办法》的通知</w:t>
      </w:r>
    </w:p>
    <w:p w14:paraId="0F5660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eastAsia="宋体"/>
        </w:rPr>
        <w:t>（</w:t>
      </w:r>
      <w:r>
        <w:rPr>
          <w:rFonts w:hint="eastAsia" w:eastAsia="宋体"/>
          <w:lang w:val="en-US" w:eastAsia="zh-CN"/>
        </w:rPr>
        <w:t>22</w:t>
      </w:r>
      <w:r>
        <w:rPr>
          <w:rFonts w:eastAsia="宋体"/>
        </w:rPr>
        <w:t>）</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rPr>
        <w:t>江苏省固体废物全过程环境监管工作意见》（苏环办〔</w:t>
      </w:r>
      <w:r>
        <w:rPr>
          <w:rFonts w:hint="eastAsia" w:cs="Times New Roman" w:eastAsiaTheme="minorEastAsia"/>
          <w:color w:val="auto"/>
          <w:kern w:val="0"/>
          <w:sz w:val="24"/>
          <w:szCs w:val="24"/>
          <w:highlight w:val="none"/>
          <w:lang w:eastAsia="zh-CN"/>
        </w:rPr>
        <w:t>2025</w:t>
      </w:r>
      <w:r>
        <w:rPr>
          <w:rFonts w:hint="eastAsia" w:ascii="Times New Roman" w:hAnsi="Times New Roman" w:cs="Times New Roman" w:eastAsiaTheme="minorEastAsia"/>
          <w:color w:val="auto"/>
          <w:kern w:val="0"/>
          <w:sz w:val="24"/>
          <w:szCs w:val="24"/>
          <w:highlight w:val="none"/>
        </w:rPr>
        <w:t>〕16号）</w:t>
      </w:r>
    </w:p>
    <w:p w14:paraId="18E0E9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23</w:t>
      </w:r>
      <w:r>
        <w:rPr>
          <w:rFonts w:eastAsia="宋体"/>
        </w:rPr>
        <w:t>）《关于开展江苏省重点环境风险企业环境安全达标建设工作的通知》（苏环办〔2013〕321号）；</w:t>
      </w:r>
    </w:p>
    <w:p w14:paraId="60E042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w:t>
      </w:r>
      <w:r>
        <w:rPr>
          <w:rFonts w:hint="eastAsia" w:eastAsia="宋体"/>
          <w:lang w:val="en-US" w:eastAsia="zh-CN"/>
        </w:rPr>
        <w:t>4</w:t>
      </w:r>
      <w:r>
        <w:rPr>
          <w:rFonts w:eastAsia="宋体"/>
        </w:rPr>
        <w:t>）《江苏省固体废物污染环境防治条例</w:t>
      </w:r>
      <w:r>
        <w:rPr>
          <w:rFonts w:hint="eastAsia" w:eastAsia="宋体"/>
          <w:lang w:eastAsia="zh-CN"/>
        </w:rPr>
        <w:t>（</w:t>
      </w:r>
      <w:r>
        <w:rPr>
          <w:rFonts w:eastAsia="宋体"/>
        </w:rPr>
        <w:t>修改</w:t>
      </w:r>
      <w:r>
        <w:rPr>
          <w:rFonts w:hint="eastAsia" w:eastAsia="宋体"/>
          <w:lang w:eastAsia="zh-CN"/>
        </w:rPr>
        <w:t>）</w:t>
      </w:r>
      <w:r>
        <w:rPr>
          <w:rFonts w:eastAsia="宋体"/>
        </w:rPr>
        <w:t>》（省十三届人大第二次会议，2018年3月28日）；</w:t>
      </w:r>
    </w:p>
    <w:p w14:paraId="536617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25</w:t>
      </w:r>
      <w:r>
        <w:rPr>
          <w:rFonts w:eastAsia="宋体"/>
        </w:rPr>
        <w:t>）《关于印发江苏省重点环境风险企业整治与防控方案的通知》（苏环委办〔2013〕9号）；</w:t>
      </w:r>
    </w:p>
    <w:p w14:paraId="315B5A5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26</w:t>
      </w:r>
      <w:r>
        <w:rPr>
          <w:rFonts w:eastAsia="宋体"/>
        </w:rPr>
        <w:t>）《关于进一步做好全省重点环境风险企业环境安全达标建设工作的通知》（苏环办〔2014〕152号）；</w:t>
      </w:r>
    </w:p>
    <w:p w14:paraId="09508D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27</w:t>
      </w:r>
      <w:r>
        <w:rPr>
          <w:rFonts w:eastAsia="宋体"/>
        </w:rPr>
        <w:t>）《江苏省国家级生态保护红线规划》；</w:t>
      </w:r>
    </w:p>
    <w:p w14:paraId="7E622D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28</w:t>
      </w:r>
      <w:r>
        <w:rPr>
          <w:rFonts w:eastAsia="宋体"/>
        </w:rPr>
        <w:t>）《省政府关于印发江苏省生态空间管控区域规划的通知》（苏政发</w:t>
      </w:r>
      <w:r>
        <w:rPr>
          <w:rFonts w:hint="eastAsia" w:eastAsia="宋体"/>
          <w:lang w:eastAsia="zh-CN"/>
        </w:rPr>
        <w:t>〔</w:t>
      </w:r>
      <w:r>
        <w:rPr>
          <w:rFonts w:eastAsia="宋体"/>
        </w:rPr>
        <w:t>2020</w:t>
      </w:r>
      <w:r>
        <w:rPr>
          <w:rFonts w:hint="eastAsia" w:eastAsia="宋体"/>
          <w:lang w:eastAsia="zh-CN"/>
        </w:rPr>
        <w:t>〕</w:t>
      </w:r>
      <w:r>
        <w:rPr>
          <w:rFonts w:eastAsia="宋体"/>
        </w:rPr>
        <w:t>1号）；</w:t>
      </w:r>
    </w:p>
    <w:p w14:paraId="4A28C1B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29</w:t>
      </w:r>
      <w:r>
        <w:rPr>
          <w:rFonts w:eastAsia="宋体"/>
        </w:rPr>
        <w:t>）《省政府关于印发江苏省“三线一单”生态环境分区管控方案的通知》（苏政发〔2020〕49号）。</w:t>
      </w:r>
    </w:p>
    <w:p w14:paraId="204036D0">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rPr>
      </w:pPr>
      <w:bookmarkStart w:id="21" w:name="_Toc3846"/>
      <w:bookmarkStart w:id="22" w:name="_Toc1162"/>
      <w:bookmarkStart w:id="23" w:name="_Toc512608511"/>
      <w:bookmarkStart w:id="24" w:name="_Toc31049"/>
      <w:r>
        <w:rPr>
          <w:rFonts w:eastAsia="宋体"/>
        </w:rPr>
        <w:t>2.2.2标准规范</w:t>
      </w:r>
      <w:bookmarkEnd w:id="19"/>
      <w:bookmarkEnd w:id="21"/>
      <w:bookmarkEnd w:id="22"/>
      <w:bookmarkEnd w:id="23"/>
      <w:bookmarkEnd w:id="24"/>
    </w:p>
    <w:p w14:paraId="28D4C0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eastAsia="zh-CN"/>
        </w:rPr>
        <w:t>危险化学品重大危险源辨识</w:t>
      </w:r>
      <w:r>
        <w:rPr>
          <w:rFonts w:hint="default" w:ascii="Times New Roman" w:hAnsi="Times New Roman" w:eastAsia="宋体" w:cs="Times New Roman"/>
        </w:rPr>
        <w:t>》（GB18218-2018）；</w:t>
      </w:r>
    </w:p>
    <w:p w14:paraId="5377EA4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（2）《化工建设项目环境保护</w:t>
      </w:r>
      <w:r>
        <w:rPr>
          <w:rFonts w:hint="eastAsia" w:eastAsia="宋体" w:cs="Times New Roman"/>
          <w:lang w:val="en-US" w:eastAsia="zh-CN"/>
        </w:rPr>
        <w:t>工程</w:t>
      </w:r>
      <w:r>
        <w:rPr>
          <w:rFonts w:hint="default" w:ascii="Times New Roman" w:hAnsi="Times New Roman" w:eastAsia="宋体" w:cs="Times New Roman"/>
        </w:rPr>
        <w:t>设计</w:t>
      </w:r>
      <w:r>
        <w:rPr>
          <w:rFonts w:hint="eastAsia" w:eastAsia="宋体" w:cs="Times New Roman"/>
          <w:lang w:val="en-US" w:eastAsia="zh-CN"/>
        </w:rPr>
        <w:t>标准</w:t>
      </w:r>
      <w:r>
        <w:rPr>
          <w:rFonts w:hint="default" w:ascii="Times New Roman" w:hAnsi="Times New Roman" w:eastAsia="宋体" w:cs="Times New Roman"/>
        </w:rPr>
        <w:t>》（GB50483-20</w:t>
      </w:r>
      <w:r>
        <w:rPr>
          <w:rFonts w:hint="eastAsia" w:eastAsia="宋体" w:cs="Times New Roman"/>
          <w:lang w:val="en-US" w:eastAsia="zh-CN"/>
        </w:rPr>
        <w:t>1</w:t>
      </w:r>
      <w:r>
        <w:rPr>
          <w:rFonts w:hint="default" w:ascii="Times New Roman" w:hAnsi="Times New Roman" w:eastAsia="宋体" w:cs="Times New Roman"/>
        </w:rPr>
        <w:t>9）；</w:t>
      </w:r>
    </w:p>
    <w:p w14:paraId="71B9CF1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（3）《建筑设计防火规范》（GB50016-20142018年修改）；</w:t>
      </w:r>
    </w:p>
    <w:p w14:paraId="4ED28D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（4）《</w:t>
      </w:r>
      <w:r>
        <w:rPr>
          <w:rFonts w:hint="default" w:ascii="Times New Roman" w:hAnsi="Times New Roman" w:eastAsia="宋体" w:cs="Times New Roman"/>
          <w:kern w:val="0"/>
          <w:szCs w:val="28"/>
        </w:rPr>
        <w:t>危险货物品名表》（GB12268-2012）；</w:t>
      </w:r>
    </w:p>
    <w:p w14:paraId="739480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（5）《化学品分类、警示标签和警示性说明安全规程》（GB20576—GB20591）；</w:t>
      </w:r>
    </w:p>
    <w:p w14:paraId="4A9C50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（6）《环境影响评价技术导则地下水环境》（HJ610-2016）；</w:t>
      </w:r>
    </w:p>
    <w:p w14:paraId="7FF03A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（7）《环境影响评价技术导则地表水环境》（HJ2.3-2018）；</w:t>
      </w:r>
    </w:p>
    <w:p w14:paraId="3414967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（8）《环境影响评价技术导则大气环境》（HJ2.2-2018）；</w:t>
      </w:r>
    </w:p>
    <w:p w14:paraId="624A7D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（9）《建设项目环境风险评价技术导则》（HJ169-2018）；</w:t>
      </w:r>
    </w:p>
    <w:p w14:paraId="79FA1F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（10）《危险废物贮存污染控制标准》（GB18597-2023）；</w:t>
      </w:r>
    </w:p>
    <w:p w14:paraId="43B489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（11）《化学品毒性鉴定技术规范》（卫监督发〔2005〕272号）；</w:t>
      </w:r>
    </w:p>
    <w:p w14:paraId="7BCE65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（12）《重点监管的化学物质安全措施和应急处置原则》（国家安全生产监督管理总局）；</w:t>
      </w:r>
    </w:p>
    <w:p w14:paraId="7F6FA2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（13）关于印发《工业危险废物产生单位规范化管理实施指南》的通知（苏环办﹝2014﹞232号）；</w:t>
      </w:r>
    </w:p>
    <w:p w14:paraId="08F5E8BC">
      <w:pPr>
        <w:keepNext w:val="0"/>
        <w:keepLines w:val="0"/>
        <w:adjustRightInd w:val="0"/>
        <w:snapToGrid w:val="0"/>
        <w:spacing w:line="500" w:lineRule="exact"/>
        <w:ind w:firstLine="480" w:firstLineChars="200"/>
        <w:rPr>
          <w:rFonts w:hint="default"/>
        </w:rPr>
      </w:pPr>
      <w:r>
        <w:rPr>
          <w:rFonts w:hint="default" w:ascii="Times New Roman" w:hAnsi="Times New Roman" w:eastAsia="宋体" w:cs="Times New Roman"/>
        </w:rPr>
        <w:t>（1</w:t>
      </w:r>
      <w:r>
        <w:rPr>
          <w:rFonts w:hint="eastAsia" w:eastAsia="宋体" w:cs="Times New Roman"/>
          <w:lang w:val="en-US" w:eastAsia="zh-CN"/>
        </w:rPr>
        <w:t>4</w:t>
      </w:r>
      <w:r>
        <w:rPr>
          <w:rFonts w:hint="default" w:ascii="Times New Roman" w:hAnsi="Times New Roman" w:eastAsia="宋体" w:cs="Times New Roman"/>
        </w:rPr>
        <w:t>）</w:t>
      </w:r>
      <w:r>
        <w:rPr>
          <w:rFonts w:hint="eastAsia" w:ascii="宋体" w:hAnsi="宋体" w:eastAsia="宋体" w:cs="宋体"/>
          <w:lang w:eastAsia="zh-CN"/>
        </w:rPr>
        <w:t>《省生态环境厅关于进一步加强危险废物污染防治工作的实施意见》（苏环办</w:t>
      </w:r>
      <w:r>
        <w:rPr>
          <w:rFonts w:hint="default" w:ascii="Times New Roman" w:hAnsi="Times New Roman" w:eastAsia="宋体" w:cs="Times New Roman"/>
          <w:lang w:eastAsia="zh-CN"/>
        </w:rPr>
        <w:t>〔2019〕327</w:t>
      </w:r>
      <w:r>
        <w:rPr>
          <w:rFonts w:hint="eastAsia" w:ascii="宋体" w:hAnsi="宋体" w:eastAsia="宋体" w:cs="宋体"/>
          <w:lang w:eastAsia="zh-CN"/>
        </w:rPr>
        <w:t>号）；</w:t>
      </w:r>
    </w:p>
    <w:p w14:paraId="541314C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5</w:t>
      </w:r>
      <w:r>
        <w:rPr>
          <w:rFonts w:hint="default" w:ascii="Times New Roman" w:hAnsi="Times New Roman" w:eastAsia="宋体" w:cs="Times New Roman"/>
        </w:rPr>
        <w:t>）《江苏省环境安全企业建设标准（试行）》；</w:t>
      </w:r>
    </w:p>
    <w:p w14:paraId="74D6D3A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25" w:name="_Hlk13477127"/>
      <w:r>
        <w:rPr>
          <w:rFonts w:hint="default" w:ascii="Times New Roman" w:hAnsi="Times New Roman" w:eastAsia="宋体" w:cs="Times New Roman"/>
        </w:rPr>
        <w:t>（1</w:t>
      </w:r>
      <w:r>
        <w:rPr>
          <w:rFonts w:hint="eastAsia" w:eastAsia="宋体" w:cs="Times New Roman"/>
          <w:lang w:val="en-US" w:eastAsia="zh-CN"/>
        </w:rPr>
        <w:t>6</w:t>
      </w:r>
      <w:r>
        <w:rPr>
          <w:rFonts w:hint="default" w:ascii="Times New Roman" w:hAnsi="Times New Roman" w:eastAsia="宋体" w:cs="Times New Roman"/>
        </w:rPr>
        <w:t>）《环境应急资源调查指南</w:t>
      </w:r>
      <w:r>
        <w:rPr>
          <w:rFonts w:hint="eastAsia" w:eastAsia="宋体" w:cs="Times New Roman"/>
          <w:lang w:eastAsia="zh-CN"/>
        </w:rPr>
        <w:t>（</w:t>
      </w:r>
      <w:r>
        <w:rPr>
          <w:rFonts w:hint="default" w:ascii="Times New Roman" w:hAnsi="Times New Roman" w:eastAsia="宋体" w:cs="Times New Roman"/>
        </w:rPr>
        <w:t>试行</w:t>
      </w:r>
      <w:r>
        <w:rPr>
          <w:rFonts w:hint="eastAsia" w:eastAsia="宋体" w:cs="Times New Roman"/>
          <w:lang w:eastAsia="zh-CN"/>
        </w:rPr>
        <w:t>）</w:t>
      </w:r>
      <w:r>
        <w:rPr>
          <w:rFonts w:hint="default" w:ascii="Times New Roman" w:hAnsi="Times New Roman" w:eastAsia="宋体" w:cs="Times New Roman"/>
        </w:rPr>
        <w:t>》环办应急</w:t>
      </w:r>
      <w:r>
        <w:rPr>
          <w:rFonts w:hint="eastAsia" w:eastAsia="宋体" w:cs="Times New Roman"/>
          <w:lang w:eastAsia="zh-CN"/>
        </w:rPr>
        <w:t>（</w:t>
      </w:r>
      <w:r>
        <w:rPr>
          <w:rFonts w:hint="default" w:ascii="Times New Roman" w:hAnsi="Times New Roman" w:eastAsia="宋体" w:cs="Times New Roman"/>
        </w:rPr>
        <w:t>2019)17号；</w:t>
      </w:r>
    </w:p>
    <w:bookmarkEnd w:id="25"/>
    <w:p w14:paraId="44B190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eastAsia="zh-CN"/>
        </w:rPr>
      </w:pPr>
      <w:r>
        <w:rPr>
          <w:rFonts w:hint="default" w:ascii="Times New Roman" w:hAnsi="Times New Roman" w:eastAsia="宋体" w:cs="Times New Roman"/>
        </w:rPr>
        <w:t>（1</w:t>
      </w:r>
      <w:r>
        <w:rPr>
          <w:rFonts w:hint="eastAsia" w:eastAsia="宋体" w:cs="Times New Roman"/>
          <w:lang w:val="en-US" w:eastAsia="zh-CN"/>
        </w:rPr>
        <w:t>7</w:t>
      </w:r>
      <w:r>
        <w:rPr>
          <w:rFonts w:hint="default" w:ascii="Times New Roman" w:hAnsi="Times New Roman" w:eastAsia="宋体" w:cs="Times New Roman"/>
        </w:rPr>
        <w:t>）《企业突发环境事件风险分级方法》（HJ941-2018）</w:t>
      </w:r>
      <w:r>
        <w:rPr>
          <w:rFonts w:hint="eastAsia" w:eastAsia="宋体" w:cs="Times New Roman"/>
          <w:lang w:eastAsia="zh-CN"/>
        </w:rPr>
        <w:t>；</w:t>
      </w:r>
    </w:p>
    <w:p w14:paraId="1E6D13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val="en-US" w:eastAsia="zh-CN"/>
        </w:rPr>
        <w:t>（18）</w:t>
      </w:r>
      <w:r>
        <w:rPr>
          <w:rFonts w:hint="default" w:ascii="Times New Roman" w:hAnsi="Times New Roman" w:eastAsia="宋体" w:cs="Times New Roman"/>
          <w:lang w:val="en-US" w:eastAsia="zh-CN"/>
        </w:rPr>
        <w:t>《危险化学品安全管理条例》（国务院令第591号）；</w:t>
      </w:r>
    </w:p>
    <w:p w14:paraId="4F909B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val="en-US" w:eastAsia="zh-CN"/>
        </w:rPr>
      </w:pPr>
      <w:r>
        <w:rPr>
          <w:rFonts w:hint="default" w:ascii="Times New Roman" w:hAnsi="Times New Roman" w:eastAsia="宋体" w:cs="Times New Roman"/>
          <w:lang w:val="en-US" w:eastAsia="zh-CN"/>
        </w:rPr>
        <w:t>（</w:t>
      </w:r>
      <w:r>
        <w:rPr>
          <w:rFonts w:hint="eastAsia" w:eastAsia="宋体" w:cs="Times New Roman"/>
          <w:lang w:val="en-US" w:eastAsia="zh-CN"/>
        </w:rPr>
        <w:t>19</w:t>
      </w:r>
      <w:r>
        <w:rPr>
          <w:rFonts w:hint="default" w:ascii="Times New Roman" w:hAnsi="Times New Roman" w:eastAsia="宋体" w:cs="Times New Roman"/>
          <w:lang w:val="en-US" w:eastAsia="zh-CN"/>
        </w:rPr>
        <w:t>）《危险化学品登记管理办法》（国家安全生产监督管理总局局长办公会议，2012年5月21日）</w:t>
      </w:r>
      <w:r>
        <w:rPr>
          <w:rFonts w:hint="eastAsia" w:eastAsia="宋体" w:cs="Times New Roman"/>
          <w:lang w:val="en-US" w:eastAsia="zh-CN"/>
        </w:rPr>
        <w:t>；</w:t>
      </w:r>
    </w:p>
    <w:p w14:paraId="5E21DE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val="en-US" w:eastAsia="zh-CN"/>
        </w:rPr>
      </w:pPr>
      <w:r>
        <w:rPr>
          <w:rFonts w:hint="eastAsia" w:eastAsia="宋体" w:cs="Times New Roman"/>
          <w:lang w:val="en-US" w:eastAsia="zh-CN"/>
        </w:rPr>
        <w:t>（20）《危险化学品重大风险源辨识》（GB18218-2018）</w:t>
      </w:r>
    </w:p>
    <w:p w14:paraId="0603C4C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val="en-US" w:eastAsia="zh-CN"/>
        </w:rPr>
        <w:t>（</w:t>
      </w:r>
      <w:r>
        <w:rPr>
          <w:rFonts w:hint="default" w:ascii="Times New Roman" w:hAnsi="Times New Roman" w:eastAsia="宋体" w:cs="Times New Roman"/>
        </w:rPr>
        <w:t>2</w:t>
      </w:r>
      <w:r>
        <w:rPr>
          <w:rFonts w:hint="eastAsia" w:eastAsia="宋体" w:cs="Times New Roman"/>
          <w:lang w:val="en-US" w:eastAsia="zh-CN"/>
        </w:rPr>
        <w:t>1）</w:t>
      </w:r>
      <w:r>
        <w:rPr>
          <w:rFonts w:hint="default" w:ascii="Times New Roman" w:hAnsi="Times New Roman" w:eastAsia="宋体" w:cs="Times New Roman"/>
        </w:rPr>
        <w:t>《大气污染物综合排放标准》(</w:t>
      </w:r>
      <w:r>
        <w:rPr>
          <w:rFonts w:hint="default" w:ascii="Times New Roman" w:hAnsi="Times New Roman" w:eastAsia="宋体" w:cs="Times New Roman"/>
          <w:lang w:val="en-US" w:eastAsia="zh-CN"/>
        </w:rPr>
        <w:t>DB32/4041-2021</w:t>
      </w:r>
      <w:r>
        <w:rPr>
          <w:rFonts w:hint="default" w:ascii="Times New Roman" w:hAnsi="Times New Roman" w:eastAsia="宋体" w:cs="Times New Roman"/>
        </w:rPr>
        <w:t>)</w:t>
      </w:r>
    </w:p>
    <w:p w14:paraId="45508A0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eastAsia="zh-CN"/>
        </w:rPr>
        <w:t>（</w:t>
      </w:r>
      <w:r>
        <w:rPr>
          <w:rFonts w:hint="eastAsia" w:eastAsia="宋体" w:cs="Times New Roman"/>
          <w:lang w:val="en-US" w:eastAsia="zh-CN"/>
        </w:rPr>
        <w:t>22</w:t>
      </w:r>
      <w:r>
        <w:rPr>
          <w:rFonts w:hint="eastAsia" w:eastAsia="宋体" w:cs="Times New Roman"/>
          <w:lang w:eastAsia="zh-CN"/>
        </w:rPr>
        <w:t>）</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rPr>
        <w:t>表面涂装（家具制造业）挥发性有机物排放标准</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eastAsia="宋体" w:cs="Times New Roman"/>
        </w:rPr>
        <w:t>。</w:t>
      </w:r>
    </w:p>
    <w:p w14:paraId="6ABCDBEA">
      <w:pPr>
        <w:pStyle w:val="5"/>
        <w:adjustRightInd w:val="0"/>
        <w:snapToGrid w:val="0"/>
        <w:spacing w:line="500" w:lineRule="exact"/>
        <w:rPr>
          <w:rFonts w:eastAsia="宋体"/>
        </w:rPr>
      </w:pPr>
      <w:bookmarkStart w:id="26" w:name="_Toc3109"/>
      <w:bookmarkStart w:id="27" w:name="_Toc32074"/>
      <w:bookmarkStart w:id="28" w:name="_Toc1853"/>
      <w:r>
        <w:rPr>
          <w:rFonts w:eastAsia="宋体"/>
        </w:rPr>
        <w:t>2.2.3其他文件</w:t>
      </w:r>
      <w:bookmarkEnd w:id="26"/>
      <w:bookmarkEnd w:id="27"/>
      <w:bookmarkEnd w:id="28"/>
    </w:p>
    <w:p w14:paraId="4085FB9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szCs w:val="28"/>
        </w:rPr>
      </w:pPr>
      <w:r>
        <w:rPr>
          <w:rFonts w:hint="eastAsia" w:ascii="宋体" w:hAnsi="宋体" w:eastAsia="宋体" w:cs="宋体"/>
          <w:color w:val="auto"/>
          <w:kern w:val="0"/>
          <w:szCs w:val="28"/>
          <w:highlight w:val="none"/>
          <w:lang w:eastAsia="zh-CN"/>
        </w:rPr>
        <w:t>海安帝洁雅家具有限公司</w:t>
      </w:r>
      <w:r>
        <w:rPr>
          <w:rFonts w:hint="eastAsia" w:ascii="宋体" w:hAnsi="宋体" w:eastAsia="宋体" w:cs="宋体"/>
          <w:color w:val="auto"/>
          <w:kern w:val="0"/>
          <w:szCs w:val="28"/>
          <w:highlight w:val="none"/>
          <w:lang w:eastAsia="zh-CN"/>
        </w:rPr>
        <w:tab/>
      </w:r>
      <w:r>
        <w:rPr>
          <w:rFonts w:hint="default" w:ascii="Times New Roman" w:hAnsi="Times New Roman" w:cs="Times New Roman" w:eastAsiaTheme="minorEastAsia"/>
          <w:kern w:val="0"/>
          <w:lang w:val="en-US" w:eastAsia="zh-CN"/>
        </w:rPr>
        <w:t>其他文件资料。</w:t>
      </w:r>
    </w:p>
    <w:p w14:paraId="15A72DC0">
      <w:pPr>
        <w:pStyle w:val="3"/>
        <w:adjustRightInd w:val="0"/>
        <w:snapToGrid w:val="0"/>
        <w:spacing w:line="500" w:lineRule="exact"/>
        <w:rPr>
          <w:rFonts w:hint="default" w:ascii="Times New Roman" w:hAnsi="Times New Roman" w:eastAsia="宋体" w:cs="Times New Roman"/>
          <w:sz w:val="24"/>
          <w:szCs w:val="24"/>
        </w:rPr>
      </w:pPr>
      <w:bookmarkStart w:id="29" w:name="_Toc31986"/>
      <w:bookmarkStart w:id="30" w:name="_Toc20254"/>
      <w:bookmarkStart w:id="31" w:name="_Toc31581"/>
      <w:r>
        <w:rPr>
          <w:rFonts w:hint="default" w:ascii="Times New Roman" w:hAnsi="Times New Roman" w:eastAsia="宋体" w:cs="Times New Roman"/>
          <w:sz w:val="24"/>
          <w:szCs w:val="24"/>
        </w:rPr>
        <w:t>2.3评估范围</w:t>
      </w:r>
      <w:bookmarkEnd w:id="29"/>
      <w:bookmarkEnd w:id="30"/>
      <w:bookmarkEnd w:id="31"/>
    </w:p>
    <w:p w14:paraId="170E625A">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宋体"/>
          <w:i w:val="0"/>
          <w:iCs w:val="0"/>
          <w:caps w:val="0"/>
          <w:color w:val="000000" w:themeColor="text1"/>
          <w:spacing w:val="0"/>
          <w:sz w:val="24"/>
          <w:szCs w:val="24"/>
          <w:u w:val="none"/>
          <w:lang w:eastAsia="zh-CN"/>
          <w14:textFill>
            <w14:solidFill>
              <w14:schemeClr w14:val="tx1"/>
            </w14:solidFill>
          </w14:textFill>
        </w:rPr>
        <w:t>海安帝洁雅家具有限公司</w:t>
      </w:r>
      <w:r>
        <w:rPr>
          <w:rStyle w:val="39"/>
          <w:rFonts w:hint="eastAsia" w:eastAsia="宋体" w:cs="宋体"/>
          <w:i w:val="0"/>
          <w:iCs w:val="0"/>
          <w:caps w:val="0"/>
          <w:color w:val="000000" w:themeColor="text1"/>
          <w:spacing w:val="0"/>
          <w:sz w:val="24"/>
          <w:szCs w:val="24"/>
          <w:u w:val="none"/>
          <w:lang w:eastAsia="zh-CN"/>
          <w14:textFill>
            <w14:solidFill>
              <w14:schemeClr w14:val="tx1"/>
            </w14:solidFill>
          </w14:textFill>
        </w:rPr>
        <w:tab/>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end"/>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14:paraId="4129D3BD">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1</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公司使用的化学物质的存储、使用过程中的环境风险评估；</w:t>
      </w:r>
    </w:p>
    <w:p w14:paraId="4883F62B">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lang w:eastAsia="zh-CN"/>
          <w14:textFill>
            <w14:solidFill>
              <w14:schemeClr w14:val="tx1"/>
            </w14:solidFill>
          </w14:textFill>
        </w:rPr>
        <w:t>）</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14:paraId="1F13B214">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3</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危险固废堆放、运输、处置中产生的环境风险评估；</w:t>
      </w:r>
    </w:p>
    <w:p w14:paraId="0EE6DE01">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4</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w:t>
      </w:r>
      <w:r>
        <w:rPr>
          <w:rFonts w:hint="eastAsia" w:ascii="Times New Roman" w:hAnsi="Times New Roman" w:eastAsia="宋体"/>
          <w:color w:val="000000" w:themeColor="text1"/>
          <w:lang w:eastAsia="zh-CN"/>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lang w:val="en-US" w:eastAsia="zh-CN"/>
          <w14:textFill>
            <w14:solidFill>
              <w14:schemeClr w14:val="tx1"/>
            </w14:solidFill>
          </w14:textFill>
        </w:rPr>
        <w:t>废气非正常排放的环境风险评估；</w:t>
      </w:r>
    </w:p>
    <w:p w14:paraId="22518762">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5</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公司发生事故后应急处理过程中可能对周围环境产生危害影响的环境风险评估。</w:t>
      </w:r>
    </w:p>
    <w:p w14:paraId="5E4F798B">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2" w:name="_Toc7104"/>
      <w:bookmarkStart w:id="33" w:name="_Toc3727"/>
      <w:bookmarkStart w:id="34" w:name="_Toc26808"/>
      <w:r>
        <w:rPr>
          <w:rFonts w:hint="default" w:ascii="Times New Roman" w:hAnsi="Times New Roman" w:eastAsia="宋体" w:cs="Times New Roman"/>
          <w:sz w:val="24"/>
          <w:szCs w:val="24"/>
        </w:rPr>
        <w:t>2.4</w:t>
      </w:r>
      <w:r>
        <w:rPr>
          <w:rFonts w:hint="default" w:ascii="Times New Roman" w:hAnsi="Times New Roman" w:eastAsia="宋体" w:cs="Times New Roman"/>
          <w:color w:val="000000" w:themeColor="text1"/>
          <w:sz w:val="24"/>
          <w:szCs w:val="24"/>
          <w14:textFill>
            <w14:solidFill>
              <w14:schemeClr w14:val="tx1"/>
            </w14:solidFill>
          </w14:textFill>
        </w:rPr>
        <w:t>环境风险评估程序</w:t>
      </w:r>
      <w:bookmarkEnd w:id="32"/>
      <w:bookmarkEnd w:id="33"/>
      <w:bookmarkEnd w:id="34"/>
    </w:p>
    <w:p w14:paraId="3A848C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separate"/>
      </w:r>
      <w:r>
        <w:rPr>
          <w:rStyle w:val="39"/>
          <w:rFonts w:hint="eastAsia" w:ascii="宋体" w:hAnsi="宋体" w:eastAsia="宋体" w:cs="宋体"/>
          <w:i w:val="0"/>
          <w:iCs w:val="0"/>
          <w:caps w:val="0"/>
          <w:color w:val="000000" w:themeColor="text1"/>
          <w:spacing w:val="0"/>
          <w:kern w:val="0"/>
          <w:sz w:val="24"/>
          <w:szCs w:val="24"/>
          <w:u w:val="none"/>
          <w:lang w:eastAsia="zh-CN"/>
          <w14:textFill>
            <w14:solidFill>
              <w14:schemeClr w14:val="tx1"/>
            </w14:solidFill>
          </w14:textFill>
        </w:rPr>
        <w:t>海安帝洁雅家具有限公司</w:t>
      </w:r>
      <w:r>
        <w:rPr>
          <w:rStyle w:val="39"/>
          <w:rFonts w:hint="eastAsia" w:ascii="宋体" w:hAnsi="宋体" w:eastAsia="宋体" w:cs="宋体"/>
          <w:i w:val="0"/>
          <w:iCs w:val="0"/>
          <w:caps w:val="0"/>
          <w:color w:val="000000" w:themeColor="text1"/>
          <w:spacing w:val="0"/>
          <w:kern w:val="0"/>
          <w:sz w:val="24"/>
          <w:szCs w:val="24"/>
          <w:u w:val="none"/>
          <w:lang w:eastAsia="zh-CN"/>
          <w14:textFill>
            <w14:solidFill>
              <w14:schemeClr w14:val="tx1"/>
            </w14:solidFill>
          </w14:textFill>
        </w:rPr>
        <w:tab/>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end"/>
      </w:r>
      <w:r>
        <w:rPr>
          <w:rFonts w:eastAsia="宋体"/>
        </w:rPr>
        <w:t>突发环境事件风险评估报告的风险评估程序见图2-1所示。</w:t>
      </w:r>
    </w:p>
    <w:p w14:paraId="02BEF7D8">
      <w:pPr>
        <w:adjustRightInd w:val="0"/>
        <w:spacing w:line="360" w:lineRule="auto"/>
        <w:jc w:val="center"/>
        <w:rPr>
          <w:rFonts w:eastAsia="宋体"/>
          <w:b/>
        </w:rPr>
      </w:pPr>
      <w:r>
        <w:rPr>
          <w:rFonts w:hint="eastAsia" w:ascii="宋体" w:hAnsi="宋体" w:eastAsia="宋体" w:cs="宋体"/>
          <w:b/>
        </w:rPr>
        <w:drawing>
          <wp:inline distT="0" distB="0" distL="0" distR="0">
            <wp:extent cx="4395470" cy="3536950"/>
            <wp:effectExtent l="0" t="0" r="5080" b="635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15" cstate="print"/>
                    <a:srcRect/>
                    <a:stretch>
                      <a:fillRect/>
                    </a:stretch>
                  </pic:blipFill>
                  <pic:spPr>
                    <a:xfrm>
                      <a:off x="0" y="0"/>
                      <a:ext cx="4395470" cy="3536950"/>
                    </a:xfrm>
                    <a:prstGeom prst="rect">
                      <a:avLst/>
                    </a:prstGeom>
                    <a:noFill/>
                    <a:ln w="9525">
                      <a:noFill/>
                      <a:miter lim="800000"/>
                      <a:headEnd/>
                      <a:tailEnd/>
                    </a:ln>
                  </pic:spPr>
                </pic:pic>
              </a:graphicData>
            </a:graphic>
          </wp:inline>
        </w:drawing>
      </w:r>
    </w:p>
    <w:p w14:paraId="43595E51">
      <w:pPr>
        <w:adjustRightInd w:val="0"/>
        <w:snapToGrid w:val="0"/>
        <w:spacing w:line="5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图2-1突发环境事件风险评估报告的风险评估程序图</w:t>
      </w:r>
    </w:p>
    <w:p w14:paraId="4B4D2E57">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lang w:val="en-US" w:eastAsia="zh-CN"/>
        </w:rPr>
      </w:pPr>
      <w:bookmarkStart w:id="35" w:name="_Toc19560"/>
      <w:bookmarkStart w:id="36" w:name="_Toc27051"/>
      <w:r>
        <w:rPr>
          <w:rFonts w:hint="default" w:ascii="Times New Roman" w:hAnsi="Times New Roman" w:eastAsia="宋体" w:cs="Times New Roman"/>
          <w:sz w:val="24"/>
          <w:szCs w:val="24"/>
        </w:rPr>
        <w:t>2.</w:t>
      </w:r>
      <w:r>
        <w:rPr>
          <w:rFonts w:hint="eastAsia" w:eastAsia="宋体" w:cs="Times New Roman"/>
          <w:sz w:val="24"/>
          <w:szCs w:val="24"/>
          <w:lang w:val="en-US" w:eastAsia="zh-CN"/>
        </w:rPr>
        <w:t>5</w:t>
      </w:r>
      <w:r>
        <w:rPr>
          <w:rFonts w:hint="default" w:ascii="Times New Roman" w:hAnsi="Times New Roman" w:eastAsia="宋体" w:cs="Times New Roman"/>
          <w:color w:val="000000" w:themeColor="text1"/>
          <w:sz w:val="24"/>
          <w:szCs w:val="24"/>
          <w14:textFill>
            <w14:solidFill>
              <w14:schemeClr w14:val="tx1"/>
            </w14:solidFill>
          </w14:textFill>
        </w:rPr>
        <w:t>环境风险评估</w:t>
      </w:r>
      <w:r>
        <w:rPr>
          <w:rFonts w:hint="eastAsia" w:eastAsia="宋体" w:cs="Times New Roman"/>
          <w:color w:val="000000" w:themeColor="text1"/>
          <w:sz w:val="24"/>
          <w:szCs w:val="24"/>
          <w:lang w:val="en-US" w:eastAsia="zh-CN"/>
          <w14:textFill>
            <w14:solidFill>
              <w14:schemeClr w14:val="tx1"/>
            </w14:solidFill>
          </w14:textFill>
        </w:rPr>
        <w:t>的一般要求</w:t>
      </w:r>
      <w:bookmarkEnd w:id="35"/>
      <w:bookmarkEnd w:id="36"/>
    </w:p>
    <w:p w14:paraId="7FC2BB72">
      <w:pPr>
        <w:pStyle w:val="33"/>
        <w:adjustRightInd w:val="0"/>
        <w:snapToGrid w:val="0"/>
        <w:spacing w:before="0" w:beforeAutospacing="0" w:after="0" w:afterAutospacing="0" w:line="500" w:lineRule="exact"/>
        <w:ind w:left="0" w:righ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有下列情况之一时，我公司将及时重新划定环境风险等级，编制或修订本企业的突发环境事件风险评估报告：</w:t>
      </w:r>
    </w:p>
    <w:p w14:paraId="51D7F311">
      <w:pPr>
        <w:pStyle w:val="33"/>
        <w:adjustRightInd w:val="0"/>
        <w:snapToGrid w:val="0"/>
        <w:spacing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1、未划定环境风险等级或划定环境风险等级已满三年的；</w:t>
      </w:r>
    </w:p>
    <w:p w14:paraId="2E58E4AF">
      <w:pPr>
        <w:pStyle w:val="33"/>
        <w:adjustRightInd w:val="0"/>
        <w:snapToGrid w:val="0"/>
        <w:spacing w:before="0" w:beforeAutospacing="0" w:after="0" w:afterAutospacing="0" w:line="500" w:lineRule="exact"/>
        <w:ind w:left="0" w:righ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2、涉及环境风险物质的种类或数量、生产工艺过程与环境风险防范措施或周边可能受影响的环境风险受体发生变化，导致企业环境风险等级变化的；</w:t>
      </w:r>
    </w:p>
    <w:p w14:paraId="5F9B17E8">
      <w:pPr>
        <w:pStyle w:val="33"/>
        <w:adjustRightInd w:val="0"/>
        <w:snapToGrid w:val="0"/>
        <w:spacing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3、发生突发环境事件并造成环境污染的；</w:t>
      </w:r>
    </w:p>
    <w:p w14:paraId="01C7D816">
      <w:pPr>
        <w:pStyle w:val="33"/>
        <w:adjustRightInd w:val="0"/>
        <w:snapToGrid w:val="0"/>
        <w:spacing w:before="0"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4、有关企业环境风险评估标准或规范性文件发生变化的。</w:t>
      </w:r>
    </w:p>
    <w:p w14:paraId="5C57604F">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lang w:val="en-US" w:eastAsia="zh-CN"/>
        </w:rPr>
      </w:pPr>
      <w:bookmarkStart w:id="37" w:name="_Toc12603"/>
      <w:bookmarkStart w:id="38" w:name="_Toc9077"/>
      <w:r>
        <w:rPr>
          <w:rFonts w:hint="default" w:ascii="Times New Roman" w:hAnsi="Times New Roman" w:eastAsia="宋体" w:cs="Times New Roman"/>
          <w:sz w:val="24"/>
          <w:szCs w:val="24"/>
        </w:rPr>
        <w:t>2.</w:t>
      </w:r>
      <w:r>
        <w:rPr>
          <w:rFonts w:hint="eastAsia" w:eastAsia="宋体" w:cs="Times New Roman"/>
          <w:sz w:val="24"/>
          <w:szCs w:val="24"/>
          <w:lang w:val="en-US" w:eastAsia="zh-CN"/>
        </w:rPr>
        <w:t>6</w:t>
      </w:r>
      <w:r>
        <w:rPr>
          <w:rFonts w:hint="eastAsia" w:eastAsia="宋体" w:cs="Times New Roman"/>
          <w:color w:val="000000" w:themeColor="text1"/>
          <w:sz w:val="24"/>
          <w:szCs w:val="24"/>
          <w:lang w:val="en-US" w:eastAsia="zh-CN"/>
          <w14:textFill>
            <w14:solidFill>
              <w14:schemeClr w14:val="tx1"/>
            </w14:solidFill>
          </w14:textFill>
        </w:rPr>
        <w:t>术语与定义</w:t>
      </w:r>
      <w:bookmarkEnd w:id="37"/>
      <w:bookmarkEnd w:id="38"/>
    </w:p>
    <w:p w14:paraId="33D352CC">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1、突发环境事件是指突然发生，造成或可能造成环境污染或生态破坏，危及人民群众生命财产安全，影响社会公共秩序，需要采取紧急措施予以应对的事件。</w:t>
      </w:r>
    </w:p>
    <w:p w14:paraId="18F6F3B0">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2、环境风险是指突发性事故对环境（或健康）的危害程度，用风险值R表征，其定义为事故发生的概率P与事故造成的环境（或健康）后果C的乘积，用R表示。</w:t>
      </w:r>
    </w:p>
    <w:p w14:paraId="4AF53F93">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3、危险物质（风险物质）是指一种或若干物质的混合物，由于它的化学、物理或毒性，使其具有导致火灾、爆炸或中毒的物质。</w:t>
      </w:r>
    </w:p>
    <w:p w14:paraId="67F94096">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4、临界量：对于某种或某类危险物质规定的数量，若功能单元中物质数量等于或超过该数量，则该单元定为重大危险源。</w:t>
      </w:r>
    </w:p>
    <w:p w14:paraId="5EC302CA">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环境风险单元指长期或短期生产、加工、使用或储存环境风险物质的一个（套）生产装置、设施（贮存容器、管道等）及环保处理设施或同属一个企业且边缘距离小于500米的几个（套）生产装置、设施或场所。</w:t>
      </w:r>
    </w:p>
    <w:p w14:paraId="0A24936F">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6、环境风险受体指在突发环境事件中可能受到危害的企业外部人群、具有一定社会价值或生态功能的单位或区域等。</w:t>
      </w:r>
    </w:p>
    <w:p w14:paraId="6976A4AD">
      <w:pPr>
        <w:pStyle w:val="33"/>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7、清净下水指装置区排出的未被污染的废水，如间接冷却水的排水、溢流水等</w:t>
      </w:r>
      <w:r>
        <w:rPr>
          <w:rFonts w:hint="eastAsia" w:ascii="Times New Roman" w:hAnsi="Times New Roman" w:eastAsia="宋体"/>
          <w:color w:val="000000" w:themeColor="text1"/>
          <w:lang w:eastAsia="zh-CN"/>
          <w14:textFill>
            <w14:solidFill>
              <w14:schemeClr w14:val="tx1"/>
            </w14:solidFill>
          </w14:textFill>
        </w:rPr>
        <w:t>。</w:t>
      </w:r>
    </w:p>
    <w:p w14:paraId="49376DE7">
      <w:pPr>
        <w:pStyle w:val="33"/>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8、事故排水指事故状态下排出的含有泄漏物，以及施救过程中产生其他物质的生产废水、清净下水、雨水或消防水等。</w:t>
      </w:r>
    </w:p>
    <w:p w14:paraId="4083B470">
      <w:pPr>
        <w:pStyle w:val="5"/>
        <w:rPr>
          <w:rFonts w:hint="eastAsia"/>
          <w:lang w:eastAsia="zh-CN"/>
        </w:rPr>
        <w:sectPr>
          <w:footerReference r:id="rId8" w:type="default"/>
          <w:pgSz w:w="11906" w:h="16838"/>
          <w:pgMar w:top="1474" w:right="1417" w:bottom="1474" w:left="1417" w:header="851" w:footer="992" w:gutter="0"/>
          <w:pgBorders>
            <w:top w:val="none" w:sz="0" w:space="0"/>
            <w:left w:val="none" w:sz="0" w:space="0"/>
            <w:bottom w:val="none" w:sz="0" w:space="0"/>
            <w:right w:val="none" w:sz="0" w:space="0"/>
          </w:pgBorders>
          <w:cols w:space="720" w:num="1"/>
          <w:docGrid w:linePitch="312" w:charSpace="0"/>
        </w:sectPr>
      </w:pPr>
    </w:p>
    <w:p w14:paraId="7D171426">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9" w:name="_Toc18151"/>
      <w:bookmarkStart w:id="40" w:name="_Toc14635"/>
      <w:bookmarkStart w:id="41" w:name="_Toc12045"/>
      <w:r>
        <w:rPr>
          <w:rFonts w:hint="default" w:ascii="Times New Roman" w:hAnsi="Times New Roman" w:eastAsia="宋体" w:cs="Times New Roman"/>
          <w:sz w:val="24"/>
          <w:szCs w:val="24"/>
        </w:rPr>
        <w:t>3资料准备与环境风险识别</w:t>
      </w:r>
      <w:bookmarkEnd w:id="39"/>
      <w:bookmarkEnd w:id="40"/>
      <w:bookmarkEnd w:id="41"/>
    </w:p>
    <w:p w14:paraId="06989463">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42" w:name="_Toc376"/>
      <w:bookmarkStart w:id="43" w:name="_Toc28482"/>
      <w:bookmarkStart w:id="44" w:name="_Toc16038"/>
      <w:r>
        <w:rPr>
          <w:rFonts w:hint="default" w:ascii="Times New Roman" w:hAnsi="Times New Roman" w:eastAsia="宋体" w:cs="Times New Roman"/>
          <w:sz w:val="24"/>
          <w:szCs w:val="24"/>
        </w:rPr>
        <w:t>3.1企业基本信息</w:t>
      </w:r>
      <w:bookmarkEnd w:id="42"/>
      <w:bookmarkEnd w:id="43"/>
      <w:bookmarkEnd w:id="44"/>
    </w:p>
    <w:p w14:paraId="67B555D7">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45" w:name="_Toc30507"/>
      <w:bookmarkStart w:id="46" w:name="_Toc21550"/>
      <w:bookmarkStart w:id="47" w:name="_Toc2782"/>
      <w:r>
        <w:rPr>
          <w:rFonts w:hint="default" w:ascii="Times New Roman" w:hAnsi="Times New Roman" w:eastAsia="宋体" w:cs="Times New Roman"/>
          <w:sz w:val="24"/>
          <w:szCs w:val="24"/>
        </w:rPr>
        <w:t>3.1.1企业概况</w:t>
      </w:r>
      <w:bookmarkEnd w:id="45"/>
      <w:bookmarkEnd w:id="46"/>
      <w:bookmarkEnd w:id="47"/>
    </w:p>
    <w:p w14:paraId="5A23A95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ascii="Times New Roman" w:hAnsi="Times New Roman" w:cs="Times New Roman" w:eastAsiaTheme="minorEastAsia"/>
          <w:i w:val="0"/>
          <w:iCs w:val="0"/>
          <w:caps w:val="0"/>
          <w:color w:val="auto"/>
          <w:spacing w:val="0"/>
          <w:kern w:val="0"/>
          <w:sz w:val="24"/>
          <w:szCs w:val="24"/>
          <w:highlight w:val="none"/>
          <w:u w:val="none"/>
        </w:rPr>
        <w:fldChar w:fldCharType="begin"/>
      </w:r>
      <w:r>
        <w:rPr>
          <w:rFonts w:ascii="Times New Roman" w:hAnsi="Times New Roman" w:cs="Times New Roman" w:eastAsiaTheme="minorEastAsia"/>
          <w:i w:val="0"/>
          <w:iCs w:val="0"/>
          <w:caps w:val="0"/>
          <w:color w:val="auto"/>
          <w:spacing w:val="0"/>
          <w:kern w:val="0"/>
          <w:sz w:val="24"/>
          <w:szCs w:val="24"/>
          <w:highlight w:val="none"/>
          <w:u w:val="none"/>
        </w:rPr>
        <w:instrText xml:space="preserve"> HYPERLINK "javascript:zxtb('XZXKTYPE_A','%E6%9A%82%E5%AD%98','card1','fc5c1215140948f896b26e64c489f794','readonly')" </w:instrText>
      </w:r>
      <w:r>
        <w:rPr>
          <w:rFonts w:ascii="Times New Roman" w:hAnsi="Times New Roman" w:cs="Times New Roman" w:eastAsiaTheme="minorEastAsia"/>
          <w:i w:val="0"/>
          <w:iCs w:val="0"/>
          <w:caps w:val="0"/>
          <w:color w:val="auto"/>
          <w:spacing w:val="0"/>
          <w:kern w:val="0"/>
          <w:sz w:val="24"/>
          <w:szCs w:val="24"/>
          <w:highlight w:val="none"/>
          <w:u w:val="none"/>
        </w:rPr>
        <w:fldChar w:fldCharType="separate"/>
      </w:r>
      <w:r>
        <w:rPr>
          <w:rStyle w:val="39"/>
          <w:rFonts w:hint="eastAsia" w:cs="Times New Roman" w:eastAsiaTheme="minorEastAsia"/>
          <w:i w:val="0"/>
          <w:iCs w:val="0"/>
          <w:caps w:val="0"/>
          <w:color w:val="auto"/>
          <w:spacing w:val="0"/>
          <w:kern w:val="0"/>
          <w:sz w:val="24"/>
          <w:szCs w:val="24"/>
          <w:highlight w:val="none"/>
          <w:u w:val="none"/>
          <w:lang w:eastAsia="zh-CN"/>
        </w:rPr>
        <w:t>海安帝洁雅家具有限公司</w:t>
      </w:r>
      <w:r>
        <w:rPr>
          <w:rStyle w:val="39"/>
          <w:rFonts w:hint="eastAsia" w:cs="Times New Roman" w:eastAsiaTheme="minorEastAsia"/>
          <w:i w:val="0"/>
          <w:iCs w:val="0"/>
          <w:caps w:val="0"/>
          <w:color w:val="auto"/>
          <w:spacing w:val="0"/>
          <w:kern w:val="0"/>
          <w:sz w:val="24"/>
          <w:szCs w:val="24"/>
          <w:highlight w:val="none"/>
          <w:u w:val="none"/>
          <w:lang w:eastAsia="zh-CN"/>
        </w:rPr>
        <w:tab/>
      </w:r>
      <w:r>
        <w:rPr>
          <w:rFonts w:hint="default" w:ascii="Times New Roman" w:hAnsi="Times New Roman" w:cs="Times New Roman" w:eastAsiaTheme="minorEastAsia"/>
          <w:i w:val="0"/>
          <w:iCs w:val="0"/>
          <w:caps w:val="0"/>
          <w:color w:val="auto"/>
          <w:spacing w:val="0"/>
          <w:kern w:val="0"/>
          <w:sz w:val="24"/>
          <w:szCs w:val="24"/>
          <w:highlight w:val="none"/>
          <w:u w:val="none"/>
        </w:rPr>
        <w:fldChar w:fldCharType="end"/>
      </w:r>
      <w:r>
        <w:rPr>
          <w:rFonts w:eastAsia="宋体"/>
          <w:bCs/>
          <w:color w:val="000000"/>
          <w:highlight w:val="none"/>
        </w:rPr>
        <w:t>成立</w:t>
      </w:r>
      <w:r>
        <w:rPr>
          <w:rFonts w:hint="eastAsia" w:eastAsia="宋体"/>
          <w:bCs/>
          <w:color w:val="000000"/>
          <w:highlight w:val="none"/>
          <w:lang w:val="en-US" w:eastAsia="zh-CN"/>
        </w:rPr>
        <w:t>2017</w:t>
      </w:r>
      <w:r>
        <w:rPr>
          <w:rFonts w:hint="eastAsia" w:eastAsia="宋体"/>
          <w:bCs/>
          <w:color w:val="000000"/>
          <w:highlight w:val="none"/>
          <w:lang w:eastAsia="zh-CN"/>
        </w:rPr>
        <w:t>年</w:t>
      </w:r>
      <w:r>
        <w:rPr>
          <w:rFonts w:hint="eastAsia" w:eastAsia="宋体"/>
          <w:bCs/>
          <w:color w:val="000000"/>
          <w:highlight w:val="none"/>
          <w:lang w:val="en-US" w:eastAsia="zh-CN"/>
        </w:rPr>
        <w:t>6</w:t>
      </w:r>
      <w:r>
        <w:rPr>
          <w:rFonts w:hint="eastAsia" w:eastAsia="宋体"/>
          <w:bCs/>
          <w:color w:val="000000"/>
          <w:highlight w:val="none"/>
          <w:lang w:eastAsia="zh-CN"/>
        </w:rPr>
        <w:t>月</w:t>
      </w:r>
      <w:r>
        <w:rPr>
          <w:rFonts w:eastAsia="宋体"/>
          <w:bCs/>
          <w:color w:val="000000"/>
          <w:highlight w:val="none"/>
        </w:rPr>
        <w:t>，</w:t>
      </w:r>
      <w:r>
        <w:rPr>
          <w:rFonts w:hint="default" w:ascii="Times New Roman" w:hAnsi="Times New Roman" w:cs="Times New Roman" w:eastAsiaTheme="minorEastAsia"/>
          <w:color w:val="auto"/>
          <w:kern w:val="0"/>
          <w:sz w:val="24"/>
          <w:szCs w:val="24"/>
          <w:highlight w:val="none"/>
          <w:lang w:val="en-US" w:eastAsia="zh-CN"/>
        </w:rPr>
        <w:t>位于</w:t>
      </w:r>
      <w:r>
        <w:rPr>
          <w:rFonts w:hint="eastAsia" w:cs="Times New Roman" w:eastAsiaTheme="minorEastAsia"/>
          <w:color w:val="auto"/>
          <w:kern w:val="0"/>
          <w:sz w:val="24"/>
          <w:szCs w:val="24"/>
          <w:highlight w:val="none"/>
          <w:lang w:val="en-US" w:eastAsia="zh-CN"/>
        </w:rPr>
        <w:t>海安市城东镇东部大道175号的部分厂房</w:t>
      </w:r>
      <w:r>
        <w:rPr>
          <w:rFonts w:hint="default" w:ascii="Times New Roman" w:hAnsi="Times New Roman" w:cs="Times New Roman" w:eastAsiaTheme="minorEastAsia"/>
          <w:color w:val="auto"/>
          <w:kern w:val="0"/>
          <w:sz w:val="24"/>
          <w:szCs w:val="24"/>
          <w:highlight w:val="none"/>
          <w:lang w:val="en-US" w:eastAsia="zh-CN"/>
        </w:rPr>
        <w:t>，</w:t>
      </w:r>
      <w:r>
        <w:rPr>
          <w:rFonts w:eastAsia="宋体"/>
          <w:bCs/>
          <w:color w:val="000000"/>
          <w:highlight w:val="none"/>
        </w:rPr>
        <w:t>是一家</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eastAsia="宋体"/>
          <w:bCs/>
          <w:color w:val="auto"/>
          <w:highlight w:val="none"/>
          <w:lang w:val="en-US" w:eastAsia="zh-CN"/>
        </w:rPr>
        <w:t>家具</w:t>
      </w:r>
      <w:r>
        <w:rPr>
          <w:rFonts w:hint="eastAsia" w:cs="Times New Roman" w:eastAsiaTheme="minorEastAsia"/>
          <w:kern w:val="0"/>
          <w:sz w:val="24"/>
          <w:szCs w:val="24"/>
          <w:highlight w:val="none"/>
          <w:lang w:val="en-US" w:eastAsia="zh-CN"/>
        </w:rPr>
        <w:t>生产</w:t>
      </w:r>
      <w:r>
        <w:rPr>
          <w:rFonts w:eastAsia="宋体"/>
          <w:bCs/>
          <w:color w:val="000000"/>
          <w:highlight w:val="none"/>
        </w:rPr>
        <w:t>的企业。</w:t>
      </w:r>
      <w:r>
        <w:rPr>
          <w:rFonts w:ascii="Times New Roman" w:hAnsi="Times New Roman" w:cs="Times New Roman" w:eastAsiaTheme="minorEastAsia"/>
          <w:i w:val="0"/>
          <w:iCs w:val="0"/>
          <w:caps w:val="0"/>
          <w:color w:val="auto"/>
          <w:spacing w:val="0"/>
          <w:kern w:val="0"/>
          <w:sz w:val="24"/>
          <w:szCs w:val="24"/>
          <w:highlight w:val="none"/>
          <w:u w:val="none"/>
        </w:rPr>
        <w:fldChar w:fldCharType="begin"/>
      </w:r>
      <w:r>
        <w:rPr>
          <w:rFonts w:ascii="Times New Roman" w:hAnsi="Times New Roman" w:cs="Times New Roman" w:eastAsiaTheme="minorEastAsia"/>
          <w:i w:val="0"/>
          <w:iCs w:val="0"/>
          <w:caps w:val="0"/>
          <w:color w:val="auto"/>
          <w:spacing w:val="0"/>
          <w:kern w:val="0"/>
          <w:sz w:val="24"/>
          <w:szCs w:val="24"/>
          <w:highlight w:val="none"/>
          <w:u w:val="none"/>
        </w:rPr>
        <w:instrText xml:space="preserve"> HYPERLINK "javascript:zxtb('XZXKTYPE_A','%E6%9A%82%E5%AD%98','card1','fc5c1215140948f896b26e64c489f794','readonly')" </w:instrText>
      </w:r>
      <w:r>
        <w:rPr>
          <w:rFonts w:ascii="Times New Roman" w:hAnsi="Times New Roman" w:cs="Times New Roman" w:eastAsiaTheme="minorEastAsia"/>
          <w:i w:val="0"/>
          <w:iCs w:val="0"/>
          <w:caps w:val="0"/>
          <w:color w:val="auto"/>
          <w:spacing w:val="0"/>
          <w:kern w:val="0"/>
          <w:sz w:val="24"/>
          <w:szCs w:val="24"/>
          <w:highlight w:val="none"/>
          <w:u w:val="none"/>
        </w:rPr>
        <w:fldChar w:fldCharType="separate"/>
      </w:r>
      <w:r>
        <w:rPr>
          <w:rFonts w:hint="eastAsia" w:cs="Times New Roman" w:eastAsiaTheme="minorEastAsia"/>
          <w:i w:val="0"/>
          <w:iCs w:val="0"/>
          <w:caps w:val="0"/>
          <w:color w:val="auto"/>
          <w:spacing w:val="0"/>
          <w:kern w:val="0"/>
          <w:sz w:val="24"/>
          <w:szCs w:val="24"/>
          <w:highlight w:val="none"/>
          <w:u w:val="none"/>
          <w:lang w:eastAsia="zh-CN"/>
        </w:rPr>
        <w:t>海安帝洁雅家具有限公司</w:t>
      </w:r>
      <w:r>
        <w:rPr>
          <w:rFonts w:hint="eastAsia" w:cs="Times New Roman" w:eastAsiaTheme="minorEastAsia"/>
          <w:i w:val="0"/>
          <w:iCs w:val="0"/>
          <w:caps w:val="0"/>
          <w:color w:val="auto"/>
          <w:spacing w:val="0"/>
          <w:kern w:val="0"/>
          <w:sz w:val="24"/>
          <w:szCs w:val="24"/>
          <w:highlight w:val="none"/>
          <w:u w:val="none"/>
          <w:lang w:eastAsia="zh-CN"/>
        </w:rPr>
        <w:tab/>
      </w:r>
      <w:r>
        <w:rPr>
          <w:rFonts w:hint="default" w:ascii="Times New Roman" w:hAnsi="Times New Roman" w:cs="Times New Roman" w:eastAsiaTheme="minorEastAsia"/>
          <w:i w:val="0"/>
          <w:iCs w:val="0"/>
          <w:caps w:val="0"/>
          <w:color w:val="auto"/>
          <w:spacing w:val="0"/>
          <w:kern w:val="0"/>
          <w:sz w:val="24"/>
          <w:szCs w:val="24"/>
          <w:highlight w:val="none"/>
          <w:u w:val="none"/>
        </w:rPr>
        <w:fldChar w:fldCharType="end"/>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占地</w:t>
      </w:r>
      <w:r>
        <w:rPr>
          <w:rFonts w:hint="eastAsia" w:eastAsia="宋体" w:cs="Times New Roman"/>
          <w:color w:val="000000" w:themeColor="text1"/>
          <w:sz w:val="24"/>
          <w:szCs w:val="24"/>
          <w:lang w:val="en-US" w:eastAsia="zh-CN"/>
          <w14:textFill>
            <w14:solidFill>
              <w14:schemeClr w14:val="tx1"/>
            </w14:solidFill>
          </w14:textFill>
        </w:rPr>
        <w:t>2080</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平方米，职工</w:t>
      </w:r>
      <w:r>
        <w:rPr>
          <w:rFonts w:hint="eastAsia" w:eastAsia="宋体" w:cs="Times New Roman"/>
          <w:color w:val="auto"/>
          <w:kern w:val="2"/>
          <w:sz w:val="24"/>
          <w:szCs w:val="24"/>
          <w:lang w:val="en-US" w:eastAsia="zh-CN" w:bidi="ar-SA"/>
        </w:rPr>
        <w:t>10</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人，</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年工作3</w:t>
      </w:r>
      <w:r>
        <w:rPr>
          <w:rFonts w:hint="eastAsia" w:eastAsia="宋体" w:cs="Times New Roman"/>
          <w:color w:val="000000" w:themeColor="text1"/>
          <w:kern w:val="2"/>
          <w:sz w:val="24"/>
          <w:szCs w:val="24"/>
          <w:lang w:val="en-US" w:eastAsia="zh-CN" w:bidi="ar-SA"/>
          <w14:textFill>
            <w14:solidFill>
              <w14:schemeClr w14:val="tx1"/>
            </w14:solidFill>
          </w14:textFill>
        </w:rPr>
        <w:t>00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天，</w:t>
      </w:r>
      <w:r>
        <w:rPr>
          <w:rFonts w:hint="eastAsia" w:eastAsia="宋体" w:cs="Times New Roman"/>
          <w:color w:val="000000" w:themeColor="text1"/>
          <w:kern w:val="2"/>
          <w:sz w:val="24"/>
          <w:szCs w:val="24"/>
          <w:lang w:val="en-US" w:eastAsia="zh-CN" w:bidi="ar-SA"/>
          <w14:textFill>
            <w14:solidFill>
              <w14:schemeClr w14:val="tx1"/>
            </w14:solidFill>
          </w14:textFill>
        </w:rPr>
        <w:t>单</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班制，每班工作</w:t>
      </w:r>
      <w:r>
        <w:rPr>
          <w:rFonts w:hint="eastAsia" w:eastAsia="宋体" w:cs="Times New Roman"/>
          <w:color w:val="000000" w:themeColor="text1"/>
          <w:kern w:val="2"/>
          <w:sz w:val="24"/>
          <w:szCs w:val="24"/>
          <w:lang w:val="en-US" w:eastAsia="zh-CN" w:bidi="ar-SA"/>
          <w14:textFill>
            <w14:solidFill>
              <w14:schemeClr w14:val="tx1"/>
            </w14:solidFill>
          </w14:textFill>
        </w:rPr>
        <w:t>8</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小时，年生产时数</w:t>
      </w:r>
      <w:r>
        <w:rPr>
          <w:rFonts w:hint="eastAsia" w:eastAsia="宋体" w:cs="Times New Roman"/>
          <w:color w:val="000000" w:themeColor="text1"/>
          <w:kern w:val="2"/>
          <w:sz w:val="24"/>
          <w:szCs w:val="24"/>
          <w:lang w:val="en-US" w:eastAsia="zh-CN" w:bidi="ar-SA"/>
          <w14:textFill>
            <w14:solidFill>
              <w14:schemeClr w14:val="tx1"/>
            </w14:solidFill>
          </w14:textFill>
        </w:rPr>
        <w:t>2400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h/a</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eastAsia="宋体"/>
          <w:bCs/>
          <w:color w:val="000000"/>
        </w:rPr>
        <w:t>公司基本情况汇总见表3-1。</w:t>
      </w:r>
    </w:p>
    <w:p w14:paraId="2CAE0439">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r>
        <w:rPr>
          <w:rFonts w:hint="default" w:ascii="Times New Roman" w:hAnsi="Times New Roman" w:eastAsia="宋体" w:cs="Times New Roman"/>
          <w:b/>
          <w:szCs w:val="28"/>
        </w:rPr>
        <w:t>表3-1</w:t>
      </w:r>
      <w:r>
        <w:rPr>
          <w:rFonts w:hint="eastAsia" w:eastAsia="宋体" w:cs="Times New Roman"/>
          <w:b/>
          <w:i w:val="0"/>
          <w:iCs w:val="0"/>
          <w:caps w:val="0"/>
          <w:color w:val="auto"/>
          <w:spacing w:val="0"/>
          <w:kern w:val="2"/>
          <w:sz w:val="24"/>
          <w:szCs w:val="28"/>
          <w:highlight w:val="none"/>
          <w:u w:val="none"/>
          <w:lang w:eastAsia="zh-CN"/>
        </w:rPr>
        <w:t>帝洁雅</w:t>
      </w:r>
      <w:r>
        <w:rPr>
          <w:rFonts w:hint="default" w:ascii="Times New Roman" w:hAnsi="Times New Roman" w:eastAsia="宋体" w:cs="Times New Roman"/>
          <w:b/>
          <w:szCs w:val="28"/>
        </w:rPr>
        <w:t>基本情况汇总表</w:t>
      </w:r>
    </w:p>
    <w:tbl>
      <w:tblPr>
        <w:tblStyle w:val="3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3454"/>
        <w:gridCol w:w="2054"/>
        <w:gridCol w:w="2000"/>
      </w:tblGrid>
      <w:tr w14:paraId="42622A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12" w:space="0"/>
              <w:left w:val="single" w:color="000000" w:sz="12" w:space="0"/>
              <w:bottom w:val="single" w:color="000000" w:sz="4" w:space="0"/>
              <w:right w:val="single" w:color="000000" w:sz="4" w:space="0"/>
            </w:tcBorders>
            <w:vAlign w:val="center"/>
          </w:tcPr>
          <w:p w14:paraId="2432DF9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单位名称</w:t>
            </w:r>
          </w:p>
        </w:tc>
        <w:tc>
          <w:tcPr>
            <w:tcW w:w="7508" w:type="dxa"/>
            <w:gridSpan w:val="3"/>
            <w:tcBorders>
              <w:top w:val="single" w:color="000000" w:sz="12" w:space="0"/>
              <w:left w:val="single" w:color="000000" w:sz="4" w:space="0"/>
              <w:bottom w:val="single" w:color="000000" w:sz="4" w:space="0"/>
              <w:right w:val="single" w:color="000000" w:sz="12" w:space="0"/>
            </w:tcBorders>
            <w:vAlign w:val="center"/>
          </w:tcPr>
          <w:p w14:paraId="0EC433C2">
            <w:pPr>
              <w:pStyle w:val="100"/>
              <w:jc w:val="center"/>
              <w:rPr>
                <w:rFonts w:hint="eastAsia" w:ascii="Times New Roman" w:eastAsia="宋体" w:cs="Times New Roman"/>
                <w:sz w:val="21"/>
                <w:szCs w:val="21"/>
                <w:highlight w:val="none"/>
              </w:rPr>
            </w:pPr>
            <w:r>
              <w:rPr>
                <w:rFonts w:hint="eastAsia" w:ascii="Times New Roman" w:hAnsi="Times New Roman" w:eastAsia="宋体" w:cs="Times New Roman"/>
                <w:i w:val="0"/>
                <w:iCs w:val="0"/>
                <w:caps w:val="0"/>
                <w:color w:val="000000"/>
                <w:spacing w:val="0"/>
                <w:kern w:val="0"/>
                <w:sz w:val="21"/>
                <w:szCs w:val="21"/>
                <w:highlight w:val="none"/>
                <w:u w:val="none"/>
              </w:rPr>
              <w:fldChar w:fldCharType="begin"/>
            </w:r>
            <w:r>
              <w:rPr>
                <w:rFonts w:hint="eastAsia" w:ascii="Times New Roman" w:hAnsi="Times New Roman" w:eastAsia="宋体" w:cs="Times New Roman"/>
                <w:i w:val="0"/>
                <w:iCs w:val="0"/>
                <w:caps w:val="0"/>
                <w:color w:val="000000"/>
                <w:spacing w:val="0"/>
                <w:kern w:val="0"/>
                <w:sz w:val="21"/>
                <w:szCs w:val="21"/>
                <w:highlight w:val="none"/>
                <w:u w:val="none"/>
              </w:rPr>
              <w:instrText xml:space="preserve"> HYPERLINK "javascript:zxtb('XZXKTYPE_A','%E6%9A%82%E5%AD%98','card1','fc5c1215140948f896b26e64c489f794','readonly')" </w:instrText>
            </w:r>
            <w:r>
              <w:rPr>
                <w:rFonts w:hint="eastAsia" w:ascii="Times New Roman" w:hAnsi="Times New Roman" w:eastAsia="宋体" w:cs="Times New Roman"/>
                <w:i w:val="0"/>
                <w:iCs w:val="0"/>
                <w:caps w:val="0"/>
                <w:color w:val="000000"/>
                <w:spacing w:val="0"/>
                <w:kern w:val="0"/>
                <w:sz w:val="21"/>
                <w:szCs w:val="21"/>
                <w:highlight w:val="none"/>
                <w:u w:val="none"/>
              </w:rPr>
              <w:fldChar w:fldCharType="separate"/>
            </w:r>
            <w:r>
              <w:rPr>
                <w:rFonts w:hint="eastAsia" w:ascii="Times New Roman" w:eastAsia="宋体" w:cs="Times New Roman"/>
                <w:i w:val="0"/>
                <w:iCs w:val="0"/>
                <w:caps w:val="0"/>
                <w:color w:val="000000"/>
                <w:spacing w:val="0"/>
                <w:kern w:val="0"/>
                <w:sz w:val="21"/>
                <w:szCs w:val="21"/>
                <w:highlight w:val="none"/>
                <w:u w:val="none"/>
                <w:lang w:eastAsia="zh-CN"/>
              </w:rPr>
              <w:t>海安帝洁雅家具有限公司</w:t>
            </w:r>
            <w:r>
              <w:rPr>
                <w:rFonts w:hint="eastAsia" w:ascii="Times New Roman" w:eastAsia="宋体" w:cs="Times New Roman"/>
                <w:i w:val="0"/>
                <w:iCs w:val="0"/>
                <w:caps w:val="0"/>
                <w:color w:val="000000"/>
                <w:spacing w:val="0"/>
                <w:kern w:val="0"/>
                <w:sz w:val="21"/>
                <w:szCs w:val="21"/>
                <w:highlight w:val="none"/>
                <w:u w:val="none"/>
                <w:lang w:eastAsia="zh-CN"/>
              </w:rPr>
              <w:tab/>
            </w:r>
            <w:r>
              <w:rPr>
                <w:rFonts w:hint="eastAsia" w:ascii="Times New Roman" w:hAnsi="Times New Roman" w:eastAsia="宋体" w:cs="Times New Roman"/>
                <w:i w:val="0"/>
                <w:iCs w:val="0"/>
                <w:caps w:val="0"/>
                <w:color w:val="000000"/>
                <w:spacing w:val="0"/>
                <w:kern w:val="0"/>
                <w:sz w:val="21"/>
                <w:szCs w:val="21"/>
                <w:highlight w:val="none"/>
                <w:u w:val="none"/>
              </w:rPr>
              <w:fldChar w:fldCharType="end"/>
            </w:r>
          </w:p>
        </w:tc>
      </w:tr>
      <w:tr w14:paraId="41F03D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18FF289D">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单位地址</w:t>
            </w:r>
          </w:p>
        </w:tc>
        <w:tc>
          <w:tcPr>
            <w:tcW w:w="3454" w:type="dxa"/>
            <w:tcBorders>
              <w:top w:val="single" w:color="000000" w:sz="4" w:space="0"/>
              <w:left w:val="single" w:color="000000" w:sz="4" w:space="0"/>
              <w:bottom w:val="single" w:color="000000" w:sz="4" w:space="0"/>
              <w:right w:val="single" w:color="000000" w:sz="4" w:space="0"/>
            </w:tcBorders>
            <w:vAlign w:val="center"/>
          </w:tcPr>
          <w:p w14:paraId="174A74FF">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eastAsia="zh-CN"/>
              </w:rPr>
              <w:t>海安市城东镇东部大道175号的部分厂房</w:t>
            </w:r>
          </w:p>
        </w:tc>
        <w:tc>
          <w:tcPr>
            <w:tcW w:w="2054" w:type="dxa"/>
            <w:tcBorders>
              <w:top w:val="single" w:color="000000" w:sz="4" w:space="0"/>
              <w:left w:val="single" w:color="000000" w:sz="4" w:space="0"/>
              <w:bottom w:val="single" w:color="000000" w:sz="4" w:space="0"/>
              <w:right w:val="single" w:color="000000" w:sz="4" w:space="0"/>
            </w:tcBorders>
            <w:vAlign w:val="center"/>
          </w:tcPr>
          <w:p w14:paraId="3EE3AFA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所在区</w:t>
            </w:r>
          </w:p>
        </w:tc>
        <w:tc>
          <w:tcPr>
            <w:tcW w:w="2000" w:type="dxa"/>
            <w:tcBorders>
              <w:top w:val="single" w:color="000000" w:sz="4" w:space="0"/>
              <w:left w:val="single" w:color="000000" w:sz="4" w:space="0"/>
              <w:bottom w:val="single" w:color="000000" w:sz="4" w:space="0"/>
              <w:right w:val="single" w:color="000000" w:sz="12" w:space="0"/>
            </w:tcBorders>
            <w:vAlign w:val="center"/>
          </w:tcPr>
          <w:p w14:paraId="4B69F989">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经济技术开发区</w:t>
            </w:r>
          </w:p>
        </w:tc>
      </w:tr>
      <w:tr w14:paraId="2F8950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6EE54EA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企业性质</w:t>
            </w:r>
          </w:p>
        </w:tc>
        <w:tc>
          <w:tcPr>
            <w:tcW w:w="3454" w:type="dxa"/>
            <w:tcBorders>
              <w:top w:val="single" w:color="000000" w:sz="4" w:space="0"/>
              <w:left w:val="single" w:color="000000" w:sz="4" w:space="0"/>
              <w:bottom w:val="single" w:color="000000" w:sz="4" w:space="0"/>
              <w:right w:val="single" w:color="000000" w:sz="4" w:space="0"/>
            </w:tcBorders>
            <w:vAlign w:val="center"/>
          </w:tcPr>
          <w:p w14:paraId="1FC95585">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有限公司</w:t>
            </w:r>
          </w:p>
        </w:tc>
        <w:tc>
          <w:tcPr>
            <w:tcW w:w="2054" w:type="dxa"/>
            <w:tcBorders>
              <w:top w:val="single" w:color="000000" w:sz="4" w:space="0"/>
              <w:left w:val="single" w:color="000000" w:sz="4" w:space="0"/>
              <w:bottom w:val="single" w:color="000000" w:sz="4" w:space="0"/>
              <w:right w:val="single" w:color="000000" w:sz="4" w:space="0"/>
            </w:tcBorders>
            <w:vAlign w:val="center"/>
          </w:tcPr>
          <w:p w14:paraId="0139F577">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所在街道（镇）</w:t>
            </w:r>
          </w:p>
        </w:tc>
        <w:tc>
          <w:tcPr>
            <w:tcW w:w="2000" w:type="dxa"/>
            <w:tcBorders>
              <w:top w:val="single" w:color="000000" w:sz="4" w:space="0"/>
              <w:left w:val="single" w:color="000000" w:sz="4" w:space="0"/>
              <w:bottom w:val="single" w:color="000000" w:sz="4" w:space="0"/>
              <w:right w:val="single" w:color="000000" w:sz="12" w:space="0"/>
            </w:tcBorders>
            <w:vAlign w:val="center"/>
          </w:tcPr>
          <w:p w14:paraId="6BCF1E80">
            <w:pPr>
              <w:pStyle w:val="100"/>
              <w:jc w:val="center"/>
              <w:rPr>
                <w:rFonts w:hint="default" w:ascii="Times New Roman" w:eastAsia="宋体" w:cs="Times New Roman"/>
                <w:sz w:val="21"/>
                <w:szCs w:val="21"/>
                <w:highlight w:val="none"/>
                <w:lang w:val="en-US"/>
              </w:rPr>
            </w:pPr>
            <w:r>
              <w:rPr>
                <w:rFonts w:hint="eastAsia" w:ascii="Times New Roman" w:eastAsia="宋体" w:cs="Times New Roman"/>
                <w:sz w:val="21"/>
                <w:szCs w:val="21"/>
                <w:highlight w:val="none"/>
                <w:lang w:val="en-US" w:eastAsia="zh-CN"/>
              </w:rPr>
              <w:t>城东镇</w:t>
            </w:r>
          </w:p>
        </w:tc>
      </w:tr>
      <w:tr w14:paraId="21857C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629033B4">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法人代表</w:t>
            </w:r>
          </w:p>
        </w:tc>
        <w:tc>
          <w:tcPr>
            <w:tcW w:w="3454" w:type="dxa"/>
            <w:tcBorders>
              <w:top w:val="single" w:color="000000" w:sz="4" w:space="0"/>
              <w:left w:val="single" w:color="000000" w:sz="4" w:space="0"/>
              <w:bottom w:val="single" w:color="000000" w:sz="4" w:space="0"/>
              <w:right w:val="single" w:color="000000" w:sz="4" w:space="0"/>
            </w:tcBorders>
            <w:vAlign w:val="center"/>
          </w:tcPr>
          <w:p w14:paraId="3E165AFE">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b w:val="0"/>
                <w:bCs w:val="0"/>
                <w:color w:val="000000"/>
                <w:sz w:val="21"/>
                <w:szCs w:val="21"/>
                <w:highlight w:val="none"/>
                <w:lang w:val="en-US" w:eastAsia="zh-CN"/>
              </w:rPr>
              <w:t>曹伟强</w:t>
            </w:r>
          </w:p>
        </w:tc>
        <w:tc>
          <w:tcPr>
            <w:tcW w:w="2054" w:type="dxa"/>
            <w:tcBorders>
              <w:top w:val="single" w:color="000000" w:sz="4" w:space="0"/>
              <w:left w:val="single" w:color="000000" w:sz="4" w:space="0"/>
              <w:bottom w:val="single" w:color="000000" w:sz="4" w:space="0"/>
              <w:right w:val="single" w:color="000000" w:sz="4" w:space="0"/>
            </w:tcBorders>
            <w:vAlign w:val="center"/>
          </w:tcPr>
          <w:p w14:paraId="16D0622F">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所在社区（村）</w:t>
            </w:r>
          </w:p>
        </w:tc>
        <w:tc>
          <w:tcPr>
            <w:tcW w:w="2000" w:type="dxa"/>
            <w:tcBorders>
              <w:top w:val="single" w:color="000000" w:sz="4" w:space="0"/>
              <w:left w:val="single" w:color="000000" w:sz="4" w:space="0"/>
              <w:bottom w:val="single" w:color="000000" w:sz="4" w:space="0"/>
              <w:right w:val="single" w:color="000000" w:sz="12" w:space="0"/>
            </w:tcBorders>
            <w:vAlign w:val="center"/>
          </w:tcPr>
          <w:p w14:paraId="3AB826AD">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w:t>
            </w:r>
          </w:p>
        </w:tc>
      </w:tr>
      <w:tr w14:paraId="04B53B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216C9B04">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法人代码</w:t>
            </w:r>
          </w:p>
        </w:tc>
        <w:tc>
          <w:tcPr>
            <w:tcW w:w="3454" w:type="dxa"/>
            <w:tcBorders>
              <w:top w:val="single" w:color="000000" w:sz="4" w:space="0"/>
              <w:left w:val="single" w:color="000000" w:sz="4" w:space="0"/>
              <w:bottom w:val="single" w:color="000000" w:sz="4" w:space="0"/>
              <w:right w:val="single" w:color="000000" w:sz="4" w:space="0"/>
            </w:tcBorders>
            <w:vAlign w:val="center"/>
          </w:tcPr>
          <w:p w14:paraId="409B7496">
            <w:pPr>
              <w:keepNext w:val="0"/>
              <w:keepLines w:val="0"/>
              <w:widowControl/>
              <w:suppressLineNumbers w:val="0"/>
              <w:ind w:firstLine="800" w:firstLineChars="400"/>
              <w:jc w:val="left"/>
              <w:rPr>
                <w:rFonts w:hint="default" w:ascii="Times New Roman" w:eastAsia="宋体" w:cs="Times New Roman"/>
                <w:sz w:val="21"/>
                <w:szCs w:val="21"/>
                <w:highlight w:val="none"/>
                <w:lang w:val="en-US" w:eastAsia="zh-CN"/>
              </w:rPr>
            </w:pPr>
            <w:r>
              <w:rPr>
                <w:rFonts w:hint="eastAsia" w:eastAsia="宋体" w:cs="Times New Roman"/>
                <w:color w:val="000000"/>
                <w:kern w:val="0"/>
                <w:sz w:val="20"/>
                <w:szCs w:val="20"/>
                <w:lang w:val="en-US" w:eastAsia="zh-CN" w:bidi="ar"/>
              </w:rPr>
              <w:t>91320621MA1P6M901D</w:t>
            </w:r>
          </w:p>
        </w:tc>
        <w:tc>
          <w:tcPr>
            <w:tcW w:w="2054" w:type="dxa"/>
            <w:tcBorders>
              <w:top w:val="single" w:color="000000" w:sz="4" w:space="0"/>
              <w:left w:val="single" w:color="000000" w:sz="4" w:space="0"/>
              <w:bottom w:val="single" w:color="000000" w:sz="4" w:space="0"/>
              <w:right w:val="single" w:color="000000" w:sz="4" w:space="0"/>
            </w:tcBorders>
            <w:vAlign w:val="center"/>
          </w:tcPr>
          <w:p w14:paraId="2DDD8384">
            <w:pPr>
              <w:pStyle w:val="100"/>
              <w:jc w:val="center"/>
              <w:rPr>
                <w:rFonts w:ascii="Times New Roman" w:hAnsi="Times New Roman" w:eastAsia="宋体" w:cs="Times New Roman"/>
                <w:color w:val="000000"/>
                <w:sz w:val="21"/>
                <w:szCs w:val="21"/>
                <w:highlight w:val="none"/>
                <w:lang w:val="en-US" w:eastAsia="zh-CN" w:bidi="ar-SA"/>
              </w:rPr>
            </w:pPr>
            <w:r>
              <w:rPr>
                <w:rFonts w:hint="eastAsia" w:ascii="Times New Roman" w:eastAsia="宋体" w:cs="Times New Roman"/>
                <w:sz w:val="21"/>
                <w:szCs w:val="21"/>
                <w:highlight w:val="none"/>
                <w:lang w:val="en-US" w:eastAsia="zh-CN"/>
              </w:rPr>
              <w:t>占地</w:t>
            </w:r>
            <w:r>
              <w:rPr>
                <w:rFonts w:ascii="Times New Roman" w:eastAsia="宋体" w:cs="Times New Roman"/>
                <w:sz w:val="21"/>
                <w:szCs w:val="21"/>
                <w:highlight w:val="none"/>
              </w:rPr>
              <w:t>面积</w:t>
            </w:r>
          </w:p>
        </w:tc>
        <w:tc>
          <w:tcPr>
            <w:tcW w:w="2000" w:type="dxa"/>
            <w:tcBorders>
              <w:top w:val="single" w:color="000000" w:sz="4" w:space="0"/>
              <w:left w:val="single" w:color="000000" w:sz="4" w:space="0"/>
              <w:bottom w:val="single" w:color="000000" w:sz="4" w:space="0"/>
              <w:right w:val="single" w:color="000000" w:sz="12" w:space="0"/>
            </w:tcBorders>
            <w:vAlign w:val="center"/>
          </w:tcPr>
          <w:p w14:paraId="050062F3">
            <w:pPr>
              <w:pStyle w:val="10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cs="仿宋_GB2312"/>
                <w:kern w:val="0"/>
                <w:sz w:val="21"/>
                <w:szCs w:val="24"/>
                <w:highlight w:val="none"/>
                <w:lang w:val="en-US" w:eastAsia="zh-CN"/>
              </w:rPr>
              <w:t>3120m</w:t>
            </w:r>
            <w:r>
              <w:rPr>
                <w:rFonts w:hint="eastAsia" w:ascii="Times New Roman" w:cs="仿宋_GB2312"/>
                <w:kern w:val="0"/>
                <w:sz w:val="21"/>
                <w:szCs w:val="24"/>
                <w:highlight w:val="none"/>
                <w:vertAlign w:val="superscript"/>
                <w:lang w:val="en-US" w:eastAsia="zh-CN"/>
              </w:rPr>
              <w:t>2</w:t>
            </w:r>
          </w:p>
        </w:tc>
      </w:tr>
      <w:tr w14:paraId="6D729A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60EE500">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6D95B659">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w:t>
            </w:r>
          </w:p>
        </w:tc>
        <w:tc>
          <w:tcPr>
            <w:tcW w:w="2054" w:type="dxa"/>
            <w:tcBorders>
              <w:top w:val="single" w:color="000000" w:sz="4" w:space="0"/>
              <w:left w:val="single" w:color="000000" w:sz="4" w:space="0"/>
              <w:bottom w:val="single" w:color="000000" w:sz="4" w:space="0"/>
              <w:right w:val="single" w:color="000000" w:sz="4" w:space="0"/>
            </w:tcBorders>
            <w:vAlign w:val="center"/>
          </w:tcPr>
          <w:p w14:paraId="1EFB894C">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建筑面积</w:t>
            </w:r>
          </w:p>
        </w:tc>
        <w:tc>
          <w:tcPr>
            <w:tcW w:w="2000" w:type="dxa"/>
            <w:tcBorders>
              <w:top w:val="single" w:color="000000" w:sz="4" w:space="0"/>
              <w:left w:val="single" w:color="000000" w:sz="4" w:space="0"/>
              <w:bottom w:val="single" w:color="000000" w:sz="4" w:space="0"/>
              <w:right w:val="single" w:color="000000" w:sz="12" w:space="0"/>
            </w:tcBorders>
            <w:vAlign w:val="center"/>
          </w:tcPr>
          <w:p w14:paraId="58DA9969">
            <w:pPr>
              <w:pStyle w:val="100"/>
              <w:jc w:val="center"/>
              <w:rPr>
                <w:rFonts w:hint="eastAsia" w:ascii="Times New Roman" w:eastAsia="宋体" w:cs="Times New Roman"/>
                <w:sz w:val="21"/>
                <w:szCs w:val="21"/>
                <w:highlight w:val="none"/>
                <w:lang w:eastAsia="zh-CN"/>
              </w:rPr>
            </w:pPr>
            <w:r>
              <w:rPr>
                <w:rFonts w:hint="eastAsia" w:ascii="Times New Roman" w:cs="仿宋_GB2312"/>
                <w:kern w:val="0"/>
                <w:sz w:val="21"/>
                <w:szCs w:val="24"/>
                <w:highlight w:val="none"/>
                <w:lang w:val="en-US" w:eastAsia="zh-CN"/>
              </w:rPr>
              <w:t>2080m</w:t>
            </w:r>
            <w:r>
              <w:rPr>
                <w:rFonts w:hint="eastAsia" w:ascii="Times New Roman" w:cs="仿宋_GB2312"/>
                <w:kern w:val="0"/>
                <w:sz w:val="21"/>
                <w:szCs w:val="24"/>
                <w:highlight w:val="none"/>
                <w:vertAlign w:val="superscript"/>
                <w:lang w:val="en-US" w:eastAsia="zh-CN"/>
              </w:rPr>
              <w:t>2</w:t>
            </w:r>
          </w:p>
        </w:tc>
      </w:tr>
      <w:tr w14:paraId="0D3710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7295B137">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企业规模</w:t>
            </w:r>
          </w:p>
        </w:tc>
        <w:tc>
          <w:tcPr>
            <w:tcW w:w="3454" w:type="dxa"/>
            <w:tcBorders>
              <w:top w:val="single" w:color="000000" w:sz="4" w:space="0"/>
              <w:left w:val="single" w:color="000000" w:sz="4" w:space="0"/>
              <w:bottom w:val="single" w:color="000000" w:sz="4" w:space="0"/>
              <w:right w:val="single" w:color="000000" w:sz="4" w:space="0"/>
            </w:tcBorders>
            <w:vAlign w:val="center"/>
          </w:tcPr>
          <w:p w14:paraId="1317422D">
            <w:pPr>
              <w:pStyle w:val="100"/>
              <w:jc w:val="center"/>
              <w:rPr>
                <w:rFonts w:hint="eastAsia" w:ascii="Times New Roman" w:hAnsi="Times New Roman" w:eastAsia="仿宋_GB2312" w:cs="Times New Roman"/>
                <w:sz w:val="21"/>
                <w:szCs w:val="21"/>
                <w:lang w:val="en-US" w:eastAsia="zh-CN"/>
              </w:rPr>
            </w:pPr>
            <w:r>
              <w:rPr>
                <w:rFonts w:hint="eastAsia" w:ascii="宋体" w:hAnsi="宋体" w:eastAsia="宋体" w:cs="宋体"/>
                <w:sz w:val="21"/>
                <w:szCs w:val="21"/>
                <w:lang w:val="en-US" w:eastAsia="zh-CN"/>
              </w:rPr>
              <w:t>小型</w:t>
            </w:r>
          </w:p>
        </w:tc>
        <w:tc>
          <w:tcPr>
            <w:tcW w:w="2054" w:type="dxa"/>
            <w:tcBorders>
              <w:top w:val="single" w:color="000000" w:sz="4" w:space="0"/>
              <w:left w:val="single" w:color="000000" w:sz="4" w:space="0"/>
              <w:bottom w:val="single" w:color="000000" w:sz="4" w:space="0"/>
              <w:right w:val="single" w:color="000000" w:sz="4" w:space="0"/>
            </w:tcBorders>
            <w:vAlign w:val="center"/>
          </w:tcPr>
          <w:p w14:paraId="22E44822">
            <w:pPr>
              <w:pStyle w:val="100"/>
              <w:jc w:val="center"/>
              <w:rPr>
                <w:rFonts w:ascii="Times New Roman" w:hAnsi="Times New Roman" w:eastAsia="宋体" w:cs="Times New Roman"/>
                <w:color w:val="000000"/>
                <w:sz w:val="21"/>
                <w:szCs w:val="21"/>
                <w:highlight w:val="none"/>
                <w:lang w:val="en-US" w:eastAsia="zh-CN" w:bidi="ar-SA"/>
              </w:rPr>
            </w:pPr>
            <w:r>
              <w:rPr>
                <w:rFonts w:ascii="Times New Roman" w:eastAsia="宋体" w:cs="Times New Roman"/>
                <w:sz w:val="21"/>
                <w:szCs w:val="21"/>
                <w:highlight w:val="none"/>
              </w:rPr>
              <w:t>职工人数</w:t>
            </w:r>
          </w:p>
        </w:tc>
        <w:tc>
          <w:tcPr>
            <w:tcW w:w="2000" w:type="dxa"/>
            <w:tcBorders>
              <w:top w:val="single" w:color="000000" w:sz="4" w:space="0"/>
              <w:left w:val="single" w:color="000000" w:sz="4" w:space="0"/>
              <w:bottom w:val="single" w:color="000000" w:sz="4" w:space="0"/>
              <w:right w:val="single" w:color="000000" w:sz="12" w:space="0"/>
            </w:tcBorders>
            <w:vAlign w:val="center"/>
          </w:tcPr>
          <w:p w14:paraId="0112ECA7">
            <w:pPr>
              <w:pStyle w:val="10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eastAsia="宋体" w:cs="Times New Roman"/>
                <w:color w:val="auto"/>
                <w:sz w:val="21"/>
                <w:szCs w:val="21"/>
                <w:highlight w:val="none"/>
                <w:lang w:val="en-US" w:eastAsia="zh-CN"/>
              </w:rPr>
              <w:t>10</w:t>
            </w:r>
            <w:r>
              <w:rPr>
                <w:rFonts w:hint="eastAsia" w:ascii="Times New Roman" w:eastAsia="宋体" w:cs="Times New Roman"/>
                <w:sz w:val="21"/>
                <w:szCs w:val="21"/>
                <w:highlight w:val="none"/>
                <w:lang w:eastAsia="zh-CN"/>
              </w:rPr>
              <w:t>人</w:t>
            </w:r>
          </w:p>
        </w:tc>
      </w:tr>
      <w:tr w14:paraId="716BC4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97B2496">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主要原料</w:t>
            </w:r>
          </w:p>
        </w:tc>
        <w:tc>
          <w:tcPr>
            <w:tcW w:w="3454" w:type="dxa"/>
            <w:tcBorders>
              <w:top w:val="single" w:color="000000" w:sz="4" w:space="0"/>
              <w:left w:val="single" w:color="000000" w:sz="4" w:space="0"/>
              <w:bottom w:val="single" w:color="000000" w:sz="4" w:space="0"/>
              <w:right w:val="single" w:color="000000" w:sz="4" w:space="0"/>
            </w:tcBorders>
            <w:vAlign w:val="center"/>
          </w:tcPr>
          <w:p w14:paraId="44897AF6">
            <w:pPr>
              <w:pStyle w:val="100"/>
              <w:jc w:val="center"/>
              <w:rPr>
                <w:rFonts w:hint="default" w:ascii="Times New Roman" w:eastAsia="宋体" w:cs="Times New Roman"/>
                <w:sz w:val="21"/>
                <w:szCs w:val="21"/>
                <w:highlight w:val="none"/>
                <w:lang w:val="en-US"/>
              </w:rPr>
            </w:pPr>
            <w:r>
              <w:rPr>
                <w:rFonts w:hint="eastAsia" w:ascii="Times New Roman" w:eastAsia="宋体" w:cs="Times New Roman"/>
                <w:sz w:val="21"/>
                <w:szCs w:val="21"/>
                <w:highlight w:val="none"/>
                <w:lang w:val="en-US" w:eastAsia="zh-CN"/>
              </w:rPr>
              <w:t>木材、水性漆等</w:t>
            </w:r>
          </w:p>
        </w:tc>
        <w:tc>
          <w:tcPr>
            <w:tcW w:w="2054" w:type="dxa"/>
            <w:tcBorders>
              <w:top w:val="single" w:color="000000" w:sz="4" w:space="0"/>
              <w:left w:val="single" w:color="000000" w:sz="4" w:space="0"/>
              <w:bottom w:val="single" w:color="000000" w:sz="4" w:space="0"/>
              <w:right w:val="single" w:color="000000" w:sz="4" w:space="0"/>
            </w:tcBorders>
            <w:vAlign w:val="center"/>
          </w:tcPr>
          <w:p w14:paraId="3008C637">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所属行业</w:t>
            </w:r>
          </w:p>
        </w:tc>
        <w:tc>
          <w:tcPr>
            <w:tcW w:w="2000" w:type="dxa"/>
            <w:tcBorders>
              <w:top w:val="single" w:color="000000" w:sz="4" w:space="0"/>
              <w:left w:val="single" w:color="000000" w:sz="4" w:space="0"/>
              <w:bottom w:val="single" w:color="000000" w:sz="4" w:space="0"/>
              <w:right w:val="single" w:color="000000" w:sz="12" w:space="0"/>
            </w:tcBorders>
            <w:vAlign w:val="center"/>
          </w:tcPr>
          <w:p w14:paraId="4EE27DB4">
            <w:pPr>
              <w:pStyle w:val="100"/>
              <w:jc w:val="center"/>
              <w:rPr>
                <w:rFonts w:hint="eastAsia"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C2110木制家具制造</w:t>
            </w:r>
          </w:p>
        </w:tc>
      </w:tr>
      <w:tr w14:paraId="09591E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F46A327">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主要产品</w:t>
            </w:r>
          </w:p>
        </w:tc>
        <w:tc>
          <w:tcPr>
            <w:tcW w:w="3454" w:type="dxa"/>
            <w:tcBorders>
              <w:top w:val="single" w:color="000000" w:sz="4" w:space="0"/>
              <w:left w:val="single" w:color="000000" w:sz="4" w:space="0"/>
              <w:bottom w:val="single" w:color="000000" w:sz="4" w:space="0"/>
              <w:right w:val="single" w:color="000000" w:sz="4" w:space="0"/>
            </w:tcBorders>
            <w:vAlign w:val="center"/>
          </w:tcPr>
          <w:p w14:paraId="70D078C0">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家具</w:t>
            </w:r>
          </w:p>
        </w:tc>
        <w:tc>
          <w:tcPr>
            <w:tcW w:w="2054" w:type="dxa"/>
            <w:tcBorders>
              <w:top w:val="single" w:color="000000" w:sz="4" w:space="0"/>
              <w:left w:val="single" w:color="000000" w:sz="4" w:space="0"/>
              <w:bottom w:val="single" w:color="000000" w:sz="4" w:space="0"/>
              <w:right w:val="single" w:color="000000" w:sz="4" w:space="0"/>
            </w:tcBorders>
            <w:vAlign w:val="center"/>
          </w:tcPr>
          <w:p w14:paraId="2255163C">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经度坐标</w:t>
            </w:r>
          </w:p>
        </w:tc>
        <w:tc>
          <w:tcPr>
            <w:tcW w:w="2000" w:type="dxa"/>
            <w:tcBorders>
              <w:top w:val="single" w:color="000000" w:sz="4" w:space="0"/>
              <w:left w:val="single" w:color="000000" w:sz="4" w:space="0"/>
              <w:bottom w:val="single" w:color="000000" w:sz="4" w:space="0"/>
              <w:right w:val="single" w:color="000000" w:sz="12" w:space="0"/>
            </w:tcBorders>
            <w:vAlign w:val="center"/>
          </w:tcPr>
          <w:p w14:paraId="588B80DA">
            <w:pPr>
              <w:pStyle w:val="100"/>
              <w:jc w:val="center"/>
              <w:rPr>
                <w:rFonts w:hint="default" w:ascii="Times New Roman" w:eastAsia="仿宋_GB2312" w:cs="Times New Roman"/>
                <w:sz w:val="21"/>
                <w:szCs w:val="21"/>
                <w:highlight w:val="none"/>
                <w:lang w:val="en-US" w:eastAsia="zh-CN"/>
              </w:rPr>
            </w:pPr>
            <w:r>
              <w:rPr>
                <w:rFonts w:hint="eastAsia" w:ascii="Times New Roman" w:eastAsia="宋体" w:cs="Times New Roman"/>
                <w:sz w:val="21"/>
                <w:szCs w:val="21"/>
                <w:highlight w:val="none"/>
                <w:lang w:val="en-US" w:eastAsia="zh-CN"/>
              </w:rPr>
              <w:t>E120.534915</w:t>
            </w:r>
          </w:p>
        </w:tc>
      </w:tr>
      <w:tr w14:paraId="75C092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585C783">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联系人</w:t>
            </w:r>
          </w:p>
        </w:tc>
        <w:tc>
          <w:tcPr>
            <w:tcW w:w="3454" w:type="dxa"/>
            <w:tcBorders>
              <w:top w:val="single" w:color="000000" w:sz="4" w:space="0"/>
              <w:left w:val="single" w:color="000000" w:sz="4" w:space="0"/>
              <w:bottom w:val="single" w:color="000000" w:sz="4" w:space="0"/>
              <w:right w:val="single" w:color="000000" w:sz="4" w:space="0"/>
            </w:tcBorders>
            <w:vAlign w:val="center"/>
          </w:tcPr>
          <w:p w14:paraId="4E20EE62">
            <w:pPr>
              <w:pStyle w:val="100"/>
              <w:jc w:val="center"/>
              <w:rPr>
                <w:rFonts w:hint="eastAsia" w:ascii="Times New Roman" w:eastAsia="宋体" w:cs="Times New Roman"/>
                <w:color w:val="000000"/>
                <w:sz w:val="21"/>
                <w:szCs w:val="21"/>
                <w:highlight w:val="none"/>
                <w:lang w:val="en-US" w:eastAsia="zh-CN"/>
              </w:rPr>
            </w:pPr>
            <w:r>
              <w:rPr>
                <w:rFonts w:hint="eastAsia" w:ascii="Times New Roman" w:eastAsia="宋体" w:cs="Times New Roman"/>
                <w:b w:val="0"/>
                <w:bCs w:val="0"/>
                <w:color w:val="000000"/>
                <w:sz w:val="21"/>
                <w:szCs w:val="21"/>
                <w:highlight w:val="none"/>
                <w:lang w:val="en-US" w:eastAsia="zh-CN"/>
              </w:rPr>
              <w:t>曹伟强</w:t>
            </w:r>
          </w:p>
        </w:tc>
        <w:tc>
          <w:tcPr>
            <w:tcW w:w="2054" w:type="dxa"/>
            <w:tcBorders>
              <w:top w:val="single" w:color="000000" w:sz="4" w:space="0"/>
              <w:left w:val="single" w:color="000000" w:sz="4" w:space="0"/>
              <w:bottom w:val="single" w:color="000000" w:sz="4" w:space="0"/>
              <w:right w:val="single" w:color="000000" w:sz="4" w:space="0"/>
            </w:tcBorders>
            <w:vAlign w:val="center"/>
          </w:tcPr>
          <w:p w14:paraId="29DE6160">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纬度坐标</w:t>
            </w:r>
          </w:p>
        </w:tc>
        <w:tc>
          <w:tcPr>
            <w:tcW w:w="2000" w:type="dxa"/>
            <w:tcBorders>
              <w:top w:val="single" w:color="000000" w:sz="4" w:space="0"/>
              <w:left w:val="single" w:color="000000" w:sz="4" w:space="0"/>
              <w:bottom w:val="single" w:color="000000" w:sz="4" w:space="0"/>
              <w:right w:val="single" w:color="000000" w:sz="12" w:space="0"/>
            </w:tcBorders>
            <w:vAlign w:val="center"/>
          </w:tcPr>
          <w:p w14:paraId="14B9E3F0">
            <w:pPr>
              <w:pStyle w:val="100"/>
              <w:jc w:val="center"/>
              <w:rPr>
                <w:rFonts w:hint="default" w:ascii="Times New Roman" w:eastAsia="仿宋_GB2312" w:cs="Times New Roman"/>
                <w:sz w:val="21"/>
                <w:szCs w:val="21"/>
                <w:highlight w:val="none"/>
                <w:lang w:val="en-US" w:eastAsia="zh-CN"/>
              </w:rPr>
            </w:pPr>
            <w:r>
              <w:rPr>
                <w:rFonts w:hint="eastAsia" w:ascii="Times New Roman" w:eastAsia="宋体" w:cs="Times New Roman"/>
                <w:sz w:val="21"/>
                <w:szCs w:val="21"/>
                <w:highlight w:val="none"/>
                <w:lang w:val="en-US" w:eastAsia="zh-CN"/>
              </w:rPr>
              <w:t>N32.570783</w:t>
            </w:r>
          </w:p>
        </w:tc>
      </w:tr>
      <w:tr w14:paraId="2E1522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7A958326">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03055AF3">
            <w:pPr>
              <w:pStyle w:val="10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eastAsia="宋体" w:cs="Times New Roman"/>
                <w:b w:val="0"/>
                <w:bCs w:val="0"/>
                <w:color w:val="000000"/>
                <w:sz w:val="21"/>
                <w:szCs w:val="21"/>
                <w:highlight w:val="none"/>
                <w:lang w:val="en-US" w:eastAsia="zh-CN"/>
              </w:rPr>
              <w:t>13957312378</w:t>
            </w:r>
          </w:p>
        </w:tc>
        <w:tc>
          <w:tcPr>
            <w:tcW w:w="2054" w:type="dxa"/>
            <w:tcBorders>
              <w:top w:val="single" w:color="000000" w:sz="4" w:space="0"/>
              <w:left w:val="single" w:color="000000" w:sz="4" w:space="0"/>
              <w:bottom w:val="single" w:color="000000" w:sz="4" w:space="0"/>
              <w:right w:val="single" w:color="000000" w:sz="4" w:space="0"/>
            </w:tcBorders>
            <w:vAlign w:val="center"/>
          </w:tcPr>
          <w:p w14:paraId="2F729742">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历史事故</w:t>
            </w:r>
          </w:p>
        </w:tc>
        <w:tc>
          <w:tcPr>
            <w:tcW w:w="2000" w:type="dxa"/>
            <w:tcBorders>
              <w:top w:val="single" w:color="000000" w:sz="4" w:space="0"/>
              <w:left w:val="single" w:color="000000" w:sz="4" w:space="0"/>
              <w:bottom w:val="single" w:color="000000" w:sz="4" w:space="0"/>
              <w:right w:val="single" w:color="000000" w:sz="12" w:space="0"/>
            </w:tcBorders>
            <w:vAlign w:val="center"/>
          </w:tcPr>
          <w:p w14:paraId="60A27129">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无</w:t>
            </w:r>
          </w:p>
        </w:tc>
      </w:tr>
    </w:tbl>
    <w:p w14:paraId="1A66A2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公司具体</w:t>
      </w:r>
      <w:r>
        <w:rPr>
          <w:rFonts w:hint="eastAsia" w:eastAsia="宋体" w:cs="Times New Roman"/>
          <w:lang w:val="en-US" w:eastAsia="zh-CN"/>
        </w:rPr>
        <w:t>环评</w:t>
      </w:r>
      <w:r>
        <w:rPr>
          <w:rFonts w:hint="default" w:ascii="Times New Roman" w:hAnsi="Times New Roman" w:eastAsia="宋体" w:cs="Times New Roman"/>
        </w:rPr>
        <w:t>情况见表3-2。</w:t>
      </w:r>
    </w:p>
    <w:p w14:paraId="7012580B">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highlight w:val="none"/>
          <w:lang w:val="en-US" w:eastAsia="zh-CN"/>
        </w:rPr>
      </w:pPr>
      <w:r>
        <w:rPr>
          <w:rFonts w:hint="default" w:ascii="Times New Roman" w:hAnsi="Times New Roman" w:eastAsia="宋体" w:cs="Times New Roman"/>
          <w:b/>
          <w:szCs w:val="28"/>
        </w:rPr>
        <w:t>表3-2</w:t>
      </w:r>
      <w:r>
        <w:rPr>
          <w:rFonts w:hint="eastAsia" w:eastAsia="宋体" w:cs="Times New Roman"/>
          <w:b/>
          <w:szCs w:val="28"/>
          <w:lang w:eastAsia="zh-CN"/>
        </w:rPr>
        <w:t>环评</w:t>
      </w:r>
      <w:r>
        <w:rPr>
          <w:rFonts w:hint="eastAsia" w:eastAsia="宋体" w:cs="Times New Roman"/>
          <w:b/>
          <w:szCs w:val="28"/>
          <w:lang w:val="en-US" w:eastAsia="zh-CN"/>
        </w:rPr>
        <w:t>情况</w:t>
      </w:r>
    </w:p>
    <w:tbl>
      <w:tblPr>
        <w:tblStyle w:val="3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462"/>
        <w:gridCol w:w="2055"/>
        <w:gridCol w:w="2681"/>
      </w:tblGrid>
      <w:tr w14:paraId="7B748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1" w:hRule="atLeast"/>
          <w:tblHeader/>
          <w:jc w:val="center"/>
        </w:trPr>
        <w:tc>
          <w:tcPr>
            <w:tcW w:w="2425" w:type="pct"/>
            <w:vMerge w:val="restart"/>
            <w:tcBorders>
              <w:tl2br w:val="nil"/>
              <w:tr2bl w:val="nil"/>
            </w:tcBorders>
            <w:vAlign w:val="center"/>
          </w:tcPr>
          <w:p w14:paraId="2933EFAD">
            <w:pPr>
              <w:widowControl/>
              <w:adjustRightInd w:val="0"/>
              <w:snapToGrid w:val="0"/>
              <w:jc w:val="center"/>
              <w:rPr>
                <w:rFonts w:eastAsia="宋体"/>
                <w:sz w:val="21"/>
                <w:szCs w:val="21"/>
                <w:highlight w:val="none"/>
              </w:rPr>
            </w:pPr>
            <w:r>
              <w:rPr>
                <w:rFonts w:eastAsia="宋体"/>
                <w:sz w:val="21"/>
                <w:szCs w:val="21"/>
                <w:highlight w:val="none"/>
              </w:rPr>
              <w:t>项目</w:t>
            </w:r>
          </w:p>
        </w:tc>
        <w:tc>
          <w:tcPr>
            <w:tcW w:w="2574" w:type="pct"/>
            <w:gridSpan w:val="2"/>
            <w:tcBorders>
              <w:tl2br w:val="nil"/>
              <w:tr2bl w:val="nil"/>
            </w:tcBorders>
            <w:shd w:val="clear" w:color="auto" w:fill="auto"/>
            <w:vAlign w:val="center"/>
          </w:tcPr>
          <w:p w14:paraId="14208E16">
            <w:pPr>
              <w:widowControl/>
              <w:adjustRightInd w:val="0"/>
              <w:snapToGrid w:val="0"/>
              <w:jc w:val="center"/>
              <w:rPr>
                <w:rFonts w:eastAsia="宋体"/>
                <w:sz w:val="21"/>
                <w:szCs w:val="21"/>
                <w:highlight w:val="none"/>
              </w:rPr>
            </w:pPr>
            <w:r>
              <w:rPr>
                <w:rFonts w:hint="eastAsia" w:eastAsia="宋体"/>
                <w:sz w:val="21"/>
                <w:szCs w:val="21"/>
                <w:highlight w:val="none"/>
                <w:lang w:val="en-US" w:eastAsia="zh-CN"/>
              </w:rPr>
              <w:t>环评</w:t>
            </w:r>
            <w:r>
              <w:rPr>
                <w:rFonts w:eastAsia="宋体"/>
                <w:sz w:val="21"/>
                <w:szCs w:val="21"/>
                <w:highlight w:val="none"/>
              </w:rPr>
              <w:t>批复情况</w:t>
            </w:r>
          </w:p>
        </w:tc>
      </w:tr>
      <w:tr w14:paraId="38785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tblHeader/>
          <w:jc w:val="center"/>
        </w:trPr>
        <w:tc>
          <w:tcPr>
            <w:tcW w:w="2425" w:type="pct"/>
            <w:vMerge w:val="continue"/>
            <w:tcBorders>
              <w:tl2br w:val="nil"/>
              <w:tr2bl w:val="nil"/>
            </w:tcBorders>
            <w:vAlign w:val="center"/>
          </w:tcPr>
          <w:p w14:paraId="0005E127">
            <w:pPr>
              <w:widowControl/>
              <w:adjustRightInd w:val="0"/>
              <w:snapToGrid w:val="0"/>
              <w:jc w:val="center"/>
              <w:rPr>
                <w:rFonts w:eastAsia="宋体"/>
                <w:sz w:val="21"/>
                <w:szCs w:val="21"/>
                <w:highlight w:val="none"/>
              </w:rPr>
            </w:pPr>
          </w:p>
        </w:tc>
        <w:tc>
          <w:tcPr>
            <w:tcW w:w="1117" w:type="pct"/>
            <w:tcBorders>
              <w:tl2br w:val="nil"/>
              <w:tr2bl w:val="nil"/>
            </w:tcBorders>
            <w:shd w:val="clear" w:color="auto" w:fill="auto"/>
            <w:vAlign w:val="center"/>
          </w:tcPr>
          <w:p w14:paraId="7A810A1D">
            <w:pPr>
              <w:widowControl/>
              <w:adjustRightInd w:val="0"/>
              <w:snapToGrid w:val="0"/>
              <w:jc w:val="center"/>
              <w:rPr>
                <w:rFonts w:eastAsia="宋体"/>
                <w:sz w:val="21"/>
                <w:szCs w:val="21"/>
                <w:highlight w:val="none"/>
              </w:rPr>
            </w:pPr>
            <w:r>
              <w:rPr>
                <w:rFonts w:eastAsia="宋体"/>
                <w:sz w:val="21"/>
                <w:szCs w:val="21"/>
                <w:highlight w:val="none"/>
              </w:rPr>
              <w:t>审批单位</w:t>
            </w:r>
          </w:p>
        </w:tc>
        <w:tc>
          <w:tcPr>
            <w:tcW w:w="1456" w:type="pct"/>
            <w:tcBorders>
              <w:tl2br w:val="nil"/>
              <w:tr2bl w:val="nil"/>
            </w:tcBorders>
            <w:shd w:val="clear" w:color="auto" w:fill="auto"/>
            <w:vAlign w:val="center"/>
          </w:tcPr>
          <w:p w14:paraId="5592A3EC">
            <w:pPr>
              <w:widowControl/>
              <w:adjustRightInd w:val="0"/>
              <w:snapToGrid w:val="0"/>
              <w:jc w:val="center"/>
              <w:rPr>
                <w:rFonts w:eastAsia="宋体"/>
                <w:sz w:val="21"/>
                <w:szCs w:val="21"/>
                <w:highlight w:val="none"/>
              </w:rPr>
            </w:pPr>
            <w:r>
              <w:rPr>
                <w:rFonts w:eastAsia="宋体"/>
                <w:sz w:val="21"/>
                <w:szCs w:val="21"/>
                <w:highlight w:val="none"/>
              </w:rPr>
              <w:t>审批文号</w:t>
            </w:r>
          </w:p>
        </w:tc>
      </w:tr>
      <w:tr w14:paraId="654F4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425" w:type="pct"/>
            <w:tcBorders>
              <w:tl2br w:val="nil"/>
              <w:tr2bl w:val="nil"/>
            </w:tcBorders>
            <w:vAlign w:val="center"/>
          </w:tcPr>
          <w:p w14:paraId="027A6FF1">
            <w:pPr>
              <w:keepNext w:val="0"/>
              <w:keepLines w:val="0"/>
              <w:widowControl/>
              <w:suppressLineNumbers w:val="0"/>
              <w:jc w:val="left"/>
              <w:rPr>
                <w:rFonts w:hint="default" w:eastAsia="宋体"/>
                <w:sz w:val="21"/>
                <w:szCs w:val="21"/>
                <w:highlight w:val="none"/>
                <w:lang w:val="en-US"/>
              </w:rPr>
            </w:pPr>
            <w:r>
              <w:rPr>
                <w:rFonts w:hint="eastAsia" w:eastAsia="宋体"/>
                <w:sz w:val="21"/>
                <w:szCs w:val="21"/>
                <w:highlight w:val="none"/>
                <w:lang w:val="en-US" w:eastAsia="zh-CN"/>
              </w:rPr>
              <w:t>海安帝洁雅家具有限公司家具生产项目</w:t>
            </w:r>
          </w:p>
        </w:tc>
        <w:tc>
          <w:tcPr>
            <w:tcW w:w="1117" w:type="pct"/>
            <w:tcBorders>
              <w:tl2br w:val="nil"/>
              <w:tr2bl w:val="nil"/>
            </w:tcBorders>
            <w:shd w:val="clear" w:color="auto" w:fill="auto"/>
            <w:vAlign w:val="center"/>
          </w:tcPr>
          <w:p w14:paraId="53414DCD">
            <w:pPr>
              <w:widowControl/>
              <w:adjustRightInd w:val="0"/>
              <w:snapToGrid w:val="0"/>
              <w:jc w:val="center"/>
              <w:rPr>
                <w:rFonts w:hint="default" w:eastAsia="宋体"/>
                <w:sz w:val="21"/>
                <w:szCs w:val="21"/>
                <w:highlight w:val="none"/>
                <w:lang w:val="en-US" w:eastAsia="zh-CN"/>
              </w:rPr>
            </w:pPr>
            <w:r>
              <w:rPr>
                <w:rFonts w:eastAsia="宋体"/>
                <w:sz w:val="21"/>
                <w:szCs w:val="21"/>
                <w:highlight w:val="none"/>
              </w:rPr>
              <w:t>海安</w:t>
            </w:r>
            <w:r>
              <w:rPr>
                <w:rFonts w:hint="eastAsia" w:eastAsia="宋体"/>
                <w:sz w:val="21"/>
                <w:szCs w:val="21"/>
                <w:highlight w:val="none"/>
                <w:lang w:val="en-US" w:eastAsia="zh-CN"/>
              </w:rPr>
              <w:t>市行政审批局</w:t>
            </w:r>
          </w:p>
        </w:tc>
        <w:tc>
          <w:tcPr>
            <w:tcW w:w="1456" w:type="pct"/>
            <w:tcBorders>
              <w:tl2br w:val="nil"/>
              <w:tr2bl w:val="nil"/>
            </w:tcBorders>
            <w:shd w:val="clear" w:color="auto" w:fill="auto"/>
            <w:vAlign w:val="center"/>
          </w:tcPr>
          <w:p w14:paraId="54CF78C1">
            <w:pPr>
              <w:widowControl/>
              <w:adjustRightInd w:val="0"/>
              <w:snapToGrid w:val="0"/>
              <w:jc w:val="center"/>
              <w:rPr>
                <w:rFonts w:hint="eastAsia" w:eastAsia="宋体"/>
                <w:sz w:val="21"/>
                <w:szCs w:val="21"/>
                <w:highlight w:val="none"/>
                <w:lang w:eastAsia="zh-CN"/>
              </w:rPr>
            </w:pPr>
            <w:r>
              <w:rPr>
                <w:rFonts w:hint="eastAsia" w:ascii="Times New Roman" w:hAnsi="Times New Roman" w:eastAsia="宋体" w:cs="Times New Roman"/>
                <w:i w:val="0"/>
                <w:iCs w:val="0"/>
                <w:caps w:val="0"/>
                <w:color w:val="auto"/>
                <w:spacing w:val="0"/>
                <w:sz w:val="21"/>
                <w:szCs w:val="21"/>
                <w:highlight w:val="none"/>
                <w:shd w:val="clear" w:fill="auto"/>
              </w:rPr>
              <w:t>海开行审(20</w:t>
            </w:r>
            <w:r>
              <w:rPr>
                <w:rFonts w:hint="eastAsia" w:eastAsia="宋体" w:cs="Times New Roman"/>
                <w:i w:val="0"/>
                <w:iCs w:val="0"/>
                <w:caps w:val="0"/>
                <w:color w:val="auto"/>
                <w:spacing w:val="0"/>
                <w:sz w:val="21"/>
                <w:szCs w:val="21"/>
                <w:highlight w:val="none"/>
                <w:shd w:val="clear" w:fill="auto"/>
                <w:lang w:val="en-US" w:eastAsia="zh-CN"/>
              </w:rPr>
              <w:t>20</w:t>
            </w:r>
            <w:r>
              <w:rPr>
                <w:rFonts w:hint="eastAsia" w:ascii="Times New Roman" w:hAnsi="Times New Roman" w:eastAsia="宋体" w:cs="Times New Roman"/>
                <w:i w:val="0"/>
                <w:iCs w:val="0"/>
                <w:caps w:val="0"/>
                <w:color w:val="auto"/>
                <w:spacing w:val="0"/>
                <w:sz w:val="21"/>
                <w:szCs w:val="21"/>
                <w:highlight w:val="none"/>
                <w:shd w:val="clear" w:fill="auto"/>
              </w:rPr>
              <w:t>)</w:t>
            </w:r>
            <w:r>
              <w:rPr>
                <w:rFonts w:hint="eastAsia" w:eastAsia="宋体" w:cs="Times New Roman"/>
                <w:i w:val="0"/>
                <w:iCs w:val="0"/>
                <w:caps w:val="0"/>
                <w:color w:val="auto"/>
                <w:spacing w:val="0"/>
                <w:sz w:val="21"/>
                <w:szCs w:val="21"/>
                <w:highlight w:val="none"/>
                <w:shd w:val="clear" w:fill="auto"/>
                <w:lang w:val="en-US" w:eastAsia="zh-CN"/>
              </w:rPr>
              <w:t>417</w:t>
            </w:r>
            <w:r>
              <w:rPr>
                <w:rFonts w:hint="eastAsia" w:ascii="Times New Roman" w:hAnsi="Times New Roman" w:eastAsia="宋体" w:cs="Times New Roman"/>
                <w:i w:val="0"/>
                <w:iCs w:val="0"/>
                <w:caps w:val="0"/>
                <w:color w:val="auto"/>
                <w:spacing w:val="0"/>
                <w:sz w:val="21"/>
                <w:szCs w:val="21"/>
                <w:highlight w:val="none"/>
                <w:shd w:val="clear" w:fill="auto"/>
              </w:rPr>
              <w:t>号</w:t>
            </w:r>
          </w:p>
        </w:tc>
      </w:tr>
    </w:tbl>
    <w:p w14:paraId="2E19F8D8">
      <w:pPr>
        <w:pStyle w:val="5"/>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rPr>
      </w:pPr>
      <w:bookmarkStart w:id="48" w:name="_Toc496887104"/>
      <w:bookmarkStart w:id="49" w:name="_Toc16237"/>
      <w:bookmarkStart w:id="50" w:name="_Toc16743"/>
      <w:bookmarkStart w:id="51" w:name="_Toc510092931"/>
      <w:bookmarkStart w:id="52" w:name="_Toc12964"/>
      <w:r>
        <w:rPr>
          <w:rFonts w:hint="default" w:ascii="Times New Roman" w:hAnsi="Times New Roman" w:eastAsia="宋体" w:cs="Times New Roman"/>
        </w:rPr>
        <w:t>3.1.2自然环境</w:t>
      </w:r>
      <w:bookmarkEnd w:id="48"/>
      <w:bookmarkEnd w:id="49"/>
      <w:bookmarkEnd w:id="50"/>
      <w:bookmarkEnd w:id="51"/>
      <w:bookmarkEnd w:id="52"/>
    </w:p>
    <w:p w14:paraId="5D5C4C99">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企业位于海安市</w:t>
      </w:r>
      <w:r>
        <w:rPr>
          <w:rFonts w:hint="eastAsia" w:ascii="Times New Roman" w:hAnsi="Times New Roman" w:eastAsia="宋体" w:cs="Times New Roman"/>
          <w:color w:val="000000" w:themeColor="text1"/>
          <w:szCs w:val="24"/>
          <w:lang w:val="en-US" w:eastAsia="zh-CN"/>
          <w14:textFill>
            <w14:solidFill>
              <w14:schemeClr w14:val="tx1"/>
            </w14:solidFill>
          </w14:textFill>
        </w:rPr>
        <w:t>经济技术开发区</w:t>
      </w:r>
      <w:r>
        <w:rPr>
          <w:rFonts w:ascii="Times New Roman" w:hAnsi="Times New Roman" w:eastAsia="宋体" w:cs="Times New Roman"/>
          <w:color w:val="000000" w:themeColor="text1"/>
          <w:szCs w:val="24"/>
          <w14:textFill>
            <w14:solidFill>
              <w14:schemeClr w14:val="tx1"/>
            </w14:solidFill>
          </w14:textFill>
        </w:rPr>
        <w:t>，具体位置见附图。</w:t>
      </w:r>
    </w:p>
    <w:p w14:paraId="43E96277">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1）地理位置：海安市地处江苏省中南部，地处北纬</w:t>
      </w:r>
      <w:r>
        <w:rPr>
          <w:rFonts w:hint="default" w:ascii="Times New Roman" w:hAnsi="Times New Roman" w:eastAsia="宋体" w:cs="Times New Roman"/>
          <w:color w:val="000000" w:themeColor="text1"/>
          <w:szCs w:val="24"/>
          <w:lang w:val="en-US" w:eastAsia="zh-CN"/>
          <w14:textFill>
            <w14:solidFill>
              <w14:schemeClr w14:val="tx1"/>
            </w14:solidFill>
          </w14:textFill>
        </w:rPr>
        <w:t>32°32′～32°43′</w:t>
      </w:r>
      <w:r>
        <w:rPr>
          <w:rFonts w:hint="eastAsia" w:ascii="Times New Roman" w:hAnsi="Times New Roman" w:eastAsia="宋体" w:cs="Times New Roman"/>
          <w:color w:val="000000" w:themeColor="text1"/>
          <w:szCs w:val="24"/>
          <w:lang w:val="en-US" w:eastAsia="zh-CN"/>
          <w14:textFill>
            <w14:solidFill>
              <w14:schemeClr w14:val="tx1"/>
            </w14:solidFill>
          </w14:textFill>
        </w:rPr>
        <w:t>，东经</w:t>
      </w:r>
      <w:r>
        <w:rPr>
          <w:rFonts w:hint="default" w:ascii="Times New Roman" w:hAnsi="Times New Roman" w:eastAsia="宋体" w:cs="Times New Roman"/>
          <w:color w:val="000000" w:themeColor="text1"/>
          <w:szCs w:val="24"/>
          <w:lang w:val="en-US" w:eastAsia="zh-CN"/>
          <w14:textFill>
            <w14:solidFill>
              <w14:schemeClr w14:val="tx1"/>
            </w14:solidFill>
          </w14:textFill>
        </w:rPr>
        <w:t>120°12′～120°53′</w:t>
      </w:r>
      <w:r>
        <w:rPr>
          <w:rFonts w:ascii="Times New Roman" w:hAnsi="Times New Roman" w:eastAsia="宋体" w:cs="Times New Roman"/>
          <w:color w:val="000000" w:themeColor="text1"/>
          <w:szCs w:val="24"/>
          <w14:textFill>
            <w14:solidFill>
              <w14:schemeClr w14:val="tx1"/>
            </w14:solidFill>
          </w14:textFill>
        </w:rPr>
        <w:t>，坐落于长江三角洲东北翼，西接</w:t>
      </w:r>
      <w:r>
        <w:rPr>
          <w:rFonts w:hint="eastAsia" w:ascii="Times New Roman" w:hAnsi="Times New Roman" w:eastAsia="宋体" w:cs="Times New Roman"/>
          <w:color w:val="000000" w:themeColor="text1"/>
          <w:szCs w:val="24"/>
          <w:lang w:eastAsia="zh-CN"/>
          <w14:textFill>
            <w14:solidFill>
              <w14:schemeClr w14:val="tx1"/>
            </w14:solidFill>
          </w14:textFill>
        </w:rPr>
        <w:t>姜堰区</w:t>
      </w:r>
      <w:r>
        <w:rPr>
          <w:rFonts w:ascii="Times New Roman" w:hAnsi="Times New Roman" w:eastAsia="宋体" w:cs="Times New Roman"/>
          <w:color w:val="000000" w:themeColor="text1"/>
          <w:szCs w:val="24"/>
          <w14:textFill>
            <w14:solidFill>
              <w14:schemeClr w14:val="tx1"/>
            </w14:solidFill>
          </w14:textFill>
        </w:rPr>
        <w:t>，东临南黄海，北接东台市，南与泰兴市、如皋市、如东县毗连，地理位置优越。204国道、328国道和202省道贯穿全境，</w:t>
      </w:r>
      <w:r>
        <w:rPr>
          <w:rFonts w:hint="eastAsia" w:ascii="Times New Roman" w:hAnsi="Times New Roman" w:eastAsia="宋体" w:cs="Times New Roman"/>
          <w:color w:val="000000" w:themeColor="text1"/>
          <w:szCs w:val="24"/>
          <w:lang w:eastAsia="zh-CN"/>
          <w14:textFill>
            <w14:solidFill>
              <w14:schemeClr w14:val="tx1"/>
            </w14:solidFill>
          </w14:textFill>
        </w:rPr>
        <w:t>洋蛮河</w:t>
      </w:r>
      <w:r>
        <w:rPr>
          <w:rFonts w:ascii="Times New Roman" w:hAnsi="Times New Roman" w:eastAsia="宋体" w:cs="Times New Roman"/>
          <w:color w:val="000000" w:themeColor="text1"/>
          <w:szCs w:val="24"/>
          <w14:textFill>
            <w14:solidFill>
              <w14:schemeClr w14:val="tx1"/>
            </w14:solidFill>
          </w14:textFill>
        </w:rPr>
        <w:t>和通榆运河畅流其间，新长铁路（江苏新沂至浙江长兴）和宁启铁路（南京至启东）在此交汇，建设中的通盐高速公路和规划中的扬州至海安高速公路在此连接。海安火车站集客运站、货运站、机务段、编组站为一体，是苏中地区最大的二级编组站。区内交通十分发达，是苏中东部地区重要的交通枢纽。</w:t>
      </w:r>
    </w:p>
    <w:p w14:paraId="0F6F4C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2）地形地貌</w:t>
      </w:r>
    </w:p>
    <w:p w14:paraId="38F5D0E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海安属长江三角洲海相、河相交互沉积的沙嘴沙洲冲积平原，地表全部由第四系松散岩类覆盖，属扬子地层区。海安市形如匙型，东西最长71.1公里，南北最宽39.95公里，境内地势平坦，地面高程1.6</w:t>
      </w:r>
      <w:r>
        <w:rPr>
          <w:rFonts w:hint="eastAsia" w:eastAsia="宋体"/>
          <w:kern w:val="0"/>
          <w:lang w:eastAsia="zh-CN"/>
        </w:rPr>
        <w:t>～</w:t>
      </w:r>
      <w:r>
        <w:rPr>
          <w:rFonts w:eastAsia="宋体"/>
          <w:kern w:val="0"/>
        </w:rPr>
        <w:t>6米，西北部圩田地带和东北沿海地带地势较低，中部和南部地势略高。地面高程自南向北由6.0米降至1.6米，全县由平原和圩洼构成，分别占总面积的78.3%和21.7%。</w:t>
      </w:r>
    </w:p>
    <w:p w14:paraId="63DE040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3）地质</w:t>
      </w:r>
    </w:p>
    <w:p w14:paraId="6C356B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本地区地震频度低，强度弱，地震烈度在6度以下，为浅源构造地震，震源深度多在10-20公里，基本发生在花岗岩层中，属弱震区。根据国家地震局、建设部“关于发布《中国地震烈度区划图（1990）》及《中国地震烈度区划图（1990）使用规定》的通知（震发办</w:t>
      </w:r>
      <w:r>
        <w:rPr>
          <w:rFonts w:hint="eastAsia" w:eastAsia="宋体"/>
          <w:kern w:val="0"/>
          <w:lang w:eastAsia="zh-CN"/>
        </w:rPr>
        <w:t>〔</w:t>
      </w:r>
      <w:r>
        <w:rPr>
          <w:rFonts w:eastAsia="宋体"/>
          <w:kern w:val="0"/>
        </w:rPr>
        <w:t>1992</w:t>
      </w:r>
      <w:r>
        <w:rPr>
          <w:rFonts w:hint="eastAsia" w:eastAsia="宋体"/>
          <w:kern w:val="0"/>
          <w:lang w:eastAsia="zh-CN"/>
        </w:rPr>
        <w:t>〕</w:t>
      </w:r>
      <w:r>
        <w:rPr>
          <w:rFonts w:eastAsia="宋体"/>
          <w:kern w:val="0"/>
        </w:rPr>
        <w:t>160号）”，确定海安市50年超过概率10%的烈度值为Ⅵ度。</w:t>
      </w:r>
    </w:p>
    <w:p w14:paraId="6CA3958C">
      <w:pPr>
        <w:pStyle w:val="13"/>
        <w:keepNext w:val="0"/>
        <w:keepLines w:val="0"/>
        <w:pageBreakBefore w:val="0"/>
        <w:widowControl w:val="0"/>
        <w:kinsoku/>
        <w:wordWrap/>
        <w:overflowPunct/>
        <w:topLinePunct w:val="0"/>
        <w:autoSpaceDE/>
        <w:autoSpaceDN/>
        <w:bidi w:val="0"/>
        <w:spacing w:after="0" w:line="500" w:lineRule="exact"/>
        <w:ind w:firstLine="480" w:firstLineChars="200"/>
        <w:textAlignment w:val="auto"/>
        <w:rPr>
          <w:rFonts w:eastAsia="宋体"/>
          <w:kern w:val="0"/>
        </w:rPr>
      </w:pPr>
      <w:r>
        <w:rPr>
          <w:rFonts w:eastAsia="宋体"/>
          <w:kern w:val="0"/>
        </w:rPr>
        <w:t>4）土壤</w:t>
      </w:r>
    </w:p>
    <w:p w14:paraId="7F7E47DE">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kern w:val="0"/>
          <w:szCs w:val="24"/>
        </w:rPr>
      </w:pPr>
      <w:r>
        <w:rPr>
          <w:rFonts w:ascii="Times New Roman" w:hAnsi="Times New Roman" w:eastAsia="宋体" w:cs="Times New Roman"/>
          <w:color w:val="000000" w:themeColor="text1"/>
          <w:szCs w:val="24"/>
          <w14:textFill>
            <w14:solidFill>
              <w14:schemeClr w14:val="tx1"/>
            </w14:solidFill>
          </w14:textFill>
        </w:rPr>
        <w:t>项目所在地土壤为潮土类，灰潮土亚类的夹沙土属。属扬泰古沙咀，系江淮水流夹带泥沙，在海水顶托下沉积而成。河南沙性土成土年龄较长，质地偏沙，以轻壤为主，部分沙壤，有机质含量偏低，磷钾极缺。粗粉砂含量在50%</w:t>
      </w:r>
      <w:r>
        <w:rPr>
          <w:rFonts w:hint="eastAsia" w:ascii="Times New Roman" w:hAnsi="Times New Roman" w:eastAsia="宋体" w:cs="Times New Roman"/>
          <w:color w:val="000000" w:themeColor="text1"/>
          <w:szCs w:val="24"/>
          <w:lang w:eastAsia="zh-CN"/>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60%，粘粒含量占15%</w:t>
      </w:r>
      <w:r>
        <w:rPr>
          <w:rFonts w:hint="eastAsia" w:ascii="Times New Roman" w:hAnsi="Times New Roman" w:eastAsia="宋体" w:cs="Times New Roman"/>
          <w:color w:val="000000" w:themeColor="text1"/>
          <w:szCs w:val="24"/>
          <w:lang w:eastAsia="zh-CN"/>
          <w14:textFill>
            <w14:solidFill>
              <w14:schemeClr w14:val="tx1"/>
            </w14:solidFill>
          </w14:textFill>
        </w:rPr>
        <w:t>～</w:t>
      </w:r>
      <w:r>
        <w:rPr>
          <w:rFonts w:ascii="Times New Roman" w:hAnsi="Times New Roman" w:eastAsia="宋体" w:cs="Times New Roman"/>
          <w:color w:val="000000" w:themeColor="text1"/>
          <w:szCs w:val="24"/>
          <w14:textFill>
            <w14:solidFill>
              <w14:schemeClr w14:val="tx1"/>
            </w14:solidFill>
          </w14:textFill>
        </w:rPr>
        <w:t>20%，表层中有机质含量1.66%、全氮含量0.123%、全磷含量0.141%、全钾含量3.23%。</w:t>
      </w:r>
    </w:p>
    <w:p w14:paraId="54C7B5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5）气象</w:t>
      </w:r>
    </w:p>
    <w:p w14:paraId="0660B2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海安市位于北亚热带湿润季风气候区，四季分明。多年平均气温14.6℃。1月最冷，月平均1.5℃。7、8两月最热，平均气温27.2℃。年最高平均气温19.5℃，年最低平均气温10.6℃，年极端最低气温-12℃（1969），年极端最高气温39.4℃（1959）。年平均蒸发量为1360mm。无霜期一般为222.6天，年降水量平均1021.9mm，年雨日平均117天，年日照平均时数2176.4小时，年平均日照率为49％。</w:t>
      </w:r>
    </w:p>
    <w:p w14:paraId="60609A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常年主导风向为东南风，风频9％。4～8月主导风向为东南风，2～3月和9～10月主导风向为东北风，11月至翌年1月为北风和西北风，年平均风速2.9m/s，最大风速13.4m/s。</w:t>
      </w:r>
    </w:p>
    <w:p w14:paraId="1FE212B5">
      <w:pPr>
        <w:adjustRightInd w:val="0"/>
        <w:snapToGrid w:val="0"/>
        <w:spacing w:line="500" w:lineRule="exact"/>
        <w:ind w:firstLine="561"/>
        <w:jc w:val="center"/>
        <w:rPr>
          <w:rFonts w:hint="eastAsia" w:ascii="Times New Roman" w:hAnsi="Times New Roman" w:eastAsia="宋体" w:cs="Times New Roman"/>
          <w:b/>
          <w:bCs/>
          <w:lang w:eastAsia="zh-CN"/>
        </w:rPr>
      </w:pPr>
      <w:r>
        <w:rPr>
          <w:rFonts w:eastAsia="宋体"/>
          <w:kern w:val="0"/>
        </w:rPr>
        <w:t>海安全年风玫瑰图，见图3-1。</w:t>
      </w:r>
    </w:p>
    <w:p w14:paraId="0A37C3C2">
      <w:pPr>
        <w:adjustRightInd w:val="0"/>
        <w:snapToGrid w:val="0"/>
        <w:spacing w:line="500" w:lineRule="exact"/>
        <w:ind w:firstLine="561"/>
        <w:jc w:val="center"/>
        <w:rPr>
          <w:rFonts w:hint="default" w:ascii="Times New Roman" w:hAnsi="Times New Roman" w:eastAsia="宋体" w:cs="Times New Roman"/>
          <w:b/>
          <w:bCs/>
        </w:rPr>
      </w:pPr>
      <w:r>
        <w:rPr>
          <w:rFonts w:hint="eastAsia" w:ascii="宋体" w:hAnsi="宋体" w:eastAsia="宋体" w:cs="宋体"/>
          <w:b/>
          <w:bCs/>
          <w:color w:val="FF0000"/>
        </w:rPr>
        <w:drawing>
          <wp:anchor distT="0" distB="0" distL="114300" distR="114300" simplePos="0" relativeHeight="251666432" behindDoc="0" locked="0" layoutInCell="1" allowOverlap="1">
            <wp:simplePos x="0" y="0"/>
            <wp:positionH relativeFrom="column">
              <wp:posOffset>1586230</wp:posOffset>
            </wp:positionH>
            <wp:positionV relativeFrom="paragraph">
              <wp:posOffset>86360</wp:posOffset>
            </wp:positionV>
            <wp:extent cx="2828925" cy="3886200"/>
            <wp:effectExtent l="0" t="0" r="9525" b="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16" cstate="print"/>
                    <a:stretch>
                      <a:fillRect/>
                    </a:stretch>
                  </pic:blipFill>
                  <pic:spPr>
                    <a:xfrm>
                      <a:off x="0" y="0"/>
                      <a:ext cx="2828925" cy="3886200"/>
                    </a:xfrm>
                    <a:prstGeom prst="rect">
                      <a:avLst/>
                    </a:prstGeom>
                    <a:noFill/>
                    <a:ln>
                      <a:noFill/>
                    </a:ln>
                  </pic:spPr>
                </pic:pic>
              </a:graphicData>
            </a:graphic>
          </wp:anchor>
        </w:drawing>
      </w:r>
    </w:p>
    <w:p w14:paraId="748C384B">
      <w:pPr>
        <w:adjustRightInd w:val="0"/>
        <w:snapToGrid w:val="0"/>
        <w:spacing w:line="500" w:lineRule="exact"/>
        <w:ind w:firstLine="561"/>
        <w:jc w:val="center"/>
        <w:rPr>
          <w:rFonts w:hint="default" w:ascii="Times New Roman" w:hAnsi="Times New Roman" w:eastAsia="宋体" w:cs="Times New Roman"/>
          <w:b/>
          <w:bCs/>
        </w:rPr>
      </w:pPr>
      <w:r>
        <w:rPr>
          <w:rFonts w:hint="default" w:ascii="Times New Roman" w:hAnsi="Times New Roman" w:eastAsia="宋体" w:cs="Times New Roman"/>
          <w:b/>
          <w:bCs/>
        </w:rPr>
        <w:t>图3-1海安全年风玫瑰图</w:t>
      </w:r>
    </w:p>
    <w:p w14:paraId="719E9C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6）水文</w:t>
      </w:r>
    </w:p>
    <w:p w14:paraId="6C194C5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海安市西向来水来自姜黄河各支流及新北凌河等，南向来水来自长江引水。</w:t>
      </w:r>
    </w:p>
    <w:p w14:paraId="2DAA3A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海安市地处江淮平原、滨海平原和长江三角洲交汇之处。全县河道以通扬公路、通榆公路为界，划分为长江和淮河两大水系。因县境地势平坦，高差甚小，河道之间又相互贯通，两大水系之间并无截然分界，现为了保护江水北调输水通道通榆河和新北凌河，由涵闸控制，使新、老北凌河分开，域内河道正常流向均为自南向北，自西向东。</w:t>
      </w:r>
    </w:p>
    <w:p w14:paraId="40A0CEC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A</w:t>
      </w:r>
      <w:r>
        <w:rPr>
          <w:rFonts w:eastAsia="宋体"/>
        </w:rPr>
        <w:t>）长江水系</w:t>
      </w:r>
    </w:p>
    <w:p w14:paraId="744B64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通扬公路以南、通榆公路以东属长江水系，总面积703.8km</w:t>
      </w:r>
      <w:r>
        <w:rPr>
          <w:rFonts w:eastAsia="宋体"/>
          <w:vertAlign w:val="superscript"/>
        </w:rPr>
        <w:t>2</w:t>
      </w:r>
      <w:r>
        <w:rPr>
          <w:rFonts w:eastAsia="宋体"/>
        </w:rPr>
        <w:t>，平均水位2.01m，最高水位4.49m，最低水位0.08m。主要河流有北凌河、栟茶运河、如海河、焦港河、丁堡河等。焦港河、如海运河、丁堡河为引水骨干河道，南引长江水；栟茶运河、为排水骨干河道，东流至小洋口闸入海。栟茶运河贯通河南、河东两地区，横穿焦港</w:t>
      </w:r>
      <w:r>
        <w:rPr>
          <w:rFonts w:hint="eastAsia" w:eastAsia="宋体"/>
          <w:lang w:eastAsia="zh-CN"/>
        </w:rPr>
        <w:t>、</w:t>
      </w:r>
      <w:r>
        <w:rPr>
          <w:rFonts w:eastAsia="宋体"/>
        </w:rPr>
        <w:t>海运河、北凌河、丁堡河等河道，兼起着调度引江水源的作用。</w:t>
      </w:r>
    </w:p>
    <w:p w14:paraId="443415E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栟茶运河由泰州市塔子里入境，由西往东，途径海安市雅周、营溪、仁桥、城东、洋蛮河、西场、李堡镇、角斜镇等8个乡镇。出境经如东小洋口入海。是海安市高沙土片和河东盐碱片东区的主要干河，境内总长度53.64公里，沿河两岸有不少工业废水及</w:t>
      </w:r>
      <w:r>
        <w:rPr>
          <w:rFonts w:hint="eastAsia" w:eastAsia="宋体"/>
          <w:lang w:eastAsia="zh-CN"/>
        </w:rPr>
        <w:t>生活污水</w:t>
      </w:r>
      <w:r>
        <w:rPr>
          <w:rFonts w:eastAsia="宋体"/>
        </w:rPr>
        <w:t>排入，污染较重的</w:t>
      </w:r>
      <w:r>
        <w:rPr>
          <w:rFonts w:hint="eastAsia" w:eastAsia="宋体"/>
          <w:lang w:eastAsia="zh-CN"/>
        </w:rPr>
        <w:t>洋蛮河</w:t>
      </w:r>
      <w:r>
        <w:rPr>
          <w:rFonts w:eastAsia="宋体"/>
        </w:rPr>
        <w:t>在城东镇出境时，与拼茶运河交汇，也对其水质产生一定影响。</w:t>
      </w:r>
    </w:p>
    <w:p w14:paraId="137F44E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rPr>
        <w:t>栟茶运河海安段河床比降小，水流缓慢，流向基本上是由西往东，但因受小洋口闸坝控制，常会出现滞流或倒流的现象。</w:t>
      </w:r>
      <w:r>
        <w:rPr>
          <w:rFonts w:eastAsia="宋体"/>
          <w:kern w:val="0"/>
        </w:rPr>
        <w:t>栟茶运河主要功能为工业和农业用水。</w:t>
      </w:r>
    </w:p>
    <w:p w14:paraId="19CAC7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kern w:val="0"/>
        </w:rPr>
      </w:pPr>
      <w:r>
        <w:rPr>
          <w:rFonts w:eastAsia="宋体"/>
          <w:kern w:val="0"/>
        </w:rPr>
        <w:t>如海运河和焦港河均为南北向的河流，也是连接长江、淮河两大水系的南北枢纽，分别由如皋市柴湾和夏堡入境，县内长度为13km和22km，两条河流均从长江引水，向北输送，是栟茶运河、</w:t>
      </w:r>
      <w:r>
        <w:rPr>
          <w:rFonts w:hint="eastAsia" w:eastAsia="宋体"/>
          <w:kern w:val="0"/>
          <w:lang w:eastAsia="zh-CN"/>
        </w:rPr>
        <w:t>洋蛮河</w:t>
      </w:r>
      <w:r>
        <w:rPr>
          <w:rFonts w:eastAsia="宋体"/>
          <w:kern w:val="0"/>
        </w:rPr>
        <w:t>的补水河，水流方向基本由南向北，沿河工业污染源较少。如海运河、焦港河主要功能为工业和农业用水。</w:t>
      </w:r>
    </w:p>
    <w:p w14:paraId="14EB23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B</w:t>
      </w:r>
      <w:r>
        <w:rPr>
          <w:rFonts w:eastAsia="宋体"/>
        </w:rPr>
        <w:t>）淮河水系</w:t>
      </w:r>
    </w:p>
    <w:p w14:paraId="36F17D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通扬公路以北、通榆公路以西为里下河地区，属淮河水系，总面积422.4km</w:t>
      </w:r>
      <w:r>
        <w:rPr>
          <w:rFonts w:eastAsia="宋体"/>
          <w:vertAlign w:val="superscript"/>
        </w:rPr>
        <w:t>2</w:t>
      </w:r>
      <w:r>
        <w:rPr>
          <w:rFonts w:eastAsia="宋体"/>
        </w:rPr>
        <w:t>，平均水位1.34m，最高水位3.57m，最低水位0.32m。主要河流有新北凌河、通榆运河、串场河等。新北凌河为</w:t>
      </w:r>
      <w:r>
        <w:rPr>
          <w:rFonts w:hint="eastAsia" w:eastAsia="宋体"/>
          <w:lang w:eastAsia="zh-CN"/>
        </w:rPr>
        <w:t>南水北调</w:t>
      </w:r>
      <w:r>
        <w:rPr>
          <w:rFonts w:eastAsia="宋体"/>
        </w:rPr>
        <w:t>引水骨干河道，通榆运河、串场河为输水骨干河道。</w:t>
      </w:r>
    </w:p>
    <w:p w14:paraId="2D661063">
      <w:pPr>
        <w:pStyle w:val="4"/>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新</w:t>
      </w:r>
      <w:r>
        <w:rPr>
          <w:rFonts w:hint="eastAsia" w:eastAsia="宋体"/>
          <w:lang w:eastAsia="zh-CN"/>
        </w:rPr>
        <w:t>洋蛮河</w:t>
      </w:r>
      <w:r>
        <w:rPr>
          <w:rFonts w:eastAsia="宋体"/>
        </w:rPr>
        <w:t>——通榆运河，新</w:t>
      </w:r>
      <w:r>
        <w:rPr>
          <w:rFonts w:hint="eastAsia" w:eastAsia="宋体"/>
          <w:lang w:eastAsia="zh-CN"/>
        </w:rPr>
        <w:t>洋蛮河</w:t>
      </w:r>
      <w:r>
        <w:rPr>
          <w:rFonts w:eastAsia="宋体"/>
        </w:rPr>
        <w:t>从泰州市经海安市章郭乡入境，途经双搂、胡集至海安镇，与通榆运河相接，境内全长20.7公里，水流常年流向由西往东；通榆运河由海安镇向北入盐城市，境内全长7.8公里，水流常年流向由南往北，新</w:t>
      </w:r>
      <w:r>
        <w:rPr>
          <w:rFonts w:hint="eastAsia" w:eastAsia="宋体"/>
          <w:lang w:eastAsia="zh-CN"/>
        </w:rPr>
        <w:t>洋蛮河</w:t>
      </w:r>
      <w:r>
        <w:rPr>
          <w:rFonts w:eastAsia="宋体"/>
        </w:rPr>
        <w:t>——通榆运河是海安境内主要水路交通通道，同时也是海安境内工业、农业、城镇饮用水源。</w:t>
      </w:r>
    </w:p>
    <w:p w14:paraId="036076BA">
      <w:pPr>
        <w:pStyle w:val="4"/>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hint="eastAsia" w:eastAsia="宋体"/>
          <w:lang w:eastAsia="zh-CN"/>
        </w:rPr>
        <w:t>（</w:t>
      </w:r>
      <w:r>
        <w:rPr>
          <w:rFonts w:hint="eastAsia" w:eastAsia="宋体"/>
          <w:lang w:val="en-US" w:eastAsia="zh-CN"/>
        </w:rPr>
        <w:t>C</w:t>
      </w:r>
      <w:r>
        <w:rPr>
          <w:rFonts w:hint="eastAsia" w:eastAsia="宋体"/>
          <w:lang w:eastAsia="zh-CN"/>
        </w:rPr>
        <w:t>）</w:t>
      </w:r>
      <w:r>
        <w:rPr>
          <w:rFonts w:eastAsia="宋体"/>
        </w:rPr>
        <w:t>水源保护区</w:t>
      </w:r>
    </w:p>
    <w:p w14:paraId="679F2817">
      <w:pPr>
        <w:pStyle w:val="4"/>
        <w:keepNext w:val="0"/>
        <w:keepLines w:val="0"/>
        <w:pageBreakBefore w:val="0"/>
        <w:widowControl w:val="0"/>
        <w:kinsoku/>
        <w:wordWrap/>
        <w:overflowPunct/>
        <w:topLinePunct w:val="0"/>
        <w:autoSpaceDE/>
        <w:autoSpaceDN/>
        <w:bidi w:val="0"/>
        <w:adjustRightInd w:val="0"/>
        <w:snapToGrid w:val="0"/>
        <w:spacing w:line="500" w:lineRule="exact"/>
        <w:ind w:firstLine="480"/>
        <w:textAlignment w:val="auto"/>
        <w:rPr>
          <w:rFonts w:eastAsia="宋体"/>
        </w:rPr>
      </w:pPr>
      <w:r>
        <w:rPr>
          <w:rFonts w:eastAsia="宋体"/>
        </w:rPr>
        <w:t>海安市在地面水厂位于胡集镇内，新通扬河南岸。根据《江苏省人民代表大会常务委员会关于加强饮用水源地保护的决定》第九条（二）其他河道：取水口上游一千米至下游五百米，及其两岸背水坡堤脚外一百米范围内的水域和陆域为一级保护区；一级保护区以外上溯二千米、下延五百米范围内的水域和陆域为二级保护区；二级保护区以外上溯二千米、下延一千米范围内的水域和陆域为准保护区。</w:t>
      </w:r>
    </w:p>
    <w:p w14:paraId="0FB22D08">
      <w:pPr>
        <w:pStyle w:val="4"/>
        <w:keepNext w:val="0"/>
        <w:keepLines w:val="0"/>
        <w:pageBreakBefore w:val="0"/>
        <w:widowControl w:val="0"/>
        <w:kinsoku/>
        <w:wordWrap/>
        <w:overflowPunct/>
        <w:topLinePunct w:val="0"/>
        <w:autoSpaceDE/>
        <w:autoSpaceDN/>
        <w:bidi w:val="0"/>
        <w:adjustRightInd w:val="0"/>
        <w:snapToGrid w:val="0"/>
        <w:spacing w:line="500" w:lineRule="exact"/>
        <w:ind w:firstLine="482"/>
        <w:textAlignment w:val="auto"/>
        <w:rPr>
          <w:rFonts w:eastAsia="宋体"/>
          <w:b w:val="0"/>
          <w:bCs w:val="0"/>
          <w:color w:val="000000" w:themeColor="text1"/>
          <w14:textFill>
            <w14:solidFill>
              <w14:schemeClr w14:val="tx1"/>
            </w14:solidFill>
          </w14:textFill>
        </w:rPr>
      </w:pPr>
      <w:r>
        <w:rPr>
          <w:rFonts w:eastAsia="宋体"/>
          <w:b w:val="0"/>
          <w:bCs w:val="0"/>
          <w:color w:val="000000" w:themeColor="text1"/>
          <w14:textFill>
            <w14:solidFill>
              <w14:schemeClr w14:val="tx1"/>
            </w14:solidFill>
          </w14:textFill>
        </w:rPr>
        <w:t>7）生态环境</w:t>
      </w:r>
    </w:p>
    <w:p w14:paraId="3981650D">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Ansi="宋体" w:eastAsia="宋体" w:cs="宋体"/>
          <w:b/>
          <w:bCs/>
          <w:color w:val="000000" w:themeColor="text1"/>
          <w:sz w:val="28"/>
          <w:szCs w:val="28"/>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由于人类多年的开发活动，该区域的自然生态已为人工农业生态所取代，本地天然植被较少，除住宅、工业和道路用地外，主要是农业用地，种植稻、麦、油菜和蔬菜等。此外还有人工种植的水杉、杨树、柳树、广玉兰、女贞、银杏等木本植物和芦苇、芦竹、茅草、葎草、牛筋草、狗尾草、蒲公英等草本植物；野生动物有蛙、鸟、蛇、野兔、黄鼠狼等。</w:t>
      </w:r>
    </w:p>
    <w:p w14:paraId="73631D44">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53" w:name="_Toc23991"/>
      <w:bookmarkStart w:id="54" w:name="_Toc510092932"/>
      <w:bookmarkStart w:id="55" w:name="_Toc20763"/>
      <w:bookmarkStart w:id="56" w:name="_Toc24036"/>
      <w:bookmarkStart w:id="57" w:name="_Toc496887105"/>
      <w:r>
        <w:rPr>
          <w:rFonts w:hint="default" w:ascii="Times New Roman" w:hAnsi="Times New Roman" w:eastAsia="宋体" w:cs="Times New Roman"/>
        </w:rPr>
        <w:t>3.1.3环境功能区划及环境质量</w:t>
      </w:r>
      <w:bookmarkEnd w:id="53"/>
      <w:bookmarkEnd w:id="54"/>
      <w:bookmarkEnd w:id="55"/>
      <w:bookmarkEnd w:id="56"/>
      <w:bookmarkEnd w:id="57"/>
    </w:p>
    <w:p w14:paraId="18AE8C45">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环境质量标准</w:t>
      </w:r>
    </w:p>
    <w:p w14:paraId="0111BE47">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szCs w:val="24"/>
        </w:rPr>
      </w:pP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ascii="Times New Roman" w:hAnsi="Times New Roman" w:eastAsia="宋体" w:cs="Times New Roman"/>
          <w:i w:val="0"/>
          <w:iCs w:val="0"/>
          <w:caps w:val="0"/>
          <w:color w:val="000000" w:themeColor="text1"/>
          <w:spacing w:val="0"/>
          <w:sz w:val="24"/>
          <w:szCs w:val="24"/>
          <w:u w:val="none"/>
          <w:lang w:eastAsia="zh-CN"/>
          <w14:textFill>
            <w14:solidFill>
              <w14:schemeClr w14:val="tx1"/>
            </w14:solidFill>
          </w14:textFill>
        </w:rPr>
        <w:t>帝洁雅</w:t>
      </w:r>
      <w:r>
        <w:rPr>
          <w:rFonts w:hint="default"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ascii="Times New Roman" w:hAnsi="Times New Roman" w:eastAsia="宋体" w:cs="Times New Roman"/>
          <w:szCs w:val="24"/>
        </w:rPr>
        <w:t>所在地区域大气、地表水、土壤环境</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声环境</w:t>
      </w:r>
      <w:r>
        <w:rPr>
          <w:rFonts w:ascii="Times New Roman" w:hAnsi="Times New Roman" w:eastAsia="宋体" w:cs="Times New Roman"/>
          <w:szCs w:val="24"/>
        </w:rPr>
        <w:t>功能类别划分见表3</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w:t>
      </w:r>
    </w:p>
    <w:p w14:paraId="49AEE890">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lang w:val="en-US" w:eastAsia="zh-CN"/>
          <w14:textFill>
            <w14:solidFill>
              <w14:schemeClr w14:val="tx1"/>
            </w14:solidFill>
          </w14:textFill>
        </w:rPr>
        <w:t>-3</w:t>
      </w:r>
      <w:r>
        <w:rPr>
          <w:rFonts w:hint="eastAsia" w:eastAsia="宋体"/>
          <w:b/>
          <w:color w:val="000000" w:themeColor="text1"/>
          <w:lang w:eastAsia="zh-CN"/>
          <w14:textFill>
            <w14:solidFill>
              <w14:schemeClr w14:val="tx1"/>
            </w14:solidFill>
          </w14:textFill>
        </w:rPr>
        <w:t>帝洁雅</w:t>
      </w:r>
      <w:r>
        <w:rPr>
          <w:rFonts w:eastAsia="宋体"/>
          <w:b/>
          <w:color w:val="000000" w:themeColor="text1"/>
          <w14:textFill>
            <w14:solidFill>
              <w14:schemeClr w14:val="tx1"/>
            </w14:solidFill>
          </w14:textFill>
        </w:rPr>
        <w:t>所在地环境功能区划</w:t>
      </w:r>
    </w:p>
    <w:tbl>
      <w:tblPr>
        <w:tblStyle w:val="37"/>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9"/>
        <w:gridCol w:w="2770"/>
        <w:gridCol w:w="4930"/>
      </w:tblGrid>
      <w:tr w14:paraId="64315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6D56608D">
            <w:pPr>
              <w:adjustRightInd w:val="0"/>
              <w:snapToGrid w:val="0"/>
              <w:jc w:val="center"/>
              <w:rPr>
                <w:rFonts w:eastAsia="宋体"/>
                <w:b/>
                <w:sz w:val="21"/>
                <w:szCs w:val="21"/>
              </w:rPr>
            </w:pPr>
            <w:r>
              <w:rPr>
                <w:rFonts w:eastAsia="宋体"/>
                <w:b/>
                <w:sz w:val="21"/>
                <w:szCs w:val="21"/>
              </w:rPr>
              <w:t>环境要素</w:t>
            </w:r>
          </w:p>
        </w:tc>
        <w:tc>
          <w:tcPr>
            <w:tcW w:w="2770" w:type="dxa"/>
            <w:tcBorders>
              <w:tl2br w:val="nil"/>
              <w:tr2bl w:val="nil"/>
            </w:tcBorders>
            <w:vAlign w:val="center"/>
          </w:tcPr>
          <w:p w14:paraId="7FB5FF8B">
            <w:pPr>
              <w:adjustRightInd w:val="0"/>
              <w:snapToGrid w:val="0"/>
              <w:jc w:val="center"/>
              <w:rPr>
                <w:rFonts w:hint="eastAsia" w:eastAsia="宋体"/>
                <w:b/>
                <w:sz w:val="21"/>
                <w:szCs w:val="21"/>
                <w:lang w:val="en-US" w:eastAsia="zh-CN"/>
              </w:rPr>
            </w:pPr>
            <w:r>
              <w:rPr>
                <w:rFonts w:hint="eastAsia" w:eastAsia="宋体"/>
                <w:b/>
                <w:sz w:val="21"/>
                <w:szCs w:val="21"/>
                <w:lang w:val="en-US" w:eastAsia="zh-CN"/>
              </w:rPr>
              <w:t>功能区划</w:t>
            </w:r>
          </w:p>
        </w:tc>
        <w:tc>
          <w:tcPr>
            <w:tcW w:w="4930" w:type="dxa"/>
            <w:tcBorders>
              <w:tl2br w:val="nil"/>
              <w:tr2bl w:val="nil"/>
            </w:tcBorders>
            <w:vAlign w:val="center"/>
          </w:tcPr>
          <w:p w14:paraId="67199EA5">
            <w:pPr>
              <w:adjustRightInd w:val="0"/>
              <w:snapToGrid w:val="0"/>
              <w:jc w:val="center"/>
              <w:rPr>
                <w:rFonts w:eastAsia="宋体"/>
                <w:b/>
                <w:sz w:val="21"/>
                <w:szCs w:val="21"/>
              </w:rPr>
            </w:pPr>
            <w:r>
              <w:rPr>
                <w:rFonts w:eastAsia="宋体"/>
                <w:b/>
                <w:sz w:val="21"/>
                <w:szCs w:val="21"/>
              </w:rPr>
              <w:t>环境功能要求</w:t>
            </w:r>
          </w:p>
        </w:tc>
      </w:tr>
      <w:tr w14:paraId="1F54F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012552B4">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环境空气</w:t>
            </w:r>
          </w:p>
        </w:tc>
        <w:tc>
          <w:tcPr>
            <w:tcW w:w="2770" w:type="dxa"/>
            <w:tcBorders>
              <w:tl2br w:val="nil"/>
              <w:tr2bl w:val="nil"/>
            </w:tcBorders>
            <w:vAlign w:val="center"/>
          </w:tcPr>
          <w:p w14:paraId="346127ED">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工业区、居住、工商文教、农村地区</w:t>
            </w:r>
          </w:p>
        </w:tc>
        <w:tc>
          <w:tcPr>
            <w:tcW w:w="4930" w:type="dxa"/>
            <w:tcBorders>
              <w:tl2br w:val="nil"/>
              <w:tr2bl w:val="nil"/>
            </w:tcBorders>
            <w:vAlign w:val="center"/>
          </w:tcPr>
          <w:p w14:paraId="3D0CB6D1">
            <w:pPr>
              <w:adjustRightInd w:val="0"/>
              <w:snapToGrid w:val="0"/>
              <w:jc w:val="left"/>
              <w:rPr>
                <w:rFonts w:eastAsia="宋体"/>
                <w:sz w:val="21"/>
                <w:szCs w:val="21"/>
              </w:rPr>
            </w:pPr>
            <w:r>
              <w:rPr>
                <w:rFonts w:eastAsia="宋体"/>
                <w:sz w:val="21"/>
                <w:szCs w:val="21"/>
              </w:rPr>
              <w:t>《环境空气质量标准》（GB3095-2012）中二级标准</w:t>
            </w:r>
          </w:p>
        </w:tc>
      </w:tr>
      <w:tr w14:paraId="4AB45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restart"/>
            <w:tcBorders>
              <w:tl2br w:val="nil"/>
              <w:tr2bl w:val="nil"/>
            </w:tcBorders>
            <w:vAlign w:val="center"/>
          </w:tcPr>
          <w:p w14:paraId="2CCEAF9E">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地表水</w:t>
            </w:r>
          </w:p>
        </w:tc>
        <w:tc>
          <w:tcPr>
            <w:tcW w:w="2770" w:type="dxa"/>
            <w:tcBorders>
              <w:tl2br w:val="nil"/>
              <w:tr2bl w:val="nil"/>
            </w:tcBorders>
            <w:vAlign w:val="center"/>
          </w:tcPr>
          <w:p w14:paraId="4075681A">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洋蛮河</w:t>
            </w:r>
          </w:p>
        </w:tc>
        <w:tc>
          <w:tcPr>
            <w:tcW w:w="4930" w:type="dxa"/>
            <w:vMerge w:val="restart"/>
            <w:tcBorders>
              <w:tl2br w:val="nil"/>
              <w:tr2bl w:val="nil"/>
            </w:tcBorders>
            <w:vAlign w:val="center"/>
          </w:tcPr>
          <w:p w14:paraId="5C205B46">
            <w:pPr>
              <w:adjustRightInd w:val="0"/>
              <w:snapToGrid w:val="0"/>
              <w:jc w:val="left"/>
              <w:rPr>
                <w:rFonts w:eastAsia="宋体"/>
                <w:sz w:val="21"/>
                <w:szCs w:val="21"/>
              </w:rPr>
            </w:pPr>
            <w:r>
              <w:rPr>
                <w:rFonts w:eastAsia="宋体"/>
                <w:sz w:val="21"/>
                <w:szCs w:val="21"/>
              </w:rPr>
              <w:t>《地表水环境质量标准》（GB3838-2002）</w:t>
            </w:r>
            <w:r>
              <w:rPr>
                <w:rFonts w:hint="default" w:eastAsia="宋体"/>
                <w:sz w:val="21"/>
                <w:szCs w:val="21"/>
                <w:lang w:val="en-US"/>
              </w:rPr>
              <w:t>Ⅲ</w:t>
            </w:r>
            <w:r>
              <w:rPr>
                <w:rFonts w:eastAsia="宋体"/>
                <w:sz w:val="21"/>
                <w:szCs w:val="21"/>
              </w:rPr>
              <w:t>类标准</w:t>
            </w:r>
          </w:p>
        </w:tc>
      </w:tr>
      <w:tr w14:paraId="079BE1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6052E3AC">
            <w:pPr>
              <w:pStyle w:val="140"/>
              <w:spacing w:line="240" w:lineRule="auto"/>
              <w:ind w:left="0" w:leftChars="0" w:right="0" w:rightChars="0"/>
              <w:jc w:val="center"/>
            </w:pPr>
          </w:p>
        </w:tc>
        <w:tc>
          <w:tcPr>
            <w:tcW w:w="2770" w:type="dxa"/>
            <w:tcBorders>
              <w:tl2br w:val="nil"/>
              <w:tr2bl w:val="nil"/>
            </w:tcBorders>
            <w:vAlign w:val="center"/>
          </w:tcPr>
          <w:p w14:paraId="5B87B4D1">
            <w:pPr>
              <w:pStyle w:val="140"/>
              <w:spacing w:line="240" w:lineRule="auto"/>
              <w:ind w:left="0" w:leftChars="0" w:right="0" w:rightChars="0"/>
              <w:jc w:val="center"/>
              <w:rPr>
                <w:rFonts w:hint="default" w:eastAsia="宋体"/>
                <w:sz w:val="21"/>
                <w:lang w:val="en-US" w:eastAsia="zh-CN"/>
              </w:rPr>
            </w:pPr>
            <w:r>
              <w:rPr>
                <w:rFonts w:hint="eastAsia"/>
                <w:sz w:val="21"/>
                <w:lang w:val="en-US" w:eastAsia="zh-CN"/>
              </w:rPr>
              <w:t>洋蛮河</w:t>
            </w:r>
          </w:p>
        </w:tc>
        <w:tc>
          <w:tcPr>
            <w:tcW w:w="4930" w:type="dxa"/>
            <w:vMerge w:val="continue"/>
            <w:tcBorders>
              <w:tl2br w:val="nil"/>
              <w:tr2bl w:val="nil"/>
            </w:tcBorders>
            <w:vAlign w:val="center"/>
          </w:tcPr>
          <w:p w14:paraId="26868ED7">
            <w:pPr>
              <w:pStyle w:val="140"/>
              <w:spacing w:line="240" w:lineRule="auto"/>
              <w:ind w:left="0" w:leftChars="0" w:right="0" w:rightChars="0"/>
              <w:jc w:val="center"/>
              <w:rPr>
                <w:sz w:val="21"/>
              </w:rPr>
            </w:pPr>
          </w:p>
        </w:tc>
      </w:tr>
      <w:tr w14:paraId="6178C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63EE2089">
            <w:pPr>
              <w:pStyle w:val="140"/>
              <w:spacing w:line="240" w:lineRule="auto"/>
              <w:ind w:left="0" w:leftChars="0" w:right="0" w:rightChars="0"/>
              <w:jc w:val="center"/>
              <w:rPr>
                <w:sz w:val="21"/>
              </w:rPr>
            </w:pPr>
          </w:p>
        </w:tc>
        <w:tc>
          <w:tcPr>
            <w:tcW w:w="2770" w:type="dxa"/>
            <w:tcBorders>
              <w:tl2br w:val="nil"/>
              <w:tr2bl w:val="nil"/>
            </w:tcBorders>
            <w:vAlign w:val="center"/>
          </w:tcPr>
          <w:p w14:paraId="1305BA25">
            <w:pPr>
              <w:pStyle w:val="140"/>
              <w:spacing w:line="240" w:lineRule="auto"/>
              <w:ind w:left="0" w:leftChars="0" w:right="0" w:rightChars="0"/>
              <w:jc w:val="center"/>
              <w:rPr>
                <w:rFonts w:hint="eastAsia" w:eastAsia="宋体"/>
                <w:sz w:val="21"/>
                <w:lang w:val="en-US" w:eastAsia="zh-CN"/>
              </w:rPr>
            </w:pPr>
            <w:r>
              <w:rPr>
                <w:rFonts w:hint="eastAsia"/>
                <w:sz w:val="21"/>
                <w:lang w:val="en-US" w:eastAsia="zh-CN"/>
              </w:rPr>
              <w:t>私盐河</w:t>
            </w:r>
          </w:p>
        </w:tc>
        <w:tc>
          <w:tcPr>
            <w:tcW w:w="4930" w:type="dxa"/>
            <w:vMerge w:val="continue"/>
            <w:tcBorders>
              <w:tl2br w:val="nil"/>
              <w:tr2bl w:val="nil"/>
            </w:tcBorders>
            <w:vAlign w:val="center"/>
          </w:tcPr>
          <w:p w14:paraId="6D1159A9">
            <w:pPr>
              <w:pStyle w:val="140"/>
              <w:spacing w:line="240" w:lineRule="auto"/>
              <w:ind w:left="0" w:leftChars="0" w:right="0" w:rightChars="0"/>
              <w:jc w:val="center"/>
              <w:rPr>
                <w:sz w:val="21"/>
              </w:rPr>
            </w:pPr>
          </w:p>
        </w:tc>
      </w:tr>
      <w:tr w14:paraId="2CD6A8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481FD208">
            <w:pPr>
              <w:pStyle w:val="140"/>
              <w:spacing w:line="240" w:lineRule="auto"/>
              <w:ind w:left="0" w:leftChars="0" w:right="0" w:rightChars="0"/>
              <w:jc w:val="center"/>
              <w:rPr>
                <w:sz w:val="21"/>
              </w:rPr>
            </w:pPr>
          </w:p>
        </w:tc>
        <w:tc>
          <w:tcPr>
            <w:tcW w:w="2770" w:type="dxa"/>
            <w:tcBorders>
              <w:tl2br w:val="nil"/>
              <w:tr2bl w:val="nil"/>
            </w:tcBorders>
            <w:vAlign w:val="center"/>
          </w:tcPr>
          <w:p w14:paraId="782A532F">
            <w:pPr>
              <w:pStyle w:val="140"/>
              <w:spacing w:line="240" w:lineRule="auto"/>
              <w:ind w:left="0" w:leftChars="0" w:right="0" w:rightChars="0"/>
              <w:jc w:val="center"/>
              <w:rPr>
                <w:rFonts w:hint="eastAsia" w:eastAsia="宋体"/>
                <w:sz w:val="21"/>
                <w:lang w:val="en-US" w:eastAsia="zh-CN"/>
              </w:rPr>
            </w:pPr>
            <w:r>
              <w:rPr>
                <w:rFonts w:hint="eastAsia"/>
                <w:sz w:val="21"/>
                <w:lang w:val="en-US" w:eastAsia="zh-CN"/>
              </w:rPr>
              <w:t>栟茶运河</w:t>
            </w:r>
          </w:p>
        </w:tc>
        <w:tc>
          <w:tcPr>
            <w:tcW w:w="4930" w:type="dxa"/>
            <w:vMerge w:val="continue"/>
            <w:tcBorders>
              <w:tl2br w:val="nil"/>
              <w:tr2bl w:val="nil"/>
            </w:tcBorders>
            <w:vAlign w:val="center"/>
          </w:tcPr>
          <w:p w14:paraId="71DE1B45">
            <w:pPr>
              <w:pStyle w:val="140"/>
              <w:spacing w:line="240" w:lineRule="auto"/>
              <w:ind w:left="0" w:leftChars="0" w:right="0" w:rightChars="0"/>
              <w:jc w:val="center"/>
              <w:rPr>
                <w:sz w:val="21"/>
              </w:rPr>
            </w:pPr>
          </w:p>
        </w:tc>
      </w:tr>
      <w:tr w14:paraId="11FAC0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3914E183">
            <w:pPr>
              <w:pStyle w:val="140"/>
              <w:spacing w:line="240" w:lineRule="auto"/>
              <w:ind w:left="0" w:leftChars="0" w:right="0" w:rightChars="0"/>
              <w:jc w:val="center"/>
              <w:rPr>
                <w:sz w:val="21"/>
              </w:rPr>
            </w:pPr>
          </w:p>
        </w:tc>
        <w:tc>
          <w:tcPr>
            <w:tcW w:w="2770" w:type="dxa"/>
            <w:tcBorders>
              <w:tl2br w:val="nil"/>
              <w:tr2bl w:val="nil"/>
            </w:tcBorders>
            <w:vAlign w:val="center"/>
          </w:tcPr>
          <w:p w14:paraId="71C652C8">
            <w:pPr>
              <w:pStyle w:val="140"/>
              <w:spacing w:line="240" w:lineRule="auto"/>
              <w:ind w:left="0" w:leftChars="0" w:right="0" w:rightChars="0"/>
              <w:jc w:val="center"/>
              <w:rPr>
                <w:rFonts w:hint="default" w:eastAsia="宋体"/>
                <w:sz w:val="21"/>
                <w:lang w:val="en-US" w:eastAsia="zh-CN"/>
              </w:rPr>
            </w:pPr>
            <w:r>
              <w:rPr>
                <w:rFonts w:hint="eastAsia"/>
                <w:sz w:val="21"/>
                <w:lang w:val="en-US" w:eastAsia="zh-CN"/>
              </w:rPr>
              <w:t>北凌河</w:t>
            </w:r>
          </w:p>
        </w:tc>
        <w:tc>
          <w:tcPr>
            <w:tcW w:w="4930" w:type="dxa"/>
            <w:vMerge w:val="continue"/>
            <w:tcBorders>
              <w:tl2br w:val="nil"/>
              <w:tr2bl w:val="nil"/>
            </w:tcBorders>
            <w:vAlign w:val="center"/>
          </w:tcPr>
          <w:p w14:paraId="67DC5766">
            <w:pPr>
              <w:pStyle w:val="140"/>
              <w:spacing w:line="240" w:lineRule="auto"/>
              <w:ind w:left="0" w:leftChars="0" w:right="0" w:rightChars="0"/>
              <w:jc w:val="center"/>
              <w:rPr>
                <w:sz w:val="21"/>
              </w:rPr>
            </w:pPr>
          </w:p>
        </w:tc>
      </w:tr>
      <w:tr w14:paraId="36EBB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1E7AA666">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声环境</w:t>
            </w:r>
          </w:p>
        </w:tc>
        <w:tc>
          <w:tcPr>
            <w:tcW w:w="2770" w:type="dxa"/>
            <w:tcBorders>
              <w:tl2br w:val="nil"/>
              <w:tr2bl w:val="nil"/>
            </w:tcBorders>
            <w:vAlign w:val="center"/>
          </w:tcPr>
          <w:p w14:paraId="669023AE">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项目厂界</w:t>
            </w:r>
          </w:p>
        </w:tc>
        <w:tc>
          <w:tcPr>
            <w:tcW w:w="4930" w:type="dxa"/>
            <w:tcBorders>
              <w:tl2br w:val="nil"/>
              <w:tr2bl w:val="nil"/>
            </w:tcBorders>
            <w:vAlign w:val="center"/>
          </w:tcPr>
          <w:p w14:paraId="6BB6B93A">
            <w:pPr>
              <w:adjustRightInd w:val="0"/>
              <w:snapToGrid w:val="0"/>
              <w:jc w:val="left"/>
              <w:rPr>
                <w:rFonts w:eastAsia="宋体"/>
                <w:sz w:val="21"/>
                <w:szCs w:val="21"/>
              </w:rPr>
            </w:pPr>
            <w:r>
              <w:rPr>
                <w:rFonts w:eastAsia="宋体"/>
                <w:sz w:val="21"/>
                <w:szCs w:val="21"/>
              </w:rPr>
              <w:t>《声环境质量标准》</w:t>
            </w:r>
            <w:r>
              <w:rPr>
                <w:rFonts w:eastAsia="宋体"/>
                <w:sz w:val="21"/>
                <w:szCs w:val="21"/>
                <w:lang w:val="en-US" w:eastAsia="en-US"/>
              </w:rPr>
              <w:t>(GB3096</w:t>
            </w:r>
            <w:r>
              <w:rPr>
                <w:rFonts w:eastAsia="宋体"/>
                <w:sz w:val="21"/>
                <w:szCs w:val="21"/>
              </w:rPr>
              <w:t>—2008)</w:t>
            </w:r>
            <w:r>
              <w:rPr>
                <w:rFonts w:hint="eastAsia" w:eastAsia="宋体"/>
                <w:sz w:val="21"/>
                <w:szCs w:val="21"/>
                <w:lang w:val="en-US" w:eastAsia="zh-CN"/>
              </w:rPr>
              <w:t>3</w:t>
            </w:r>
            <w:r>
              <w:rPr>
                <w:rFonts w:eastAsia="宋体"/>
                <w:sz w:val="21"/>
                <w:szCs w:val="21"/>
              </w:rPr>
              <w:t>类标准</w:t>
            </w:r>
          </w:p>
        </w:tc>
      </w:tr>
      <w:tr w14:paraId="4F7F0A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416E8718">
            <w:pPr>
              <w:pStyle w:val="140"/>
              <w:spacing w:before="0" w:line="240" w:lineRule="auto"/>
              <w:ind w:left="0" w:leftChars="0" w:right="0" w:rightChars="0"/>
              <w:jc w:val="center"/>
              <w:rPr>
                <w:rFonts w:hint="eastAsia" w:ascii="宋体" w:hAnsi="宋体" w:eastAsia="宋体" w:cs="宋体"/>
                <w:kern w:val="2"/>
                <w:sz w:val="21"/>
                <w:szCs w:val="24"/>
                <w:lang w:val="en-US" w:eastAsia="zh-CN" w:bidi="ar-SA"/>
              </w:rPr>
            </w:pPr>
            <w:r>
              <w:rPr>
                <w:rFonts w:hint="eastAsia"/>
                <w:sz w:val="21"/>
                <w:lang w:val="en-US" w:eastAsia="zh-CN"/>
              </w:rPr>
              <w:t>生态环境</w:t>
            </w:r>
          </w:p>
        </w:tc>
        <w:tc>
          <w:tcPr>
            <w:tcW w:w="2770" w:type="dxa"/>
            <w:tcBorders>
              <w:tl2br w:val="nil"/>
              <w:tr2bl w:val="nil"/>
            </w:tcBorders>
            <w:vAlign w:val="center"/>
          </w:tcPr>
          <w:p w14:paraId="53DD797F">
            <w:pPr>
              <w:pStyle w:val="140"/>
              <w:rPr>
                <w:rFonts w:hint="default" w:ascii="Times New Roman" w:hAnsi="宋体" w:eastAsia="宋体" w:cs="宋体"/>
                <w:kern w:val="2"/>
                <w:sz w:val="20"/>
                <w:szCs w:val="24"/>
                <w:lang w:val="en-US" w:eastAsia="zh-CN" w:bidi="ar-SA"/>
              </w:rPr>
            </w:pPr>
            <w:r>
              <w:rPr>
                <w:rFonts w:hint="eastAsia"/>
                <w:sz w:val="21"/>
                <w:lang w:val="en-US" w:eastAsia="zh-CN"/>
              </w:rPr>
              <w:t>新通扬-通榆运河清水通道维护区</w:t>
            </w:r>
          </w:p>
        </w:tc>
        <w:tc>
          <w:tcPr>
            <w:tcW w:w="4930" w:type="dxa"/>
            <w:tcBorders>
              <w:tl2br w:val="nil"/>
              <w:tr2bl w:val="nil"/>
            </w:tcBorders>
            <w:vAlign w:val="center"/>
          </w:tcPr>
          <w:p w14:paraId="359643D5">
            <w:pPr>
              <w:adjustRightInd w:val="0"/>
              <w:snapToGrid w:val="0"/>
              <w:jc w:val="left"/>
              <w:rPr>
                <w:rFonts w:eastAsia="宋体"/>
                <w:sz w:val="21"/>
                <w:szCs w:val="21"/>
              </w:rPr>
            </w:pPr>
            <w:r>
              <w:rPr>
                <w:rFonts w:hint="eastAsia" w:eastAsia="宋体"/>
                <w:sz w:val="21"/>
                <w:szCs w:val="21"/>
                <w:lang w:val="en-US" w:eastAsia="zh-CN"/>
              </w:rPr>
              <w:t>水源水质保护</w:t>
            </w:r>
          </w:p>
        </w:tc>
      </w:tr>
    </w:tbl>
    <w:p w14:paraId="688A227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（2）环境质量现状</w:t>
      </w:r>
    </w:p>
    <w:p w14:paraId="38A07066">
      <w:pPr>
        <w:adjustRightInd w:val="0"/>
        <w:snapToGrid w:val="0"/>
        <w:spacing w:line="500" w:lineRule="exact"/>
        <w:ind w:firstLine="480" w:firstLineChars="200"/>
        <w:rPr>
          <w:rFonts w:eastAsia="宋体"/>
        </w:rPr>
      </w:pPr>
      <w:r>
        <w:rPr>
          <w:rFonts w:eastAsia="宋体"/>
        </w:rPr>
        <w:t>①环境空气</w:t>
      </w:r>
    </w:p>
    <w:p w14:paraId="364EB71E">
      <w:pPr>
        <w:adjustRightInd w:val="0"/>
        <w:snapToGrid w:val="0"/>
        <w:spacing w:line="500" w:lineRule="exact"/>
        <w:ind w:firstLine="480" w:firstLineChars="200"/>
        <w:rPr>
          <w:rFonts w:eastAsia="宋体"/>
        </w:rPr>
      </w:pPr>
      <w:bookmarkStart w:id="58" w:name="_Toc17812"/>
      <w:bookmarkStart w:id="59" w:name="_Toc5947"/>
      <w:bookmarkStart w:id="60" w:name="_Toc23710"/>
      <w:r>
        <w:rPr>
          <w:rFonts w:eastAsia="宋体"/>
        </w:rPr>
        <w:t>由《20</w:t>
      </w:r>
      <w:r>
        <w:rPr>
          <w:rFonts w:hint="eastAsia" w:eastAsia="宋体"/>
        </w:rPr>
        <w:t>2</w:t>
      </w:r>
      <w:r>
        <w:rPr>
          <w:rFonts w:hint="eastAsia" w:eastAsia="宋体"/>
          <w:lang w:val="en-US" w:eastAsia="zh-CN"/>
        </w:rPr>
        <w:t>3</w:t>
      </w:r>
      <w:r>
        <w:rPr>
          <w:rFonts w:eastAsia="宋体"/>
        </w:rPr>
        <w:t>年度南通市环境质量公报》可知，</w:t>
      </w:r>
      <w:r>
        <w:rPr>
          <w:rFonts w:hint="eastAsia" w:eastAsia="宋体"/>
        </w:rPr>
        <w:t>全市环境空气中可吸入颗粒物（PM</w:t>
      </w:r>
      <w:r>
        <w:rPr>
          <w:rFonts w:hint="eastAsia" w:eastAsia="宋体"/>
          <w:vertAlign w:val="subscript"/>
        </w:rPr>
        <w:t>10</w:t>
      </w:r>
      <w:r>
        <w:rPr>
          <w:rFonts w:hint="eastAsia" w:eastAsia="宋体"/>
        </w:rPr>
        <w:t>）、二氧化硫（SO</w:t>
      </w:r>
      <w:r>
        <w:rPr>
          <w:rFonts w:hint="eastAsia" w:eastAsia="宋体"/>
          <w:vertAlign w:val="subscript"/>
        </w:rPr>
        <w:t>2</w:t>
      </w:r>
      <w:r>
        <w:rPr>
          <w:rFonts w:hint="eastAsia" w:eastAsia="宋体"/>
        </w:rPr>
        <w:t>）、二氧化氮（NO</w:t>
      </w:r>
      <w:r>
        <w:rPr>
          <w:rFonts w:hint="eastAsia" w:eastAsia="宋体"/>
          <w:vertAlign w:val="subscript"/>
        </w:rPr>
        <w:t>2</w:t>
      </w:r>
      <w:r>
        <w:rPr>
          <w:rFonts w:hint="eastAsia" w:eastAsia="宋体"/>
        </w:rPr>
        <w:t>）、一氧化碳第95百分位浓度（CO-95%）和臭氧日最大8小时滑动平均值第90百分位浓度（O</w:t>
      </w:r>
      <w:r>
        <w:rPr>
          <w:rFonts w:hint="eastAsia" w:eastAsia="宋体"/>
          <w:vertAlign w:val="subscript"/>
        </w:rPr>
        <w:t>3</w:t>
      </w:r>
      <w:r>
        <w:rPr>
          <w:rFonts w:hint="eastAsia" w:eastAsia="宋体"/>
        </w:rPr>
        <w:t>-8h-90%）分别为</w:t>
      </w:r>
      <w:r>
        <w:rPr>
          <w:rFonts w:hint="eastAsia" w:eastAsia="宋体"/>
          <w:lang w:val="en-US" w:eastAsia="zh-CN"/>
        </w:rPr>
        <w:t>47</w:t>
      </w:r>
      <w:r>
        <w:rPr>
          <w:rFonts w:hint="eastAsia" w:eastAsia="宋体"/>
        </w:rPr>
        <w:t>微克/立方米、</w:t>
      </w:r>
      <w:r>
        <w:rPr>
          <w:rFonts w:hint="eastAsia" w:eastAsia="宋体"/>
          <w:lang w:val="en-US" w:eastAsia="zh-CN"/>
        </w:rPr>
        <w:t>7</w:t>
      </w:r>
      <w:r>
        <w:rPr>
          <w:rFonts w:hint="eastAsia" w:eastAsia="宋体"/>
        </w:rPr>
        <w:t>微克/立方米、</w:t>
      </w:r>
      <w:r>
        <w:rPr>
          <w:rFonts w:hint="eastAsia" w:eastAsia="宋体"/>
          <w:lang w:val="en-US" w:eastAsia="zh-CN"/>
        </w:rPr>
        <w:t>27</w:t>
      </w:r>
      <w:r>
        <w:rPr>
          <w:rFonts w:hint="eastAsia" w:eastAsia="宋体"/>
        </w:rPr>
        <w:t>微克/立方米、</w:t>
      </w:r>
      <w:r>
        <w:rPr>
          <w:rFonts w:hint="eastAsia" w:eastAsia="宋体"/>
          <w:lang w:val="en-US" w:eastAsia="zh-CN"/>
        </w:rPr>
        <w:t>0.9</w:t>
      </w:r>
      <w:r>
        <w:rPr>
          <w:rFonts w:hint="eastAsia" w:eastAsia="宋体"/>
        </w:rPr>
        <w:t>毫克/立方米和</w:t>
      </w:r>
      <w:r>
        <w:rPr>
          <w:rFonts w:hint="eastAsia" w:eastAsia="宋体"/>
          <w:lang w:val="en-US" w:eastAsia="zh-CN"/>
        </w:rPr>
        <w:t>166</w:t>
      </w:r>
      <w:r>
        <w:rPr>
          <w:rFonts w:hint="eastAsia" w:eastAsia="宋体"/>
        </w:rPr>
        <w:t>微克/立方米。与202</w:t>
      </w:r>
      <w:r>
        <w:rPr>
          <w:rFonts w:hint="eastAsia" w:eastAsia="宋体"/>
          <w:lang w:val="en-US" w:eastAsia="zh-CN"/>
        </w:rPr>
        <w:t>2</w:t>
      </w:r>
      <w:r>
        <w:rPr>
          <w:rFonts w:hint="eastAsia" w:eastAsia="宋体"/>
        </w:rPr>
        <w:t>年相比，PM</w:t>
      </w:r>
      <w:r>
        <w:rPr>
          <w:rFonts w:hint="eastAsia" w:eastAsia="宋体"/>
          <w:vertAlign w:val="subscript"/>
        </w:rPr>
        <w:t>2.5</w:t>
      </w:r>
      <w:r>
        <w:rPr>
          <w:rFonts w:hint="eastAsia" w:eastAsia="宋体"/>
        </w:rPr>
        <w:t>、PM</w:t>
      </w:r>
      <w:r>
        <w:rPr>
          <w:rFonts w:hint="eastAsia" w:eastAsia="宋体"/>
          <w:vertAlign w:val="subscript"/>
        </w:rPr>
        <w:t>10</w:t>
      </w:r>
      <w:r>
        <w:rPr>
          <w:rFonts w:hint="eastAsia" w:eastAsia="宋体"/>
        </w:rPr>
        <w:t>NO</w:t>
      </w:r>
      <w:r>
        <w:rPr>
          <w:rFonts w:hint="eastAsia" w:eastAsia="宋体"/>
          <w:vertAlign w:val="subscript"/>
        </w:rPr>
        <w:t>2</w:t>
      </w:r>
      <w:r>
        <w:rPr>
          <w:rFonts w:hint="eastAsia" w:eastAsia="宋体"/>
        </w:rPr>
        <w:t>和CO第95百分位数浓度均有下降，降幅分别为</w:t>
      </w:r>
      <w:r>
        <w:rPr>
          <w:rFonts w:hint="eastAsia" w:eastAsia="宋体"/>
          <w:lang w:val="en-US" w:eastAsia="zh-CN"/>
        </w:rPr>
        <w:t>3.8</w:t>
      </w:r>
      <w:r>
        <w:rPr>
          <w:rFonts w:hint="eastAsia" w:eastAsia="宋体"/>
        </w:rPr>
        <w:t>%、</w:t>
      </w:r>
      <w:r>
        <w:rPr>
          <w:rFonts w:hint="eastAsia" w:eastAsia="宋体"/>
          <w:lang w:val="en-US" w:eastAsia="zh-CN"/>
        </w:rPr>
        <w:t>11.9</w:t>
      </w:r>
      <w:r>
        <w:rPr>
          <w:rFonts w:hint="eastAsia" w:eastAsia="宋体"/>
        </w:rPr>
        <w:t>%、</w:t>
      </w:r>
      <w:r>
        <w:rPr>
          <w:rFonts w:hint="eastAsia" w:eastAsia="宋体"/>
          <w:lang w:val="en-US" w:eastAsia="zh-CN"/>
        </w:rPr>
        <w:t>17.4</w:t>
      </w:r>
      <w:r>
        <w:rPr>
          <w:rFonts w:hint="eastAsia" w:eastAsia="宋体"/>
        </w:rPr>
        <w:t>%、</w:t>
      </w:r>
      <w:r>
        <w:rPr>
          <w:rFonts w:hint="eastAsia" w:eastAsia="宋体"/>
          <w:lang w:val="en-US" w:eastAsia="zh-CN"/>
        </w:rPr>
        <w:t>12.5</w:t>
      </w:r>
      <w:r>
        <w:rPr>
          <w:rFonts w:hint="eastAsia" w:eastAsia="宋体"/>
        </w:rPr>
        <w:t>%和9.1%；SO</w:t>
      </w:r>
      <w:r>
        <w:rPr>
          <w:rFonts w:hint="eastAsia" w:eastAsia="宋体"/>
          <w:vertAlign w:val="subscript"/>
        </w:rPr>
        <w:t>2</w:t>
      </w:r>
      <w:r>
        <w:rPr>
          <w:rFonts w:hint="eastAsia" w:eastAsia="宋体"/>
          <w:lang w:val="en-US" w:eastAsia="zh-CN"/>
        </w:rPr>
        <w:t>浓度持平，</w:t>
      </w:r>
      <w:r>
        <w:rPr>
          <w:rFonts w:hint="eastAsia" w:eastAsia="宋体"/>
        </w:rPr>
        <w:t>O</w:t>
      </w:r>
      <w:r>
        <w:rPr>
          <w:rFonts w:hint="eastAsia" w:eastAsia="宋体"/>
          <w:vertAlign w:val="subscript"/>
        </w:rPr>
        <w:t>3</w:t>
      </w:r>
      <w:r>
        <w:rPr>
          <w:rFonts w:hint="eastAsia" w:eastAsia="宋体"/>
        </w:rPr>
        <w:t>第90百分位数浓度</w:t>
      </w:r>
      <w:r>
        <w:rPr>
          <w:rFonts w:hint="eastAsia" w:eastAsia="宋体"/>
          <w:lang w:val="en-US" w:eastAsia="zh-CN"/>
        </w:rPr>
        <w:t>下降</w:t>
      </w:r>
      <w:r>
        <w:rPr>
          <w:rFonts w:hint="eastAsia" w:eastAsia="宋体"/>
        </w:rPr>
        <w:t>，升幅为</w:t>
      </w:r>
      <w:r>
        <w:rPr>
          <w:rFonts w:hint="eastAsia" w:eastAsia="宋体"/>
          <w:lang w:val="en-US" w:eastAsia="zh-CN"/>
        </w:rPr>
        <w:t>7.3</w:t>
      </w:r>
      <w:r>
        <w:rPr>
          <w:rFonts w:hint="eastAsia" w:eastAsia="宋体"/>
        </w:rPr>
        <w:t>%。</w:t>
      </w:r>
    </w:p>
    <w:p w14:paraId="01E52F25">
      <w:pPr>
        <w:adjustRightInd w:val="0"/>
        <w:snapToGrid w:val="0"/>
        <w:spacing w:line="500" w:lineRule="exact"/>
        <w:ind w:firstLine="480" w:firstLineChars="200"/>
        <w:rPr>
          <w:rFonts w:eastAsia="宋体"/>
        </w:rPr>
      </w:pPr>
      <w:r>
        <w:rPr>
          <w:rFonts w:hint="eastAsia" w:eastAsia="宋体"/>
        </w:rPr>
        <w:t>202</w:t>
      </w:r>
      <w:r>
        <w:rPr>
          <w:rFonts w:hint="eastAsia" w:eastAsia="宋体"/>
          <w:lang w:val="en-US" w:eastAsia="zh-CN"/>
        </w:rPr>
        <w:t>3</w:t>
      </w:r>
      <w:r>
        <w:rPr>
          <w:rFonts w:hint="eastAsia" w:eastAsia="宋体"/>
        </w:rPr>
        <w:t>年，按照省政府发布的《江苏省重污染天气应急预案》，我市共发布</w:t>
      </w:r>
      <w:r>
        <w:rPr>
          <w:rFonts w:hint="eastAsia" w:eastAsia="宋体"/>
          <w:lang w:val="en-US" w:eastAsia="zh-CN"/>
        </w:rPr>
        <w:t>3</w:t>
      </w:r>
      <w:r>
        <w:rPr>
          <w:rFonts w:hint="eastAsia" w:eastAsia="宋体"/>
        </w:rPr>
        <w:t>次黄色预警，其中2次升级为橙色预警。</w:t>
      </w:r>
    </w:p>
    <w:p w14:paraId="5A9D074E">
      <w:pPr>
        <w:adjustRightInd w:val="0"/>
        <w:snapToGrid w:val="0"/>
        <w:spacing w:line="500" w:lineRule="exact"/>
        <w:ind w:firstLine="480" w:firstLineChars="200"/>
        <w:rPr>
          <w:rFonts w:eastAsia="宋体"/>
        </w:rPr>
      </w:pPr>
      <w:r>
        <w:rPr>
          <w:rFonts w:eastAsia="宋体"/>
        </w:rPr>
        <w:t>②水环境</w:t>
      </w:r>
    </w:p>
    <w:p w14:paraId="694BF1F6">
      <w:pPr>
        <w:adjustRightInd w:val="0"/>
        <w:snapToGrid w:val="0"/>
        <w:spacing w:line="500" w:lineRule="exact"/>
        <w:ind w:firstLine="480" w:firstLineChars="200"/>
        <w:rPr>
          <w:rFonts w:hint="eastAsia" w:eastAsia="宋体"/>
        </w:rPr>
      </w:pPr>
      <w:r>
        <w:rPr>
          <w:rFonts w:hint="eastAsia" w:eastAsia="宋体"/>
        </w:rPr>
        <w:t>南通市共有16个国家考核断面，均达到或优于《地表水环境质量标准》(GB3838-2002)Ⅲ类标准。55个省考以上断面中碾砣港闸、聚南大桥、营船港闸、通吕二号桥等19个断面水质符合工类标准，孙窑大桥、嫩江路桥、新江海河桥、团结新大杯等36个断面水质符合Ⅲ类标准，优亚类比例100%，高于省定98.2%的考核标准;无V类和劣V类断面,</w:t>
      </w:r>
    </w:p>
    <w:p w14:paraId="6390BFA1">
      <w:pPr>
        <w:adjustRightInd w:val="0"/>
        <w:snapToGrid w:val="0"/>
        <w:spacing w:line="500" w:lineRule="exact"/>
        <w:ind w:firstLine="480" w:firstLineChars="200"/>
        <w:rPr>
          <w:rFonts w:eastAsia="宋体"/>
        </w:rPr>
      </w:pPr>
      <w:r>
        <w:rPr>
          <w:rFonts w:hint="eastAsia" w:eastAsia="宋体"/>
          <w:lang w:val="en-US" w:eastAsia="zh-CN"/>
        </w:rPr>
        <w:t>饮用水源</w:t>
      </w:r>
      <w:r>
        <w:rPr>
          <w:rFonts w:eastAsia="宋体"/>
        </w:rPr>
        <w:t>：</w:t>
      </w:r>
    </w:p>
    <w:p w14:paraId="2F15BA67">
      <w:pPr>
        <w:adjustRightInd w:val="0"/>
        <w:snapToGrid w:val="0"/>
        <w:spacing w:line="500" w:lineRule="exact"/>
        <w:ind w:firstLine="480" w:firstLineChars="200"/>
        <w:rPr>
          <w:rFonts w:hint="eastAsia" w:eastAsia="宋体"/>
        </w:rPr>
      </w:pPr>
      <w:r>
        <w:rPr>
          <w:rFonts w:hint="eastAsia" w:eastAsia="宋体"/>
        </w:rPr>
        <w:t>全市均以长江水作为饮用水源，长江狼山水源地（对应狼山水厂、崇海水厂）、长江洪港水源地（洪港水厂）、长江长青沙水源地（对应如皋鹏鹞水厂）、长江海门水源地（海门长江水厂）符合地表水Ⅲ类及以上标准，水质优良。全市共计年取水量亿吨，饮用水源地水质达标率均为</w:t>
      </w:r>
      <w:r>
        <w:rPr>
          <w:rFonts w:hint="eastAsia" w:eastAsia="宋体"/>
          <w:lang w:val="en-US" w:eastAsia="zh-CN"/>
        </w:rPr>
        <w:t>100%</w:t>
      </w:r>
      <w:r>
        <w:rPr>
          <w:rFonts w:hint="eastAsia" w:eastAsia="宋体"/>
        </w:rPr>
        <w:t>。</w:t>
      </w:r>
    </w:p>
    <w:p w14:paraId="759A0769">
      <w:pPr>
        <w:adjustRightInd w:val="0"/>
        <w:snapToGrid w:val="0"/>
        <w:spacing w:line="500" w:lineRule="exact"/>
        <w:ind w:firstLine="480" w:firstLineChars="200"/>
        <w:rPr>
          <w:rFonts w:eastAsia="宋体"/>
        </w:rPr>
      </w:pPr>
      <w:r>
        <w:rPr>
          <w:rFonts w:eastAsia="宋体"/>
        </w:rPr>
        <w:t>长江（南通段）水质：</w:t>
      </w:r>
    </w:p>
    <w:p w14:paraId="3309DC56">
      <w:pPr>
        <w:adjustRightInd w:val="0"/>
        <w:snapToGrid w:val="0"/>
        <w:spacing w:line="500" w:lineRule="exact"/>
        <w:ind w:firstLine="480" w:firstLineChars="200"/>
        <w:rPr>
          <w:rFonts w:eastAsia="宋体"/>
        </w:rPr>
      </w:pPr>
      <w:r>
        <w:rPr>
          <w:rFonts w:eastAsia="宋体"/>
        </w:rPr>
        <w:t>长江（南通段）水质为Ⅱ类，水质优良。其中，姚港（左岸）、团结闸（左岸）、小李港（左岸）断面水质保持Ⅱ类。</w:t>
      </w:r>
    </w:p>
    <w:p w14:paraId="4EC97730">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地下水水质：</w:t>
      </w:r>
    </w:p>
    <w:p w14:paraId="5EFE6B8E">
      <w:pPr>
        <w:adjustRightInd w:val="0"/>
        <w:snapToGrid w:val="0"/>
        <w:spacing w:line="500" w:lineRule="exact"/>
        <w:ind w:firstLine="480" w:firstLineChars="200"/>
        <w:rPr>
          <w:rFonts w:hint="default" w:eastAsia="宋体"/>
          <w:lang w:val="en-US" w:eastAsia="zh-CN"/>
        </w:rPr>
      </w:pPr>
      <w:r>
        <w:rPr>
          <w:rFonts w:hint="default" w:eastAsia="宋体"/>
          <w:lang w:val="en-US" w:eastAsia="zh-CN"/>
        </w:rPr>
        <w:t>2023年，南通市省控以上23个地下水区域监测点位，水质达Ⅲ类的6个，满足IV类标准的14个，水质为V类的3个，分别占比26.1%、60.9%、13.0%，与2022年相比，地下水水质总体有所好转,IV类及以上水质占比为87.0%,增加13.3个百分点相应V类比例减少13.3个百分点。</w:t>
      </w:r>
    </w:p>
    <w:p w14:paraId="37D5028B">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近岸海域水质：</w:t>
      </w:r>
    </w:p>
    <w:p w14:paraId="215A8B41">
      <w:pPr>
        <w:adjustRightInd w:val="0"/>
        <w:snapToGrid w:val="0"/>
        <w:spacing w:line="500" w:lineRule="exact"/>
        <w:ind w:firstLine="480" w:firstLineChars="200"/>
        <w:rPr>
          <w:rFonts w:hint="default" w:eastAsia="宋体"/>
          <w:lang w:val="en-US" w:eastAsia="zh-CN"/>
        </w:rPr>
      </w:pPr>
      <w:r>
        <w:rPr>
          <w:rFonts w:hint="default" w:eastAsia="宋体"/>
          <w:lang w:val="en-US" w:eastAsia="zh-CN"/>
        </w:rPr>
        <w:t>2023年，南通市近岸海域达或优于《海水水质标准》(GB3097-1997)二类标准面积比例为87.5%，达三类标准面积比例为4.2%，达四类标准面积比例为2.6%，劣四类标准面积比例为5.7%。优良(一、二类)标准面积比例比上年增加0.3个百分点，劣四类标准面积比例比上年增加1.7个百分点，基本保持稳定，主要超标指标为无机氮。</w:t>
      </w:r>
    </w:p>
    <w:p w14:paraId="75B1C1DB">
      <w:pPr>
        <w:adjustRightInd w:val="0"/>
        <w:snapToGrid w:val="0"/>
        <w:spacing w:line="500" w:lineRule="exact"/>
        <w:ind w:firstLine="480" w:firstLineChars="200"/>
        <w:rPr>
          <w:rFonts w:eastAsia="宋体"/>
        </w:rPr>
      </w:pPr>
      <w:r>
        <w:rPr>
          <w:rFonts w:eastAsia="宋体"/>
        </w:rPr>
        <w:fldChar w:fldCharType="begin"/>
      </w:r>
      <w:r>
        <w:rPr>
          <w:rFonts w:eastAsia="宋体"/>
        </w:rPr>
        <w:instrText xml:space="preserve"> = 3 \* GB3 </w:instrText>
      </w:r>
      <w:r>
        <w:rPr>
          <w:rFonts w:eastAsia="宋体"/>
        </w:rPr>
        <w:fldChar w:fldCharType="separate"/>
      </w:r>
      <w:r>
        <w:rPr>
          <w:rFonts w:eastAsia="宋体"/>
        </w:rPr>
        <w:t>③</w:t>
      </w:r>
      <w:r>
        <w:rPr>
          <w:rFonts w:eastAsia="宋体"/>
        </w:rPr>
        <w:fldChar w:fldCharType="end"/>
      </w:r>
      <w:r>
        <w:rPr>
          <w:rFonts w:eastAsia="宋体"/>
        </w:rPr>
        <w:t>土壤环境质量</w:t>
      </w:r>
    </w:p>
    <w:p w14:paraId="337A1407">
      <w:pPr>
        <w:adjustRightInd w:val="0"/>
        <w:snapToGrid w:val="0"/>
        <w:spacing w:line="500" w:lineRule="exact"/>
        <w:ind w:firstLine="480" w:firstLineChars="200"/>
        <w:rPr>
          <w:rFonts w:hint="eastAsia" w:eastAsia="宋体"/>
        </w:rPr>
      </w:pPr>
      <w:r>
        <w:rPr>
          <w:rFonts w:hint="eastAsia" w:eastAsia="宋体"/>
        </w:rPr>
        <w:t>2023年南通市共监测96个国家网土壤环境监测点，包括88个基础点和8个背景点，均为耕地类型，士环境质量状况总体良好。与“十三五”期间相比，土壤环境质量未发生显著变化。</w:t>
      </w:r>
    </w:p>
    <w:p w14:paraId="601FAB64">
      <w:pPr>
        <w:adjustRightInd w:val="0"/>
        <w:snapToGrid w:val="0"/>
        <w:spacing w:line="500" w:lineRule="exact"/>
        <w:ind w:firstLine="480" w:firstLineChars="200"/>
        <w:rPr>
          <w:rFonts w:eastAsia="宋体"/>
        </w:rPr>
      </w:pPr>
      <w:r>
        <w:rPr>
          <w:rFonts w:eastAsia="宋体"/>
        </w:rPr>
        <w:t>④声环境质量</w:t>
      </w:r>
    </w:p>
    <w:p w14:paraId="0FB7B78C">
      <w:pPr>
        <w:adjustRightInd w:val="0"/>
        <w:snapToGrid w:val="0"/>
        <w:spacing w:line="500" w:lineRule="exact"/>
        <w:ind w:firstLine="480" w:firstLineChars="200"/>
        <w:rPr>
          <w:rFonts w:hint="eastAsia" w:eastAsia="宋体"/>
        </w:rPr>
      </w:pPr>
      <w:r>
        <w:rPr>
          <w:rFonts w:hint="eastAsia" w:eastAsia="宋体"/>
        </w:rPr>
        <w:t>南通全市声环境质量总体较好并且保持稳定:区域唇间声环境质量总体处于二级(较好)水平，同比保持稳定，夜间声环境质量总体由原来的三级(一般)水平上升到二级(较好)水平夜间声环境质量相较“十三五”期间明显改善;功能区昼、夜间声环境质量达标率稳定保持在90%以上，同比保持稳定;道路交通昼、夜间声环境质量均处于一级(好)水平,同比保持稳定。</w:t>
      </w:r>
    </w:p>
    <w:p w14:paraId="12477715">
      <w:pPr>
        <w:adjustRightInd w:val="0"/>
        <w:snapToGrid w:val="0"/>
        <w:spacing w:line="500" w:lineRule="exact"/>
        <w:ind w:firstLine="480" w:firstLineChars="200"/>
        <w:rPr>
          <w:rFonts w:eastAsia="宋体"/>
        </w:rPr>
      </w:pPr>
      <w:r>
        <w:rPr>
          <w:rFonts w:hint="eastAsia" w:eastAsia="宋体"/>
        </w:rPr>
        <w:t>⑤</w:t>
      </w:r>
      <w:r>
        <w:rPr>
          <w:rFonts w:eastAsia="宋体"/>
        </w:rPr>
        <w:t>生态环境状况指数</w:t>
      </w:r>
    </w:p>
    <w:p w14:paraId="2C15D07E">
      <w:pPr>
        <w:pStyle w:val="3"/>
        <w:adjustRightInd w:val="0"/>
        <w:snapToGrid w:val="0"/>
        <w:spacing w:line="480" w:lineRule="exact"/>
        <w:ind w:firstLine="480" w:firstLineChars="200"/>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2023年南通市生态质量指数为53.51，类别为“三类”，各县(市、区)生态质量指数介于44.83~58.28之间。南通市共有7个县(市、区)参与生态质量评价，其中如东、启东、海安为二类”，通州、崇川、海门、如皋为“三类”。2023年南通全市除启东、海门、通州上升0.60、0.23和0.18外，其余4个区县EOI均下降;其中如皋、海安、如东、崇川EOI下降分别为-1.01、-0.73、-0.53和-0.03。由于生物多样性指数全省统一值各县区该指标无差别;崇川生态胁迫指数最高，为100;如东生态格局指数最高，为37.31;海安生态功能指数最高，为83.23</w:t>
      </w:r>
      <w:r>
        <w:rPr>
          <w:rFonts w:hint="eastAsia" w:eastAsia="宋体" w:cs="Times New Roman"/>
          <w:b w:val="0"/>
          <w:bCs w:val="0"/>
          <w:kern w:val="2"/>
          <w:sz w:val="24"/>
          <w:szCs w:val="24"/>
          <w:lang w:val="en-US" w:eastAsia="zh-CN" w:bidi="ar-SA"/>
        </w:rPr>
        <w:t>。</w:t>
      </w:r>
    </w:p>
    <w:p w14:paraId="622016DA">
      <w:pPr>
        <w:pStyle w:val="3"/>
        <w:adjustRightInd w:val="0"/>
        <w:snapToGrid w:val="0"/>
        <w:spacing w:line="48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3.2企业周边环境风险受体情况</w:t>
      </w:r>
      <w:bookmarkEnd w:id="58"/>
      <w:bookmarkEnd w:id="59"/>
      <w:bookmarkEnd w:id="60"/>
    </w:p>
    <w:p w14:paraId="1044DE3E">
      <w:pPr>
        <w:pStyle w:val="5"/>
        <w:adjustRightInd w:val="0"/>
        <w:snapToGrid w:val="0"/>
        <w:spacing w:line="480" w:lineRule="exact"/>
        <w:rPr>
          <w:rFonts w:hint="default" w:ascii="Times New Roman" w:hAnsi="Times New Roman" w:eastAsia="宋体" w:cs="Times New Roman"/>
          <w:sz w:val="24"/>
          <w:szCs w:val="24"/>
        </w:rPr>
      </w:pPr>
      <w:bookmarkStart w:id="61" w:name="_Toc4629"/>
      <w:bookmarkStart w:id="62" w:name="_Toc32178"/>
      <w:bookmarkStart w:id="63" w:name="_Toc16476"/>
      <w:r>
        <w:rPr>
          <w:rFonts w:hint="default" w:ascii="Times New Roman" w:hAnsi="Times New Roman" w:eastAsia="宋体" w:cs="Times New Roman"/>
          <w:sz w:val="24"/>
          <w:szCs w:val="24"/>
        </w:rPr>
        <w:t>3.2.1大气环境风险受体</w:t>
      </w:r>
      <w:bookmarkEnd w:id="61"/>
      <w:bookmarkEnd w:id="62"/>
      <w:bookmarkEnd w:id="63"/>
    </w:p>
    <w:p w14:paraId="1B3F28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0"/>
          <w:sz w:val="24"/>
          <w:szCs w:val="24"/>
          <w:u w:val="none"/>
          <w:lang w:eastAsia="zh-CN"/>
          <w14:textFill>
            <w14:solidFill>
              <w14:schemeClr w14:val="tx1"/>
            </w14:solidFill>
          </w14:textFill>
        </w:rPr>
        <w:t>帝洁雅</w:t>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hint="default" w:ascii="Times New Roman" w:hAnsi="Times New Roman" w:eastAsia="宋体" w:cs="Times New Roman"/>
        </w:rPr>
        <w:t>位于</w:t>
      </w:r>
      <w:r>
        <w:rPr>
          <w:rFonts w:hint="eastAsia" w:eastAsia="宋体" w:cs="Times New Roman"/>
          <w:lang w:eastAsia="zh-CN"/>
        </w:rPr>
        <w:t>海安市城东镇东部大道175号的部分厂房</w:t>
      </w:r>
      <w:r>
        <w:rPr>
          <w:rFonts w:hint="default" w:ascii="Times New Roman" w:hAnsi="Times New Roman" w:eastAsia="宋体" w:cs="Times New Roman"/>
        </w:rPr>
        <w:t>，</w: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0"/>
          <w:sz w:val="24"/>
          <w:szCs w:val="24"/>
          <w:u w:val="none"/>
          <w:lang w:eastAsia="zh-CN"/>
          <w14:textFill>
            <w14:solidFill>
              <w14:schemeClr w14:val="tx1"/>
            </w14:solidFill>
          </w14:textFill>
        </w:rPr>
        <w:t>帝洁雅</w:t>
      </w:r>
      <w:r>
        <w:rPr>
          <w:rFonts w:hint="default"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周围环境详见附</w:t>
      </w:r>
      <w:r>
        <w:rPr>
          <w:rFonts w:hint="eastAsia" w:eastAsia="宋体" w:cs="Times New Roman"/>
          <w:color w:val="000000" w:themeColor="text1"/>
          <w:lang w:val="en-US" w:eastAsia="zh-CN"/>
          <w14:textFill>
            <w14:solidFill>
              <w14:schemeClr w14:val="tx1"/>
            </w14:solidFill>
          </w14:textFill>
        </w:rPr>
        <w:t>图</w:t>
      </w:r>
      <w:r>
        <w:rPr>
          <w:rFonts w:hint="default" w:ascii="Times New Roman" w:hAnsi="Times New Roman" w:eastAsia="宋体" w:cs="Times New Roman"/>
          <w:color w:val="000000" w:themeColor="text1"/>
          <w14:textFill>
            <w14:solidFill>
              <w14:schemeClr w14:val="tx1"/>
            </w14:solidFill>
          </w14:textFill>
        </w:rPr>
        <w:t>。</w:t>
      </w:r>
    </w:p>
    <w:p w14:paraId="6C255A1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企业周边</w:t>
      </w:r>
      <w:r>
        <w:rPr>
          <w:rFonts w:hint="eastAsia" w:eastAsia="宋体" w:cs="Times New Roman"/>
          <w:color w:val="000000" w:themeColor="text1"/>
          <w:lang w:val="en-US" w:eastAsia="zh-CN"/>
          <w14:textFill>
            <w14:solidFill>
              <w14:schemeClr w14:val="tx1"/>
            </w14:solidFill>
          </w14:textFill>
        </w:rPr>
        <w:t>500m、</w:t>
      </w:r>
      <w:r>
        <w:rPr>
          <w:rFonts w:hint="default" w:ascii="Times New Roman" w:hAnsi="Times New Roman" w:eastAsia="宋体" w:cs="Times New Roman"/>
          <w:color w:val="000000" w:themeColor="text1"/>
          <w14:textFill>
            <w14:solidFill>
              <w14:schemeClr w14:val="tx1"/>
            </w14:solidFill>
          </w14:textFill>
        </w:rPr>
        <w:t>5公里范围内大气环境风险受体情况见表</w:t>
      </w:r>
      <w:r>
        <w:rPr>
          <w:rFonts w:hint="eastAsia" w:eastAsia="宋体" w:cs="Times New Roman"/>
          <w:color w:val="000000" w:themeColor="text1"/>
          <w:lang w:val="en-US" w:eastAsia="zh-CN"/>
          <w14:textFill>
            <w14:solidFill>
              <w14:schemeClr w14:val="tx1"/>
            </w14:solidFill>
          </w14:textFill>
        </w:rPr>
        <w:t>3-4、</w:t>
      </w:r>
      <w:r>
        <w:rPr>
          <w:rFonts w:hint="default" w:ascii="Times New Roman" w:hAnsi="Times New Roman" w:eastAsia="宋体" w:cs="Times New Roman"/>
          <w:color w:val="000000" w:themeColor="text1"/>
          <w14:textFill>
            <w14:solidFill>
              <w14:schemeClr w14:val="tx1"/>
            </w14:solidFill>
          </w14:textFill>
        </w:rPr>
        <w:t>3-</w:t>
      </w:r>
      <w:r>
        <w:rPr>
          <w:rFonts w:hint="eastAsia" w:eastAsia="宋体"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w:t>
      </w:r>
    </w:p>
    <w:p w14:paraId="61057178">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4</w: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begin"/>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separate"/>
      </w:r>
      <w:r>
        <w:rPr>
          <w:rStyle w:val="39"/>
          <w:rFonts w:hint="eastAsia" w:eastAsia="宋体" w:cs="Times New Roman"/>
          <w:b/>
          <w:bCs/>
          <w:i w:val="0"/>
          <w:iCs w:val="0"/>
          <w:caps w:val="0"/>
          <w:color w:val="000000" w:themeColor="text1"/>
          <w:spacing w:val="0"/>
          <w:sz w:val="24"/>
          <w:szCs w:val="24"/>
          <w:highlight w:val="none"/>
          <w:u w:val="none"/>
          <w:lang w:eastAsia="zh-CN"/>
          <w14:textFill>
            <w14:solidFill>
              <w14:schemeClr w14:val="tx1"/>
            </w14:solidFill>
          </w14:textFill>
        </w:rPr>
        <w:t>帝洁雅</w:t>
      </w:r>
      <w:r>
        <w:rPr>
          <w:rFonts w:hint="default"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end"/>
      </w:r>
      <w:r>
        <w:rPr>
          <w:rFonts w:hint="default" w:ascii="Times New Roman" w:hAnsi="Times New Roman" w:eastAsia="宋体" w:cs="Times New Roman"/>
          <w:b/>
          <w:bCs/>
          <w:color w:val="000000" w:themeColor="text1"/>
          <w:highlight w:val="none"/>
          <w14:textFill>
            <w14:solidFill>
              <w14:schemeClr w14:val="tx1"/>
            </w14:solidFill>
          </w14:textFill>
        </w:rPr>
        <w:t>周边</w:t>
      </w:r>
      <w:r>
        <w:rPr>
          <w:rFonts w:hint="eastAsia" w:eastAsia="宋体" w:cs="Times New Roman"/>
          <w:b/>
          <w:bCs/>
          <w:color w:val="000000" w:themeColor="text1"/>
          <w:highlight w:val="none"/>
          <w:lang w:val="en-US" w:eastAsia="zh-CN"/>
          <w14:textFill>
            <w14:solidFill>
              <w14:schemeClr w14:val="tx1"/>
            </w14:solidFill>
          </w14:textFill>
        </w:rPr>
        <w:t>500m</w:t>
      </w:r>
      <w:r>
        <w:rPr>
          <w:rFonts w:hint="default" w:ascii="Times New Roman" w:hAnsi="Times New Roman" w:eastAsia="宋体" w:cs="Times New Roman"/>
          <w:b/>
          <w:bCs/>
          <w:color w:val="000000" w:themeColor="text1"/>
          <w:highlight w:val="none"/>
          <w14:textFill>
            <w14:solidFill>
              <w14:schemeClr w14:val="tx1"/>
            </w14:solidFill>
          </w14:textFill>
        </w:rPr>
        <w:t>范围内大气环境风险受体</w:t>
      </w:r>
    </w:p>
    <w:tbl>
      <w:tblPr>
        <w:tblStyle w:val="38"/>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538"/>
        <w:gridCol w:w="1672"/>
        <w:gridCol w:w="987"/>
        <w:gridCol w:w="951"/>
        <w:gridCol w:w="1159"/>
        <w:gridCol w:w="1574"/>
        <w:gridCol w:w="1839"/>
      </w:tblGrid>
      <w:tr w14:paraId="153D50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restart"/>
            <w:tcBorders>
              <w:tl2br w:val="nil"/>
              <w:tr2bl w:val="nil"/>
            </w:tcBorders>
            <w:noWrap w:val="0"/>
            <w:vAlign w:val="center"/>
          </w:tcPr>
          <w:p w14:paraId="48D1BC0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w:t>
            </w:r>
          </w:p>
          <w:p w14:paraId="115CBA0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要素</w:t>
            </w:r>
          </w:p>
        </w:tc>
        <w:tc>
          <w:tcPr>
            <w:tcW w:w="1178" w:type="pct"/>
            <w:gridSpan w:val="2"/>
            <w:tcBorders>
              <w:tl2br w:val="nil"/>
              <w:tr2bl w:val="nil"/>
            </w:tcBorders>
            <w:noWrap w:val="0"/>
            <w:vAlign w:val="center"/>
          </w:tcPr>
          <w:p w14:paraId="30401D6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环境保护对象名称</w:t>
            </w:r>
          </w:p>
        </w:tc>
        <w:tc>
          <w:tcPr>
            <w:tcW w:w="526" w:type="pct"/>
            <w:vMerge w:val="restart"/>
            <w:tcBorders>
              <w:tl2br w:val="nil"/>
              <w:tr2bl w:val="nil"/>
            </w:tcBorders>
            <w:noWrap w:val="0"/>
            <w:vAlign w:val="center"/>
          </w:tcPr>
          <w:p w14:paraId="0150173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方位</w:t>
            </w:r>
          </w:p>
        </w:tc>
        <w:tc>
          <w:tcPr>
            <w:tcW w:w="506" w:type="pct"/>
            <w:vMerge w:val="restart"/>
            <w:tcBorders>
              <w:tl2br w:val="nil"/>
              <w:tr2bl w:val="nil"/>
            </w:tcBorders>
            <w:noWrap w:val="0"/>
            <w:vAlign w:val="center"/>
          </w:tcPr>
          <w:p w14:paraId="43F757B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距项目厂界最近距离（m）</w:t>
            </w:r>
          </w:p>
        </w:tc>
        <w:tc>
          <w:tcPr>
            <w:tcW w:w="618" w:type="pct"/>
            <w:vMerge w:val="restart"/>
            <w:tcBorders>
              <w:tl2br w:val="nil"/>
              <w:tr2bl w:val="nil"/>
            </w:tcBorders>
            <w:noWrap w:val="0"/>
            <w:vAlign w:val="center"/>
          </w:tcPr>
          <w:p w14:paraId="2A8ACAC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规模（人）</w:t>
            </w:r>
          </w:p>
        </w:tc>
        <w:tc>
          <w:tcPr>
            <w:tcW w:w="839" w:type="pct"/>
            <w:vMerge w:val="restart"/>
            <w:tcBorders>
              <w:tl2br w:val="nil"/>
              <w:tr2bl w:val="nil"/>
            </w:tcBorders>
            <w:noWrap w:val="0"/>
            <w:vAlign w:val="center"/>
          </w:tcPr>
          <w:p w14:paraId="7CA0AF9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eastAsia" w:ascii="Times New Roman" w:eastAsia="宋体" w:cs="Times New Roman"/>
                <w:b/>
                <w:bCs/>
                <w:color w:val="auto"/>
                <w:sz w:val="21"/>
                <w:szCs w:val="21"/>
                <w:vertAlign w:val="baseline"/>
                <w:lang w:val="en-US" w:eastAsia="zh-CN" w:bidi="ar-SA"/>
              </w:rPr>
              <w:t>联系方式</w:t>
            </w:r>
          </w:p>
        </w:tc>
        <w:tc>
          <w:tcPr>
            <w:tcW w:w="980" w:type="pct"/>
            <w:vMerge w:val="restart"/>
            <w:tcBorders>
              <w:tl2br w:val="nil"/>
              <w:tr2bl w:val="nil"/>
            </w:tcBorders>
            <w:noWrap w:val="0"/>
            <w:vAlign w:val="center"/>
          </w:tcPr>
          <w:p w14:paraId="6694C64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环境功能</w:t>
            </w:r>
          </w:p>
        </w:tc>
      </w:tr>
      <w:tr w14:paraId="3A4F8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08BE2B0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7ED291D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序号</w:t>
            </w:r>
          </w:p>
        </w:tc>
        <w:tc>
          <w:tcPr>
            <w:tcW w:w="890" w:type="pct"/>
            <w:tcBorders>
              <w:tl2br w:val="nil"/>
              <w:tr2bl w:val="nil"/>
            </w:tcBorders>
            <w:noWrap w:val="0"/>
            <w:vAlign w:val="center"/>
          </w:tcPr>
          <w:p w14:paraId="68D9D88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敏感点</w:t>
            </w:r>
          </w:p>
        </w:tc>
        <w:tc>
          <w:tcPr>
            <w:tcW w:w="526" w:type="pct"/>
            <w:vMerge w:val="continue"/>
            <w:tcBorders>
              <w:tl2br w:val="nil"/>
              <w:tr2bl w:val="nil"/>
            </w:tcBorders>
            <w:noWrap w:val="0"/>
            <w:vAlign w:val="center"/>
          </w:tcPr>
          <w:p w14:paraId="47222ED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506" w:type="pct"/>
            <w:vMerge w:val="continue"/>
            <w:tcBorders>
              <w:tl2br w:val="nil"/>
              <w:tr2bl w:val="nil"/>
            </w:tcBorders>
            <w:noWrap w:val="0"/>
            <w:vAlign w:val="center"/>
          </w:tcPr>
          <w:p w14:paraId="030B78B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618" w:type="pct"/>
            <w:vMerge w:val="continue"/>
            <w:tcBorders>
              <w:tl2br w:val="nil"/>
              <w:tr2bl w:val="nil"/>
            </w:tcBorders>
            <w:noWrap w:val="0"/>
            <w:vAlign w:val="center"/>
          </w:tcPr>
          <w:p w14:paraId="03199C1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839" w:type="pct"/>
            <w:vMerge w:val="continue"/>
            <w:tcBorders>
              <w:tl2br w:val="nil"/>
              <w:tr2bl w:val="nil"/>
            </w:tcBorders>
            <w:noWrap w:val="0"/>
            <w:vAlign w:val="center"/>
          </w:tcPr>
          <w:p w14:paraId="63CCB32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980" w:type="pct"/>
            <w:vMerge w:val="continue"/>
            <w:tcBorders>
              <w:tl2br w:val="nil"/>
              <w:tr2bl w:val="nil"/>
            </w:tcBorders>
            <w:noWrap w:val="0"/>
            <w:vAlign w:val="center"/>
          </w:tcPr>
          <w:p w14:paraId="64214CB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606E8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18D39A8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2F2F9FB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w:t>
            </w:r>
          </w:p>
        </w:tc>
        <w:tc>
          <w:tcPr>
            <w:tcW w:w="890" w:type="pct"/>
            <w:tcBorders>
              <w:tl2br w:val="nil"/>
              <w:tr2bl w:val="nil"/>
            </w:tcBorders>
            <w:noWrap w:val="0"/>
            <w:vAlign w:val="center"/>
          </w:tcPr>
          <w:p w14:paraId="7A74CD89">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olor w:val="auto"/>
                <w:kern w:val="0"/>
                <w:sz w:val="21"/>
                <w:szCs w:val="21"/>
                <w:highlight w:val="none"/>
                <w:lang w:val="en-US" w:eastAsia="zh-CN"/>
              </w:rPr>
              <w:t>海安橙方海安有限公司</w:t>
            </w:r>
          </w:p>
        </w:tc>
        <w:tc>
          <w:tcPr>
            <w:tcW w:w="526" w:type="pct"/>
            <w:tcBorders>
              <w:tl2br w:val="nil"/>
              <w:tr2bl w:val="nil"/>
            </w:tcBorders>
            <w:noWrap w:val="0"/>
            <w:vAlign w:val="center"/>
          </w:tcPr>
          <w:p w14:paraId="3ECA255C">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N</w:t>
            </w:r>
          </w:p>
        </w:tc>
        <w:tc>
          <w:tcPr>
            <w:tcW w:w="506" w:type="pct"/>
            <w:tcBorders>
              <w:tl2br w:val="nil"/>
              <w:tr2bl w:val="nil"/>
            </w:tcBorders>
            <w:noWrap w:val="0"/>
            <w:vAlign w:val="center"/>
          </w:tcPr>
          <w:p w14:paraId="53E6E216">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10</w:t>
            </w:r>
          </w:p>
        </w:tc>
        <w:tc>
          <w:tcPr>
            <w:tcW w:w="618" w:type="pct"/>
            <w:tcBorders>
              <w:tl2br w:val="nil"/>
              <w:tr2bl w:val="nil"/>
            </w:tcBorders>
            <w:noWrap w:val="0"/>
            <w:vAlign w:val="center"/>
          </w:tcPr>
          <w:p w14:paraId="399AB7E6">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60</w:t>
            </w:r>
          </w:p>
        </w:tc>
        <w:tc>
          <w:tcPr>
            <w:tcW w:w="839" w:type="pct"/>
            <w:tcBorders>
              <w:tl2br w:val="nil"/>
              <w:tr2bl w:val="nil"/>
            </w:tcBorders>
            <w:noWrap w:val="0"/>
            <w:vAlign w:val="center"/>
          </w:tcPr>
          <w:p w14:paraId="75A4E04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13916451310</w:t>
            </w:r>
          </w:p>
        </w:tc>
        <w:tc>
          <w:tcPr>
            <w:tcW w:w="980" w:type="pct"/>
            <w:vMerge w:val="restart"/>
            <w:tcBorders>
              <w:tl2br w:val="nil"/>
              <w:tr2bl w:val="nil"/>
            </w:tcBorders>
            <w:noWrap w:val="0"/>
            <w:vAlign w:val="center"/>
          </w:tcPr>
          <w:p w14:paraId="7639D0D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《环境空气质量标准》（GB3095-2012）中的二级标准</w:t>
            </w:r>
          </w:p>
        </w:tc>
      </w:tr>
      <w:tr w14:paraId="4A26C6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0D0C64B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6FDA0AE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2</w:t>
            </w:r>
          </w:p>
        </w:tc>
        <w:tc>
          <w:tcPr>
            <w:tcW w:w="890" w:type="pct"/>
            <w:tcBorders>
              <w:tl2br w:val="nil"/>
              <w:tr2bl w:val="nil"/>
            </w:tcBorders>
            <w:noWrap w:val="0"/>
            <w:vAlign w:val="center"/>
          </w:tcPr>
          <w:p w14:paraId="3DB4C9C3">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海安帝洁雅家具有限公司</w:t>
            </w:r>
          </w:p>
        </w:tc>
        <w:tc>
          <w:tcPr>
            <w:tcW w:w="526" w:type="pct"/>
            <w:tcBorders>
              <w:tl2br w:val="nil"/>
              <w:tr2bl w:val="nil"/>
            </w:tcBorders>
            <w:noWrap w:val="0"/>
            <w:vAlign w:val="center"/>
          </w:tcPr>
          <w:p w14:paraId="28617DE7">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t>
            </w:r>
          </w:p>
        </w:tc>
        <w:tc>
          <w:tcPr>
            <w:tcW w:w="506" w:type="pct"/>
            <w:tcBorders>
              <w:tl2br w:val="nil"/>
              <w:tr2bl w:val="nil"/>
            </w:tcBorders>
            <w:noWrap w:val="0"/>
            <w:vAlign w:val="center"/>
          </w:tcPr>
          <w:p w14:paraId="07B1870F">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20</w:t>
            </w:r>
          </w:p>
        </w:tc>
        <w:tc>
          <w:tcPr>
            <w:tcW w:w="618" w:type="pct"/>
            <w:tcBorders>
              <w:tl2br w:val="nil"/>
              <w:tr2bl w:val="nil"/>
            </w:tcBorders>
            <w:noWrap w:val="0"/>
            <w:vAlign w:val="center"/>
          </w:tcPr>
          <w:p w14:paraId="7184E7AB">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5C662BA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0513-88937388</w:t>
            </w:r>
          </w:p>
        </w:tc>
        <w:tc>
          <w:tcPr>
            <w:tcW w:w="980" w:type="pct"/>
            <w:vMerge w:val="continue"/>
            <w:tcBorders>
              <w:tl2br w:val="nil"/>
              <w:tr2bl w:val="nil"/>
            </w:tcBorders>
            <w:noWrap w:val="0"/>
            <w:vAlign w:val="center"/>
          </w:tcPr>
          <w:p w14:paraId="04FB499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74DB7C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4CC8FBB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6325D8C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3</w:t>
            </w:r>
          </w:p>
        </w:tc>
        <w:tc>
          <w:tcPr>
            <w:tcW w:w="890" w:type="pct"/>
            <w:tcBorders>
              <w:tl2br w:val="nil"/>
              <w:tr2bl w:val="nil"/>
            </w:tcBorders>
            <w:noWrap w:val="0"/>
            <w:vAlign w:val="center"/>
          </w:tcPr>
          <w:p w14:paraId="5B8F1F14">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海安翊林家具有限公司</w:t>
            </w:r>
          </w:p>
        </w:tc>
        <w:tc>
          <w:tcPr>
            <w:tcW w:w="526" w:type="pct"/>
            <w:tcBorders>
              <w:tl2br w:val="nil"/>
              <w:tr2bl w:val="nil"/>
            </w:tcBorders>
            <w:noWrap w:val="0"/>
            <w:vAlign w:val="center"/>
          </w:tcPr>
          <w:p w14:paraId="1B68AD58">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E</w:t>
            </w:r>
          </w:p>
        </w:tc>
        <w:tc>
          <w:tcPr>
            <w:tcW w:w="506" w:type="pct"/>
            <w:tcBorders>
              <w:tl2br w:val="nil"/>
              <w:tr2bl w:val="nil"/>
            </w:tcBorders>
            <w:noWrap w:val="0"/>
            <w:vAlign w:val="center"/>
          </w:tcPr>
          <w:p w14:paraId="029A08F5">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468</w:t>
            </w:r>
          </w:p>
        </w:tc>
        <w:tc>
          <w:tcPr>
            <w:tcW w:w="618" w:type="pct"/>
            <w:tcBorders>
              <w:tl2br w:val="nil"/>
              <w:tr2bl w:val="nil"/>
            </w:tcBorders>
            <w:noWrap w:val="0"/>
            <w:vAlign w:val="center"/>
          </w:tcPr>
          <w:p w14:paraId="210AAD9A">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30</w:t>
            </w:r>
          </w:p>
        </w:tc>
        <w:tc>
          <w:tcPr>
            <w:tcW w:w="839" w:type="pct"/>
            <w:tcBorders>
              <w:tl2br w:val="nil"/>
              <w:tr2bl w:val="nil"/>
            </w:tcBorders>
            <w:noWrap w:val="0"/>
            <w:vAlign w:val="center"/>
          </w:tcPr>
          <w:p w14:paraId="4E975A8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18915501888</w:t>
            </w:r>
          </w:p>
        </w:tc>
        <w:tc>
          <w:tcPr>
            <w:tcW w:w="980" w:type="pct"/>
            <w:vMerge w:val="continue"/>
            <w:tcBorders>
              <w:tl2br w:val="nil"/>
              <w:tr2bl w:val="nil"/>
            </w:tcBorders>
            <w:noWrap w:val="0"/>
            <w:vAlign w:val="center"/>
          </w:tcPr>
          <w:p w14:paraId="66E82DA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B5EB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0FDD3DD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603D37E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4</w:t>
            </w:r>
          </w:p>
        </w:tc>
        <w:tc>
          <w:tcPr>
            <w:tcW w:w="890" w:type="pct"/>
            <w:tcBorders>
              <w:tl2br w:val="nil"/>
              <w:tr2bl w:val="nil"/>
            </w:tcBorders>
            <w:noWrap w:val="0"/>
            <w:vAlign w:val="center"/>
          </w:tcPr>
          <w:p w14:paraId="17EEC94C">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江苏熙也家具有限公司</w:t>
            </w:r>
          </w:p>
        </w:tc>
        <w:tc>
          <w:tcPr>
            <w:tcW w:w="526" w:type="pct"/>
            <w:tcBorders>
              <w:tl2br w:val="nil"/>
              <w:tr2bl w:val="nil"/>
            </w:tcBorders>
            <w:noWrap w:val="0"/>
            <w:vAlign w:val="center"/>
          </w:tcPr>
          <w:p w14:paraId="2BBE408F">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SE</w:t>
            </w:r>
          </w:p>
        </w:tc>
        <w:tc>
          <w:tcPr>
            <w:tcW w:w="506" w:type="pct"/>
            <w:tcBorders>
              <w:tl2br w:val="nil"/>
              <w:tr2bl w:val="nil"/>
            </w:tcBorders>
            <w:noWrap w:val="0"/>
            <w:vAlign w:val="center"/>
          </w:tcPr>
          <w:p w14:paraId="03A8472A">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472</w:t>
            </w:r>
          </w:p>
        </w:tc>
        <w:tc>
          <w:tcPr>
            <w:tcW w:w="618" w:type="pct"/>
            <w:tcBorders>
              <w:tl2br w:val="nil"/>
              <w:tr2bl w:val="nil"/>
            </w:tcBorders>
            <w:noWrap w:val="0"/>
            <w:vAlign w:val="center"/>
          </w:tcPr>
          <w:p w14:paraId="0AFFFEF2">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7919343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noWrap w:val="0"/>
            <w:vAlign w:val="center"/>
          </w:tcPr>
          <w:p w14:paraId="4D481D4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95E1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4820DD6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2ADA9C5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5</w:t>
            </w:r>
          </w:p>
        </w:tc>
        <w:tc>
          <w:tcPr>
            <w:tcW w:w="890" w:type="pct"/>
            <w:tcBorders>
              <w:tl2br w:val="nil"/>
              <w:tr2bl w:val="nil"/>
            </w:tcBorders>
            <w:noWrap w:val="0"/>
            <w:vAlign w:val="center"/>
          </w:tcPr>
          <w:p w14:paraId="231BD66C">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海安尚位家具有限公司</w:t>
            </w:r>
          </w:p>
        </w:tc>
        <w:tc>
          <w:tcPr>
            <w:tcW w:w="526" w:type="pct"/>
            <w:tcBorders>
              <w:tl2br w:val="nil"/>
              <w:tr2bl w:val="nil"/>
            </w:tcBorders>
            <w:noWrap w:val="0"/>
            <w:vAlign w:val="center"/>
          </w:tcPr>
          <w:p w14:paraId="6939A404">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t>
            </w:r>
          </w:p>
        </w:tc>
        <w:tc>
          <w:tcPr>
            <w:tcW w:w="506" w:type="pct"/>
            <w:tcBorders>
              <w:tl2br w:val="nil"/>
              <w:tr2bl w:val="nil"/>
            </w:tcBorders>
            <w:noWrap w:val="0"/>
            <w:vAlign w:val="center"/>
          </w:tcPr>
          <w:p w14:paraId="6B14B29C">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315</w:t>
            </w:r>
          </w:p>
        </w:tc>
        <w:tc>
          <w:tcPr>
            <w:tcW w:w="618" w:type="pct"/>
            <w:tcBorders>
              <w:tl2br w:val="nil"/>
              <w:tr2bl w:val="nil"/>
            </w:tcBorders>
            <w:noWrap w:val="0"/>
            <w:vAlign w:val="center"/>
          </w:tcPr>
          <w:p w14:paraId="17A44E2A">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40</w:t>
            </w:r>
          </w:p>
        </w:tc>
        <w:tc>
          <w:tcPr>
            <w:tcW w:w="839" w:type="pct"/>
            <w:tcBorders>
              <w:tl2br w:val="nil"/>
              <w:tr2bl w:val="nil"/>
            </w:tcBorders>
            <w:noWrap w:val="0"/>
            <w:vAlign w:val="center"/>
          </w:tcPr>
          <w:p w14:paraId="045809C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15370605171</w:t>
            </w:r>
          </w:p>
        </w:tc>
        <w:tc>
          <w:tcPr>
            <w:tcW w:w="980" w:type="pct"/>
            <w:vMerge w:val="continue"/>
            <w:tcBorders>
              <w:tl2br w:val="nil"/>
              <w:tr2bl w:val="nil"/>
            </w:tcBorders>
            <w:noWrap w:val="0"/>
            <w:vAlign w:val="center"/>
          </w:tcPr>
          <w:p w14:paraId="0D950B0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399D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4890B2B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2A7B3D0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6</w:t>
            </w:r>
          </w:p>
        </w:tc>
        <w:tc>
          <w:tcPr>
            <w:tcW w:w="890" w:type="pct"/>
            <w:tcBorders>
              <w:tl2br w:val="nil"/>
              <w:tr2bl w:val="nil"/>
            </w:tcBorders>
            <w:noWrap w:val="0"/>
            <w:vAlign w:val="center"/>
          </w:tcPr>
          <w:p w14:paraId="49475C18">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花哚（海安）家具有限公司</w:t>
            </w:r>
          </w:p>
        </w:tc>
        <w:tc>
          <w:tcPr>
            <w:tcW w:w="526" w:type="pct"/>
            <w:tcBorders>
              <w:tl2br w:val="nil"/>
              <w:tr2bl w:val="nil"/>
            </w:tcBorders>
            <w:noWrap w:val="0"/>
            <w:vAlign w:val="center"/>
          </w:tcPr>
          <w:p w14:paraId="2E4B5173">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w:t>
            </w:r>
          </w:p>
        </w:tc>
        <w:tc>
          <w:tcPr>
            <w:tcW w:w="506" w:type="pct"/>
            <w:tcBorders>
              <w:tl2br w:val="nil"/>
              <w:tr2bl w:val="nil"/>
            </w:tcBorders>
            <w:noWrap w:val="0"/>
            <w:vAlign w:val="center"/>
          </w:tcPr>
          <w:p w14:paraId="34ED0B76">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225</w:t>
            </w:r>
          </w:p>
        </w:tc>
        <w:tc>
          <w:tcPr>
            <w:tcW w:w="618" w:type="pct"/>
            <w:tcBorders>
              <w:tl2br w:val="nil"/>
              <w:tr2bl w:val="nil"/>
            </w:tcBorders>
            <w:noWrap w:val="0"/>
            <w:vAlign w:val="center"/>
          </w:tcPr>
          <w:p w14:paraId="6025012D">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5DE2220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0513-88211181</w:t>
            </w:r>
          </w:p>
        </w:tc>
        <w:tc>
          <w:tcPr>
            <w:tcW w:w="980" w:type="pct"/>
            <w:vMerge w:val="continue"/>
            <w:tcBorders>
              <w:tl2br w:val="nil"/>
              <w:tr2bl w:val="nil"/>
            </w:tcBorders>
            <w:noWrap w:val="0"/>
            <w:vAlign w:val="center"/>
          </w:tcPr>
          <w:p w14:paraId="16E653B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4BA6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6D653FF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28BDE6B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7</w:t>
            </w:r>
          </w:p>
        </w:tc>
        <w:tc>
          <w:tcPr>
            <w:tcW w:w="890" w:type="pct"/>
            <w:tcBorders>
              <w:tl2br w:val="nil"/>
              <w:tr2bl w:val="nil"/>
            </w:tcBorders>
            <w:noWrap w:val="0"/>
            <w:vAlign w:val="center"/>
          </w:tcPr>
          <w:p w14:paraId="436277F0">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江苏卡尔森家具有限公司</w:t>
            </w:r>
          </w:p>
        </w:tc>
        <w:tc>
          <w:tcPr>
            <w:tcW w:w="526" w:type="pct"/>
            <w:tcBorders>
              <w:tl2br w:val="nil"/>
              <w:tr2bl w:val="nil"/>
            </w:tcBorders>
            <w:noWrap w:val="0"/>
            <w:vAlign w:val="center"/>
          </w:tcPr>
          <w:p w14:paraId="30DA1CF1">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w:t>
            </w:r>
          </w:p>
        </w:tc>
        <w:tc>
          <w:tcPr>
            <w:tcW w:w="506" w:type="pct"/>
            <w:tcBorders>
              <w:tl2br w:val="nil"/>
              <w:tr2bl w:val="nil"/>
            </w:tcBorders>
            <w:noWrap w:val="0"/>
            <w:vAlign w:val="center"/>
          </w:tcPr>
          <w:p w14:paraId="2D772CEF">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151</w:t>
            </w:r>
          </w:p>
        </w:tc>
        <w:tc>
          <w:tcPr>
            <w:tcW w:w="618" w:type="pct"/>
            <w:tcBorders>
              <w:tl2br w:val="nil"/>
              <w:tr2bl w:val="nil"/>
            </w:tcBorders>
            <w:noWrap w:val="0"/>
            <w:vAlign w:val="center"/>
          </w:tcPr>
          <w:p w14:paraId="15A62C66">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60</w:t>
            </w:r>
          </w:p>
        </w:tc>
        <w:tc>
          <w:tcPr>
            <w:tcW w:w="839" w:type="pct"/>
            <w:tcBorders>
              <w:tl2br w:val="nil"/>
              <w:tr2bl w:val="nil"/>
            </w:tcBorders>
            <w:noWrap w:val="0"/>
            <w:vAlign w:val="center"/>
          </w:tcPr>
          <w:p w14:paraId="6AA5301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13814831006</w:t>
            </w:r>
          </w:p>
        </w:tc>
        <w:tc>
          <w:tcPr>
            <w:tcW w:w="980" w:type="pct"/>
            <w:vMerge w:val="continue"/>
            <w:tcBorders>
              <w:tl2br w:val="nil"/>
              <w:tr2bl w:val="nil"/>
            </w:tcBorders>
            <w:noWrap w:val="0"/>
            <w:vAlign w:val="center"/>
          </w:tcPr>
          <w:p w14:paraId="4BA5540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DEAF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237B5EA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4B435FE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8</w:t>
            </w:r>
          </w:p>
        </w:tc>
        <w:tc>
          <w:tcPr>
            <w:tcW w:w="890" w:type="pct"/>
            <w:tcBorders>
              <w:tl2br w:val="nil"/>
              <w:tr2bl w:val="nil"/>
            </w:tcBorders>
            <w:noWrap w:val="0"/>
            <w:vAlign w:val="center"/>
          </w:tcPr>
          <w:p w14:paraId="70DF0B11">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原野居家具海安有限公司</w:t>
            </w:r>
          </w:p>
        </w:tc>
        <w:tc>
          <w:tcPr>
            <w:tcW w:w="526" w:type="pct"/>
            <w:tcBorders>
              <w:tl2br w:val="nil"/>
              <w:tr2bl w:val="nil"/>
            </w:tcBorders>
            <w:noWrap w:val="0"/>
            <w:vAlign w:val="center"/>
          </w:tcPr>
          <w:p w14:paraId="2525282B">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w:t>
            </w:r>
          </w:p>
        </w:tc>
        <w:tc>
          <w:tcPr>
            <w:tcW w:w="506" w:type="pct"/>
            <w:tcBorders>
              <w:tl2br w:val="nil"/>
              <w:tr2bl w:val="nil"/>
            </w:tcBorders>
            <w:noWrap w:val="0"/>
            <w:vAlign w:val="center"/>
          </w:tcPr>
          <w:p w14:paraId="3158B0B6">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224</w:t>
            </w:r>
          </w:p>
        </w:tc>
        <w:tc>
          <w:tcPr>
            <w:tcW w:w="618" w:type="pct"/>
            <w:tcBorders>
              <w:tl2br w:val="nil"/>
              <w:tr2bl w:val="nil"/>
            </w:tcBorders>
            <w:noWrap w:val="0"/>
            <w:vAlign w:val="center"/>
          </w:tcPr>
          <w:p w14:paraId="5FE7E889">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2B1FD46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15370975776</w:t>
            </w:r>
          </w:p>
        </w:tc>
        <w:tc>
          <w:tcPr>
            <w:tcW w:w="980" w:type="pct"/>
            <w:vMerge w:val="continue"/>
            <w:tcBorders>
              <w:tl2br w:val="nil"/>
              <w:tr2bl w:val="nil"/>
            </w:tcBorders>
            <w:noWrap w:val="0"/>
            <w:vAlign w:val="center"/>
          </w:tcPr>
          <w:p w14:paraId="6A6CF04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1A99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31B8E80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0F57421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9</w:t>
            </w:r>
          </w:p>
        </w:tc>
        <w:tc>
          <w:tcPr>
            <w:tcW w:w="890" w:type="pct"/>
            <w:tcBorders>
              <w:tl2br w:val="nil"/>
              <w:tr2bl w:val="nil"/>
            </w:tcBorders>
            <w:noWrap w:val="0"/>
            <w:vAlign w:val="center"/>
          </w:tcPr>
          <w:p w14:paraId="23495F30">
            <w:pPr>
              <w:pageBreakBefore w:val="0"/>
              <w:kinsoku/>
              <w:overflowPunct/>
              <w:bidi w:val="0"/>
              <w:spacing w:line="240" w:lineRule="auto"/>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上海咏琦家具制造有限公司</w:t>
            </w:r>
          </w:p>
        </w:tc>
        <w:tc>
          <w:tcPr>
            <w:tcW w:w="526" w:type="pct"/>
            <w:tcBorders>
              <w:tl2br w:val="nil"/>
              <w:tr2bl w:val="nil"/>
            </w:tcBorders>
            <w:noWrap w:val="0"/>
            <w:vAlign w:val="center"/>
          </w:tcPr>
          <w:p w14:paraId="2FE706AA">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W</w:t>
            </w:r>
          </w:p>
        </w:tc>
        <w:tc>
          <w:tcPr>
            <w:tcW w:w="506" w:type="pct"/>
            <w:tcBorders>
              <w:tl2br w:val="nil"/>
              <w:tr2bl w:val="nil"/>
            </w:tcBorders>
            <w:noWrap w:val="0"/>
            <w:vAlign w:val="center"/>
          </w:tcPr>
          <w:p w14:paraId="17B98A48">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115</w:t>
            </w:r>
          </w:p>
        </w:tc>
        <w:tc>
          <w:tcPr>
            <w:tcW w:w="618" w:type="pct"/>
            <w:tcBorders>
              <w:tl2br w:val="nil"/>
              <w:tr2bl w:val="nil"/>
            </w:tcBorders>
            <w:noWrap w:val="0"/>
            <w:vAlign w:val="center"/>
          </w:tcPr>
          <w:p w14:paraId="4A34CABB">
            <w:pPr>
              <w:spacing w:before="0" w:line="240" w:lineRule="auto"/>
              <w:ind w:left="0" w:leftChars="0" w:right="0" w:rightChars="0"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60</w:t>
            </w:r>
          </w:p>
        </w:tc>
        <w:tc>
          <w:tcPr>
            <w:tcW w:w="839" w:type="pct"/>
            <w:tcBorders>
              <w:tl2br w:val="nil"/>
              <w:tr2bl w:val="nil"/>
            </w:tcBorders>
            <w:noWrap w:val="0"/>
            <w:vAlign w:val="center"/>
          </w:tcPr>
          <w:p w14:paraId="2344CF2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noWrap w:val="0"/>
            <w:vAlign w:val="center"/>
          </w:tcPr>
          <w:p w14:paraId="76D7A1A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3207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4578B63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3D6D218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10</w:t>
            </w:r>
          </w:p>
        </w:tc>
        <w:tc>
          <w:tcPr>
            <w:tcW w:w="890" w:type="pct"/>
            <w:tcBorders>
              <w:tl2br w:val="nil"/>
              <w:tr2bl w:val="nil"/>
            </w:tcBorders>
            <w:noWrap w:val="0"/>
            <w:vAlign w:val="center"/>
          </w:tcPr>
          <w:p w14:paraId="6C4A41F7">
            <w:pPr>
              <w:pageBreakBefore w:val="0"/>
              <w:kinsoku/>
              <w:overflowPunct/>
              <w:bidi w:val="0"/>
              <w:spacing w:line="240" w:lineRule="auto"/>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皇庭雅居家具海安有限公司</w:t>
            </w:r>
          </w:p>
        </w:tc>
        <w:tc>
          <w:tcPr>
            <w:tcW w:w="526" w:type="pct"/>
            <w:tcBorders>
              <w:tl2br w:val="nil"/>
              <w:tr2bl w:val="nil"/>
            </w:tcBorders>
            <w:noWrap w:val="0"/>
            <w:vAlign w:val="center"/>
          </w:tcPr>
          <w:p w14:paraId="4F80143C">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W</w:t>
            </w:r>
          </w:p>
        </w:tc>
        <w:tc>
          <w:tcPr>
            <w:tcW w:w="506" w:type="pct"/>
            <w:tcBorders>
              <w:tl2br w:val="nil"/>
              <w:tr2bl w:val="nil"/>
            </w:tcBorders>
            <w:noWrap w:val="0"/>
            <w:vAlign w:val="center"/>
          </w:tcPr>
          <w:p w14:paraId="1E3A1C73">
            <w:pPr>
              <w:pageBreakBefore w:val="0"/>
              <w:kinsoku/>
              <w:overflowPunct/>
              <w:bidi w:val="0"/>
              <w:spacing w:line="240" w:lineRule="auto"/>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146</w:t>
            </w:r>
          </w:p>
        </w:tc>
        <w:tc>
          <w:tcPr>
            <w:tcW w:w="618" w:type="pct"/>
            <w:tcBorders>
              <w:tl2br w:val="nil"/>
              <w:tr2bl w:val="nil"/>
            </w:tcBorders>
            <w:noWrap w:val="0"/>
            <w:vAlign w:val="center"/>
          </w:tcPr>
          <w:p w14:paraId="157F5D68">
            <w:pPr>
              <w:spacing w:before="0" w:line="240" w:lineRule="auto"/>
              <w:ind w:left="0" w:leftChars="0" w:right="0" w:rightChars="0"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60</w:t>
            </w:r>
          </w:p>
        </w:tc>
        <w:tc>
          <w:tcPr>
            <w:tcW w:w="839" w:type="pct"/>
            <w:tcBorders>
              <w:tl2br w:val="nil"/>
              <w:tr2bl w:val="nil"/>
            </w:tcBorders>
            <w:noWrap w:val="0"/>
            <w:vAlign w:val="center"/>
          </w:tcPr>
          <w:p w14:paraId="61C11BD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0513-88366339</w:t>
            </w:r>
          </w:p>
        </w:tc>
        <w:tc>
          <w:tcPr>
            <w:tcW w:w="980" w:type="pct"/>
            <w:vMerge w:val="continue"/>
            <w:tcBorders>
              <w:tl2br w:val="nil"/>
              <w:tr2bl w:val="nil"/>
            </w:tcBorders>
            <w:noWrap w:val="0"/>
            <w:vAlign w:val="center"/>
          </w:tcPr>
          <w:p w14:paraId="08BD7FD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B2A5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26E85F0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6596248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11</w:t>
            </w:r>
          </w:p>
        </w:tc>
        <w:tc>
          <w:tcPr>
            <w:tcW w:w="890" w:type="pct"/>
            <w:tcBorders>
              <w:tl2br w:val="nil"/>
              <w:tr2bl w:val="nil"/>
            </w:tcBorders>
            <w:noWrap w:val="0"/>
            <w:vAlign w:val="center"/>
          </w:tcPr>
          <w:p w14:paraId="7EE06206">
            <w:pPr>
              <w:pageBreakBefore w:val="0"/>
              <w:kinsoku/>
              <w:overflowPunct/>
              <w:bidi w:val="0"/>
              <w:spacing w:line="240" w:lineRule="auto"/>
              <w:jc w:val="center"/>
              <w:textAlignment w:val="baseline"/>
              <w:rPr>
                <w:rFonts w:hint="eastAsia"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韩徐村</w:t>
            </w:r>
          </w:p>
        </w:tc>
        <w:tc>
          <w:tcPr>
            <w:tcW w:w="526" w:type="pct"/>
            <w:tcBorders>
              <w:tl2br w:val="nil"/>
              <w:tr2bl w:val="nil"/>
            </w:tcBorders>
            <w:noWrap w:val="0"/>
            <w:vAlign w:val="center"/>
          </w:tcPr>
          <w:p w14:paraId="2C149F66">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N</w:t>
            </w:r>
          </w:p>
        </w:tc>
        <w:tc>
          <w:tcPr>
            <w:tcW w:w="506" w:type="pct"/>
            <w:tcBorders>
              <w:tl2br w:val="nil"/>
              <w:tr2bl w:val="nil"/>
            </w:tcBorders>
            <w:noWrap w:val="0"/>
            <w:vAlign w:val="center"/>
          </w:tcPr>
          <w:p w14:paraId="5E45DA15">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236</w:t>
            </w:r>
          </w:p>
        </w:tc>
        <w:tc>
          <w:tcPr>
            <w:tcW w:w="618" w:type="pct"/>
            <w:tcBorders>
              <w:tl2br w:val="nil"/>
              <w:tr2bl w:val="nil"/>
            </w:tcBorders>
            <w:noWrap w:val="0"/>
            <w:vAlign w:val="center"/>
          </w:tcPr>
          <w:p w14:paraId="50563F28">
            <w:pPr>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300</w:t>
            </w:r>
          </w:p>
        </w:tc>
        <w:tc>
          <w:tcPr>
            <w:tcW w:w="839" w:type="pct"/>
            <w:tcBorders>
              <w:tl2br w:val="nil"/>
              <w:tr2bl w:val="nil"/>
            </w:tcBorders>
            <w:noWrap w:val="0"/>
            <w:vAlign w:val="center"/>
          </w:tcPr>
          <w:p w14:paraId="2168164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0513-88360289</w:t>
            </w:r>
          </w:p>
        </w:tc>
        <w:tc>
          <w:tcPr>
            <w:tcW w:w="980" w:type="pct"/>
            <w:vMerge w:val="continue"/>
            <w:tcBorders>
              <w:tl2br w:val="nil"/>
              <w:tr2bl w:val="nil"/>
            </w:tcBorders>
            <w:noWrap w:val="0"/>
            <w:vAlign w:val="center"/>
          </w:tcPr>
          <w:p w14:paraId="6F0AED2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30AD9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031BBCE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211" w:type="pct"/>
            <w:gridSpan w:val="4"/>
            <w:tcBorders>
              <w:tl2br w:val="nil"/>
              <w:tr2bl w:val="nil"/>
            </w:tcBorders>
            <w:noWrap w:val="0"/>
            <w:vAlign w:val="center"/>
          </w:tcPr>
          <w:p w14:paraId="38E6A41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总计人数</w:t>
            </w:r>
          </w:p>
        </w:tc>
        <w:tc>
          <w:tcPr>
            <w:tcW w:w="618" w:type="pct"/>
            <w:tcBorders>
              <w:tl2br w:val="nil"/>
              <w:tr2bl w:val="nil"/>
            </w:tcBorders>
            <w:noWrap w:val="0"/>
            <w:vAlign w:val="center"/>
          </w:tcPr>
          <w:p w14:paraId="132CF2F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810</w:t>
            </w:r>
          </w:p>
        </w:tc>
        <w:tc>
          <w:tcPr>
            <w:tcW w:w="839" w:type="pct"/>
            <w:tcBorders>
              <w:tl2br w:val="nil"/>
              <w:tr2bl w:val="nil"/>
            </w:tcBorders>
            <w:noWrap w:val="0"/>
            <w:vAlign w:val="center"/>
          </w:tcPr>
          <w:p w14:paraId="5AB0847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noWrap w:val="0"/>
            <w:vAlign w:val="center"/>
          </w:tcPr>
          <w:p w14:paraId="641EB0E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bl>
    <w:p w14:paraId="672DC8AD">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5</w: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begin"/>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separate"/>
      </w:r>
      <w:r>
        <w:rPr>
          <w:rStyle w:val="39"/>
          <w:rFonts w:hint="eastAsia" w:eastAsia="宋体" w:cs="Times New Roman"/>
          <w:b/>
          <w:bCs/>
          <w:i w:val="0"/>
          <w:iCs w:val="0"/>
          <w:caps w:val="0"/>
          <w:color w:val="000000" w:themeColor="text1"/>
          <w:spacing w:val="0"/>
          <w:sz w:val="24"/>
          <w:szCs w:val="24"/>
          <w:highlight w:val="none"/>
          <w:u w:val="none"/>
          <w:lang w:eastAsia="zh-CN"/>
          <w14:textFill>
            <w14:solidFill>
              <w14:schemeClr w14:val="tx1"/>
            </w14:solidFill>
          </w14:textFill>
        </w:rPr>
        <w:t>帝洁雅</w:t>
      </w:r>
      <w:r>
        <w:rPr>
          <w:rFonts w:hint="default"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end"/>
      </w:r>
      <w:r>
        <w:rPr>
          <w:rFonts w:hint="default" w:ascii="Times New Roman" w:hAnsi="Times New Roman" w:eastAsia="宋体" w:cs="Times New Roman"/>
          <w:b/>
          <w:bCs/>
          <w:color w:val="000000" w:themeColor="text1"/>
          <w:highlight w:val="none"/>
          <w14:textFill>
            <w14:solidFill>
              <w14:schemeClr w14:val="tx1"/>
            </w14:solidFill>
          </w14:textFill>
        </w:rPr>
        <w:t>周边5公里范围内大气环境风险受体</w:t>
      </w:r>
    </w:p>
    <w:tbl>
      <w:tblPr>
        <w:tblStyle w:val="38"/>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689"/>
        <w:gridCol w:w="2058"/>
        <w:gridCol w:w="1231"/>
        <w:gridCol w:w="1182"/>
        <w:gridCol w:w="1441"/>
        <w:gridCol w:w="1942"/>
      </w:tblGrid>
      <w:tr w14:paraId="3B20C2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restart"/>
            <w:tcBorders>
              <w:tl2br w:val="nil"/>
              <w:tr2bl w:val="nil"/>
            </w:tcBorders>
            <w:noWrap w:val="0"/>
            <w:vAlign w:val="center"/>
          </w:tcPr>
          <w:p w14:paraId="1899496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w:t>
            </w:r>
          </w:p>
          <w:p w14:paraId="005293C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要素</w:t>
            </w:r>
          </w:p>
        </w:tc>
        <w:tc>
          <w:tcPr>
            <w:tcW w:w="1464" w:type="pct"/>
            <w:gridSpan w:val="2"/>
            <w:tcBorders>
              <w:tl2br w:val="nil"/>
              <w:tr2bl w:val="nil"/>
            </w:tcBorders>
            <w:noWrap w:val="0"/>
            <w:vAlign w:val="center"/>
          </w:tcPr>
          <w:p w14:paraId="200204E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环境保护对象名称</w:t>
            </w:r>
          </w:p>
        </w:tc>
        <w:tc>
          <w:tcPr>
            <w:tcW w:w="656" w:type="pct"/>
            <w:vMerge w:val="restart"/>
            <w:tcBorders>
              <w:tl2br w:val="nil"/>
              <w:tr2bl w:val="nil"/>
            </w:tcBorders>
            <w:noWrap w:val="0"/>
            <w:vAlign w:val="center"/>
          </w:tcPr>
          <w:p w14:paraId="1E19A02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方位</w:t>
            </w:r>
          </w:p>
        </w:tc>
        <w:tc>
          <w:tcPr>
            <w:tcW w:w="629" w:type="pct"/>
            <w:vMerge w:val="restart"/>
            <w:tcBorders>
              <w:tl2br w:val="nil"/>
              <w:tr2bl w:val="nil"/>
            </w:tcBorders>
            <w:noWrap w:val="0"/>
            <w:vAlign w:val="center"/>
          </w:tcPr>
          <w:p w14:paraId="7133201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距项目厂界最近距离（m）</w:t>
            </w:r>
          </w:p>
        </w:tc>
        <w:tc>
          <w:tcPr>
            <w:tcW w:w="768" w:type="pct"/>
            <w:vMerge w:val="restart"/>
            <w:tcBorders>
              <w:tl2br w:val="nil"/>
              <w:tr2bl w:val="nil"/>
            </w:tcBorders>
            <w:noWrap w:val="0"/>
            <w:vAlign w:val="center"/>
          </w:tcPr>
          <w:p w14:paraId="4D74670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规模（人）</w:t>
            </w:r>
          </w:p>
        </w:tc>
        <w:tc>
          <w:tcPr>
            <w:tcW w:w="1035" w:type="pct"/>
            <w:vMerge w:val="restart"/>
            <w:tcBorders>
              <w:tl2br w:val="nil"/>
              <w:tr2bl w:val="nil"/>
            </w:tcBorders>
            <w:noWrap w:val="0"/>
            <w:vAlign w:val="center"/>
          </w:tcPr>
          <w:p w14:paraId="2FC161B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环境功能</w:t>
            </w:r>
          </w:p>
        </w:tc>
      </w:tr>
      <w:tr w14:paraId="17BD2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7340438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82B16A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序号</w:t>
            </w:r>
          </w:p>
        </w:tc>
        <w:tc>
          <w:tcPr>
            <w:tcW w:w="1097" w:type="pct"/>
            <w:tcBorders>
              <w:tl2br w:val="nil"/>
              <w:tr2bl w:val="nil"/>
            </w:tcBorders>
            <w:noWrap w:val="0"/>
            <w:vAlign w:val="center"/>
          </w:tcPr>
          <w:p w14:paraId="3845662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敏感点</w:t>
            </w:r>
          </w:p>
        </w:tc>
        <w:tc>
          <w:tcPr>
            <w:tcW w:w="656" w:type="pct"/>
            <w:vMerge w:val="continue"/>
            <w:tcBorders>
              <w:tl2br w:val="nil"/>
              <w:tr2bl w:val="nil"/>
            </w:tcBorders>
            <w:noWrap w:val="0"/>
            <w:vAlign w:val="center"/>
          </w:tcPr>
          <w:p w14:paraId="0047DA0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629" w:type="pct"/>
            <w:vMerge w:val="continue"/>
            <w:tcBorders>
              <w:tl2br w:val="nil"/>
              <w:tr2bl w:val="nil"/>
            </w:tcBorders>
            <w:noWrap w:val="0"/>
            <w:vAlign w:val="center"/>
          </w:tcPr>
          <w:p w14:paraId="33FB78F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768" w:type="pct"/>
            <w:vMerge w:val="continue"/>
            <w:tcBorders>
              <w:tl2br w:val="nil"/>
              <w:tr2bl w:val="nil"/>
            </w:tcBorders>
            <w:noWrap w:val="0"/>
            <w:vAlign w:val="center"/>
          </w:tcPr>
          <w:p w14:paraId="60808DA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1035" w:type="pct"/>
            <w:vMerge w:val="continue"/>
            <w:tcBorders>
              <w:tl2br w:val="nil"/>
              <w:tr2bl w:val="nil"/>
            </w:tcBorders>
            <w:noWrap w:val="0"/>
            <w:vAlign w:val="center"/>
          </w:tcPr>
          <w:p w14:paraId="3B91D69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C3CF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10CE3FD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899C46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w:t>
            </w:r>
          </w:p>
        </w:tc>
        <w:tc>
          <w:tcPr>
            <w:tcW w:w="1097" w:type="pct"/>
            <w:tcBorders>
              <w:tl2br w:val="nil"/>
              <w:tr2bl w:val="nil"/>
            </w:tcBorders>
            <w:noWrap w:val="0"/>
            <w:vAlign w:val="center"/>
          </w:tcPr>
          <w:p w14:paraId="09491FD2">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olor w:val="auto"/>
                <w:kern w:val="0"/>
                <w:sz w:val="21"/>
                <w:szCs w:val="21"/>
                <w:highlight w:val="none"/>
                <w:lang w:val="en-US" w:eastAsia="zh-CN"/>
              </w:rPr>
              <w:t>海安橙方</w:t>
            </w:r>
            <w:r>
              <w:rPr>
                <w:rFonts w:hint="default" w:eastAsia="宋体"/>
                <w:color w:val="auto"/>
                <w:kern w:val="0"/>
                <w:sz w:val="21"/>
                <w:szCs w:val="21"/>
                <w:highlight w:val="none"/>
                <w:lang w:val="en-US" w:eastAsia="zh-CN"/>
              </w:rPr>
              <w:t>海安有限公司</w:t>
            </w:r>
          </w:p>
        </w:tc>
        <w:tc>
          <w:tcPr>
            <w:tcW w:w="656" w:type="pct"/>
            <w:tcBorders>
              <w:tl2br w:val="nil"/>
              <w:tr2bl w:val="nil"/>
            </w:tcBorders>
            <w:noWrap w:val="0"/>
            <w:vAlign w:val="center"/>
          </w:tcPr>
          <w:p w14:paraId="6FA12916">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N</w:t>
            </w:r>
          </w:p>
        </w:tc>
        <w:tc>
          <w:tcPr>
            <w:tcW w:w="629" w:type="pct"/>
            <w:tcBorders>
              <w:tl2br w:val="nil"/>
              <w:tr2bl w:val="nil"/>
            </w:tcBorders>
            <w:noWrap w:val="0"/>
            <w:vAlign w:val="center"/>
          </w:tcPr>
          <w:p w14:paraId="1012422D">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10</w:t>
            </w:r>
          </w:p>
        </w:tc>
        <w:tc>
          <w:tcPr>
            <w:tcW w:w="768" w:type="pct"/>
            <w:tcBorders>
              <w:tl2br w:val="nil"/>
              <w:tr2bl w:val="nil"/>
            </w:tcBorders>
            <w:noWrap w:val="0"/>
            <w:vAlign w:val="center"/>
          </w:tcPr>
          <w:p w14:paraId="4448DA3F">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60</w:t>
            </w:r>
          </w:p>
        </w:tc>
        <w:tc>
          <w:tcPr>
            <w:tcW w:w="1035" w:type="pct"/>
            <w:vMerge w:val="restart"/>
            <w:tcBorders>
              <w:tl2br w:val="nil"/>
              <w:tr2bl w:val="nil"/>
            </w:tcBorders>
            <w:noWrap w:val="0"/>
            <w:vAlign w:val="center"/>
          </w:tcPr>
          <w:p w14:paraId="639D38C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《环境空气质量标准》（GB3095-2012）中的二级标准</w:t>
            </w:r>
          </w:p>
        </w:tc>
      </w:tr>
      <w:tr w14:paraId="24D39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0DFCD5F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0847A1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2</w:t>
            </w:r>
          </w:p>
        </w:tc>
        <w:tc>
          <w:tcPr>
            <w:tcW w:w="1097" w:type="pct"/>
            <w:tcBorders>
              <w:tl2br w:val="nil"/>
              <w:tr2bl w:val="nil"/>
            </w:tcBorders>
            <w:noWrap w:val="0"/>
            <w:vAlign w:val="center"/>
          </w:tcPr>
          <w:p w14:paraId="4105F567">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海安帝洁雅家具有限公司</w:t>
            </w:r>
          </w:p>
        </w:tc>
        <w:tc>
          <w:tcPr>
            <w:tcW w:w="656" w:type="pct"/>
            <w:tcBorders>
              <w:tl2br w:val="nil"/>
              <w:tr2bl w:val="nil"/>
            </w:tcBorders>
            <w:noWrap w:val="0"/>
            <w:vAlign w:val="center"/>
          </w:tcPr>
          <w:p w14:paraId="158223D0">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w:t>
            </w:r>
          </w:p>
        </w:tc>
        <w:tc>
          <w:tcPr>
            <w:tcW w:w="629" w:type="pct"/>
            <w:tcBorders>
              <w:tl2br w:val="nil"/>
              <w:tr2bl w:val="nil"/>
            </w:tcBorders>
            <w:noWrap w:val="0"/>
            <w:vAlign w:val="center"/>
          </w:tcPr>
          <w:p w14:paraId="7F7677CB">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20</w:t>
            </w:r>
          </w:p>
        </w:tc>
        <w:tc>
          <w:tcPr>
            <w:tcW w:w="768" w:type="pct"/>
            <w:tcBorders>
              <w:tl2br w:val="nil"/>
              <w:tr2bl w:val="nil"/>
            </w:tcBorders>
            <w:noWrap w:val="0"/>
            <w:vAlign w:val="center"/>
          </w:tcPr>
          <w:p w14:paraId="5D1E838E">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50</w:t>
            </w:r>
          </w:p>
        </w:tc>
        <w:tc>
          <w:tcPr>
            <w:tcW w:w="1035" w:type="pct"/>
            <w:vMerge w:val="continue"/>
            <w:tcBorders>
              <w:tl2br w:val="nil"/>
              <w:tr2bl w:val="nil"/>
            </w:tcBorders>
            <w:noWrap w:val="0"/>
            <w:vAlign w:val="center"/>
          </w:tcPr>
          <w:p w14:paraId="2E711D2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717B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17ACDA6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4A3BC30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3</w:t>
            </w:r>
          </w:p>
        </w:tc>
        <w:tc>
          <w:tcPr>
            <w:tcW w:w="1097" w:type="pct"/>
            <w:tcBorders>
              <w:tl2br w:val="nil"/>
              <w:tr2bl w:val="nil"/>
            </w:tcBorders>
            <w:noWrap w:val="0"/>
            <w:vAlign w:val="center"/>
          </w:tcPr>
          <w:p w14:paraId="51470D5A">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海安翊林家具有限公司</w:t>
            </w:r>
          </w:p>
        </w:tc>
        <w:tc>
          <w:tcPr>
            <w:tcW w:w="656" w:type="pct"/>
            <w:tcBorders>
              <w:tl2br w:val="nil"/>
              <w:tr2bl w:val="nil"/>
            </w:tcBorders>
            <w:noWrap w:val="0"/>
            <w:vAlign w:val="center"/>
          </w:tcPr>
          <w:p w14:paraId="1504AF4A">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E</w:t>
            </w:r>
          </w:p>
        </w:tc>
        <w:tc>
          <w:tcPr>
            <w:tcW w:w="629" w:type="pct"/>
            <w:tcBorders>
              <w:tl2br w:val="nil"/>
              <w:tr2bl w:val="nil"/>
            </w:tcBorders>
            <w:noWrap w:val="0"/>
            <w:vAlign w:val="center"/>
          </w:tcPr>
          <w:p w14:paraId="73FDDF7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468</w:t>
            </w:r>
          </w:p>
        </w:tc>
        <w:tc>
          <w:tcPr>
            <w:tcW w:w="768" w:type="pct"/>
            <w:tcBorders>
              <w:tl2br w:val="nil"/>
              <w:tr2bl w:val="nil"/>
            </w:tcBorders>
            <w:noWrap w:val="0"/>
            <w:vAlign w:val="center"/>
          </w:tcPr>
          <w:p w14:paraId="60FCDAD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30</w:t>
            </w:r>
          </w:p>
        </w:tc>
        <w:tc>
          <w:tcPr>
            <w:tcW w:w="1035" w:type="pct"/>
            <w:vMerge w:val="continue"/>
            <w:tcBorders>
              <w:tl2br w:val="nil"/>
              <w:tr2bl w:val="nil"/>
            </w:tcBorders>
            <w:noWrap w:val="0"/>
            <w:vAlign w:val="center"/>
          </w:tcPr>
          <w:p w14:paraId="20E36F0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F110F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7AD0CD2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FDE193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4</w:t>
            </w:r>
          </w:p>
        </w:tc>
        <w:tc>
          <w:tcPr>
            <w:tcW w:w="1097" w:type="pct"/>
            <w:tcBorders>
              <w:tl2br w:val="nil"/>
              <w:tr2bl w:val="nil"/>
            </w:tcBorders>
            <w:noWrap w:val="0"/>
            <w:vAlign w:val="center"/>
          </w:tcPr>
          <w:p w14:paraId="79092F3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江苏熙也家具有限公司</w:t>
            </w:r>
          </w:p>
        </w:tc>
        <w:tc>
          <w:tcPr>
            <w:tcW w:w="656" w:type="pct"/>
            <w:tcBorders>
              <w:tl2br w:val="nil"/>
              <w:tr2bl w:val="nil"/>
            </w:tcBorders>
            <w:noWrap w:val="0"/>
            <w:vAlign w:val="center"/>
          </w:tcPr>
          <w:p w14:paraId="483323BB">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SE</w:t>
            </w:r>
          </w:p>
        </w:tc>
        <w:tc>
          <w:tcPr>
            <w:tcW w:w="629" w:type="pct"/>
            <w:tcBorders>
              <w:tl2br w:val="nil"/>
              <w:tr2bl w:val="nil"/>
            </w:tcBorders>
            <w:noWrap w:val="0"/>
            <w:vAlign w:val="center"/>
          </w:tcPr>
          <w:p w14:paraId="07114BDF">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472</w:t>
            </w:r>
          </w:p>
        </w:tc>
        <w:tc>
          <w:tcPr>
            <w:tcW w:w="768" w:type="pct"/>
            <w:tcBorders>
              <w:tl2br w:val="nil"/>
              <w:tr2bl w:val="nil"/>
            </w:tcBorders>
            <w:noWrap w:val="0"/>
            <w:vAlign w:val="center"/>
          </w:tcPr>
          <w:p w14:paraId="2E252A1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50</w:t>
            </w:r>
          </w:p>
        </w:tc>
        <w:tc>
          <w:tcPr>
            <w:tcW w:w="1035" w:type="pct"/>
            <w:vMerge w:val="continue"/>
            <w:tcBorders>
              <w:tl2br w:val="nil"/>
              <w:tr2bl w:val="nil"/>
            </w:tcBorders>
            <w:noWrap w:val="0"/>
            <w:vAlign w:val="center"/>
          </w:tcPr>
          <w:p w14:paraId="485BF98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B60EA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302338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75D75BB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5</w:t>
            </w:r>
          </w:p>
        </w:tc>
        <w:tc>
          <w:tcPr>
            <w:tcW w:w="1097" w:type="pct"/>
            <w:tcBorders>
              <w:tl2br w:val="nil"/>
              <w:tr2bl w:val="nil"/>
            </w:tcBorders>
            <w:noWrap w:val="0"/>
            <w:vAlign w:val="center"/>
          </w:tcPr>
          <w:p w14:paraId="15E3E3D2">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海安尚位家具有限公司</w:t>
            </w:r>
          </w:p>
        </w:tc>
        <w:tc>
          <w:tcPr>
            <w:tcW w:w="656" w:type="pct"/>
            <w:tcBorders>
              <w:tl2br w:val="nil"/>
              <w:tr2bl w:val="nil"/>
            </w:tcBorders>
            <w:noWrap w:val="0"/>
            <w:vAlign w:val="center"/>
          </w:tcPr>
          <w:p w14:paraId="5806B6BB">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w:t>
            </w:r>
          </w:p>
        </w:tc>
        <w:tc>
          <w:tcPr>
            <w:tcW w:w="629" w:type="pct"/>
            <w:tcBorders>
              <w:tl2br w:val="nil"/>
              <w:tr2bl w:val="nil"/>
            </w:tcBorders>
            <w:noWrap w:val="0"/>
            <w:vAlign w:val="center"/>
          </w:tcPr>
          <w:p w14:paraId="484DEFC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315</w:t>
            </w:r>
          </w:p>
        </w:tc>
        <w:tc>
          <w:tcPr>
            <w:tcW w:w="768" w:type="pct"/>
            <w:tcBorders>
              <w:tl2br w:val="nil"/>
              <w:tr2bl w:val="nil"/>
            </w:tcBorders>
            <w:noWrap w:val="0"/>
            <w:vAlign w:val="center"/>
          </w:tcPr>
          <w:p w14:paraId="0E41C1ED">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40</w:t>
            </w:r>
          </w:p>
        </w:tc>
        <w:tc>
          <w:tcPr>
            <w:tcW w:w="1035" w:type="pct"/>
            <w:vMerge w:val="continue"/>
            <w:tcBorders>
              <w:tl2br w:val="nil"/>
              <w:tr2bl w:val="nil"/>
            </w:tcBorders>
            <w:noWrap w:val="0"/>
            <w:vAlign w:val="center"/>
          </w:tcPr>
          <w:p w14:paraId="58981E5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9C40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1DA41C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022E4FA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6</w:t>
            </w:r>
          </w:p>
        </w:tc>
        <w:tc>
          <w:tcPr>
            <w:tcW w:w="1097" w:type="pct"/>
            <w:tcBorders>
              <w:tl2br w:val="nil"/>
              <w:tr2bl w:val="nil"/>
            </w:tcBorders>
            <w:noWrap w:val="0"/>
            <w:vAlign w:val="center"/>
          </w:tcPr>
          <w:p w14:paraId="0976997E">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花哚（海安）家具有限公司</w:t>
            </w:r>
          </w:p>
        </w:tc>
        <w:tc>
          <w:tcPr>
            <w:tcW w:w="656" w:type="pct"/>
            <w:tcBorders>
              <w:tl2br w:val="nil"/>
              <w:tr2bl w:val="nil"/>
            </w:tcBorders>
            <w:noWrap w:val="0"/>
            <w:vAlign w:val="center"/>
          </w:tcPr>
          <w:p w14:paraId="0064C3EF">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SW</w:t>
            </w:r>
          </w:p>
        </w:tc>
        <w:tc>
          <w:tcPr>
            <w:tcW w:w="629" w:type="pct"/>
            <w:tcBorders>
              <w:tl2br w:val="nil"/>
              <w:tr2bl w:val="nil"/>
            </w:tcBorders>
            <w:noWrap w:val="0"/>
            <w:vAlign w:val="center"/>
          </w:tcPr>
          <w:p w14:paraId="3CDF4917">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225</w:t>
            </w:r>
          </w:p>
        </w:tc>
        <w:tc>
          <w:tcPr>
            <w:tcW w:w="768" w:type="pct"/>
            <w:tcBorders>
              <w:tl2br w:val="nil"/>
              <w:tr2bl w:val="nil"/>
            </w:tcBorders>
            <w:noWrap w:val="0"/>
            <w:vAlign w:val="center"/>
          </w:tcPr>
          <w:p w14:paraId="41351FE0">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50</w:t>
            </w:r>
          </w:p>
        </w:tc>
        <w:tc>
          <w:tcPr>
            <w:tcW w:w="1035" w:type="pct"/>
            <w:vMerge w:val="continue"/>
            <w:tcBorders>
              <w:tl2br w:val="nil"/>
              <w:tr2bl w:val="nil"/>
            </w:tcBorders>
            <w:noWrap w:val="0"/>
            <w:vAlign w:val="center"/>
          </w:tcPr>
          <w:p w14:paraId="7E6F39E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884C4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56AACB1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534C92C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7</w:t>
            </w:r>
          </w:p>
        </w:tc>
        <w:tc>
          <w:tcPr>
            <w:tcW w:w="1097" w:type="pct"/>
            <w:tcBorders>
              <w:tl2br w:val="nil"/>
              <w:tr2bl w:val="nil"/>
            </w:tcBorders>
            <w:noWrap w:val="0"/>
            <w:vAlign w:val="center"/>
          </w:tcPr>
          <w:p w14:paraId="1503FD5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江苏卡尔森家具有限公司</w:t>
            </w:r>
          </w:p>
        </w:tc>
        <w:tc>
          <w:tcPr>
            <w:tcW w:w="656" w:type="pct"/>
            <w:tcBorders>
              <w:tl2br w:val="nil"/>
              <w:tr2bl w:val="nil"/>
            </w:tcBorders>
            <w:noWrap w:val="0"/>
            <w:vAlign w:val="center"/>
          </w:tcPr>
          <w:p w14:paraId="7C59ADF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SW</w:t>
            </w:r>
          </w:p>
        </w:tc>
        <w:tc>
          <w:tcPr>
            <w:tcW w:w="629" w:type="pct"/>
            <w:tcBorders>
              <w:tl2br w:val="nil"/>
              <w:tr2bl w:val="nil"/>
            </w:tcBorders>
            <w:noWrap w:val="0"/>
            <w:vAlign w:val="center"/>
          </w:tcPr>
          <w:p w14:paraId="2B177340">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151</w:t>
            </w:r>
          </w:p>
        </w:tc>
        <w:tc>
          <w:tcPr>
            <w:tcW w:w="768" w:type="pct"/>
            <w:tcBorders>
              <w:tl2br w:val="nil"/>
              <w:tr2bl w:val="nil"/>
            </w:tcBorders>
            <w:noWrap w:val="0"/>
            <w:vAlign w:val="center"/>
          </w:tcPr>
          <w:p w14:paraId="5A23063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60</w:t>
            </w:r>
          </w:p>
        </w:tc>
        <w:tc>
          <w:tcPr>
            <w:tcW w:w="1035" w:type="pct"/>
            <w:vMerge w:val="continue"/>
            <w:tcBorders>
              <w:tl2br w:val="nil"/>
              <w:tr2bl w:val="nil"/>
            </w:tcBorders>
            <w:noWrap w:val="0"/>
            <w:vAlign w:val="center"/>
          </w:tcPr>
          <w:p w14:paraId="11A910C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7B57C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7524128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5443208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8</w:t>
            </w:r>
          </w:p>
        </w:tc>
        <w:tc>
          <w:tcPr>
            <w:tcW w:w="1097" w:type="pct"/>
            <w:tcBorders>
              <w:tl2br w:val="nil"/>
              <w:tr2bl w:val="nil"/>
            </w:tcBorders>
            <w:noWrap w:val="0"/>
            <w:vAlign w:val="center"/>
          </w:tcPr>
          <w:p w14:paraId="3F8A1414">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原野居家具海安有限公司</w:t>
            </w:r>
          </w:p>
        </w:tc>
        <w:tc>
          <w:tcPr>
            <w:tcW w:w="656" w:type="pct"/>
            <w:tcBorders>
              <w:tl2br w:val="nil"/>
              <w:tr2bl w:val="nil"/>
            </w:tcBorders>
            <w:noWrap w:val="0"/>
            <w:vAlign w:val="center"/>
          </w:tcPr>
          <w:p w14:paraId="6C6A461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SW</w:t>
            </w:r>
          </w:p>
        </w:tc>
        <w:tc>
          <w:tcPr>
            <w:tcW w:w="629" w:type="pct"/>
            <w:tcBorders>
              <w:tl2br w:val="nil"/>
              <w:tr2bl w:val="nil"/>
            </w:tcBorders>
            <w:noWrap w:val="0"/>
            <w:vAlign w:val="center"/>
          </w:tcPr>
          <w:p w14:paraId="1373E922">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224</w:t>
            </w:r>
          </w:p>
        </w:tc>
        <w:tc>
          <w:tcPr>
            <w:tcW w:w="768" w:type="pct"/>
            <w:tcBorders>
              <w:tl2br w:val="nil"/>
              <w:tr2bl w:val="nil"/>
            </w:tcBorders>
            <w:noWrap w:val="0"/>
            <w:vAlign w:val="center"/>
          </w:tcPr>
          <w:p w14:paraId="1B09F186">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50</w:t>
            </w:r>
          </w:p>
        </w:tc>
        <w:tc>
          <w:tcPr>
            <w:tcW w:w="1035" w:type="pct"/>
            <w:vMerge w:val="continue"/>
            <w:tcBorders>
              <w:tl2br w:val="nil"/>
              <w:tr2bl w:val="nil"/>
            </w:tcBorders>
            <w:noWrap w:val="0"/>
            <w:vAlign w:val="center"/>
          </w:tcPr>
          <w:p w14:paraId="2A754FC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78197E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736BFF3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84C819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9</w:t>
            </w:r>
          </w:p>
        </w:tc>
        <w:tc>
          <w:tcPr>
            <w:tcW w:w="1097" w:type="pct"/>
            <w:tcBorders>
              <w:tl2br w:val="nil"/>
              <w:tr2bl w:val="nil"/>
            </w:tcBorders>
            <w:noWrap w:val="0"/>
            <w:vAlign w:val="center"/>
          </w:tcPr>
          <w:p w14:paraId="2052C85C">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上海咏琦家具制造有限公司</w:t>
            </w:r>
          </w:p>
        </w:tc>
        <w:tc>
          <w:tcPr>
            <w:tcW w:w="656" w:type="pct"/>
            <w:tcBorders>
              <w:tl2br w:val="nil"/>
              <w:tr2bl w:val="nil"/>
            </w:tcBorders>
            <w:noWrap w:val="0"/>
            <w:vAlign w:val="center"/>
          </w:tcPr>
          <w:p w14:paraId="6D9D5E1D">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W</w:t>
            </w:r>
          </w:p>
        </w:tc>
        <w:tc>
          <w:tcPr>
            <w:tcW w:w="629" w:type="pct"/>
            <w:tcBorders>
              <w:tl2br w:val="nil"/>
              <w:tr2bl w:val="nil"/>
            </w:tcBorders>
            <w:noWrap w:val="0"/>
            <w:vAlign w:val="center"/>
          </w:tcPr>
          <w:p w14:paraId="0673A872">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115</w:t>
            </w:r>
          </w:p>
        </w:tc>
        <w:tc>
          <w:tcPr>
            <w:tcW w:w="768" w:type="pct"/>
            <w:tcBorders>
              <w:tl2br w:val="nil"/>
              <w:tr2bl w:val="nil"/>
            </w:tcBorders>
            <w:noWrap w:val="0"/>
            <w:vAlign w:val="center"/>
          </w:tcPr>
          <w:p w14:paraId="64A5A337">
            <w:pPr>
              <w:spacing w:before="0" w:line="240" w:lineRule="auto"/>
              <w:ind w:left="0" w:leftChars="0" w:right="0" w:rightChars="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60</w:t>
            </w:r>
          </w:p>
        </w:tc>
        <w:tc>
          <w:tcPr>
            <w:tcW w:w="1035" w:type="pct"/>
            <w:vMerge w:val="continue"/>
            <w:tcBorders>
              <w:tl2br w:val="nil"/>
              <w:tr2bl w:val="nil"/>
            </w:tcBorders>
            <w:noWrap w:val="0"/>
            <w:vAlign w:val="center"/>
          </w:tcPr>
          <w:p w14:paraId="6B23EB6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9636D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31EDDC3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977043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10</w:t>
            </w:r>
          </w:p>
        </w:tc>
        <w:tc>
          <w:tcPr>
            <w:tcW w:w="1097" w:type="pct"/>
            <w:tcBorders>
              <w:tl2br w:val="nil"/>
              <w:tr2bl w:val="nil"/>
            </w:tcBorders>
            <w:noWrap w:val="0"/>
            <w:vAlign w:val="center"/>
          </w:tcPr>
          <w:p w14:paraId="4DEC131C">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皇庭雅居家具海安有限公司</w:t>
            </w:r>
          </w:p>
        </w:tc>
        <w:tc>
          <w:tcPr>
            <w:tcW w:w="656" w:type="pct"/>
            <w:tcBorders>
              <w:tl2br w:val="nil"/>
              <w:tr2bl w:val="nil"/>
            </w:tcBorders>
            <w:noWrap w:val="0"/>
            <w:vAlign w:val="center"/>
          </w:tcPr>
          <w:p w14:paraId="6C7B5F37">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W</w:t>
            </w:r>
          </w:p>
        </w:tc>
        <w:tc>
          <w:tcPr>
            <w:tcW w:w="629" w:type="pct"/>
            <w:tcBorders>
              <w:tl2br w:val="nil"/>
              <w:tr2bl w:val="nil"/>
            </w:tcBorders>
            <w:noWrap w:val="0"/>
            <w:vAlign w:val="center"/>
          </w:tcPr>
          <w:p w14:paraId="52A2EF21">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146</w:t>
            </w:r>
          </w:p>
        </w:tc>
        <w:tc>
          <w:tcPr>
            <w:tcW w:w="768" w:type="pct"/>
            <w:tcBorders>
              <w:tl2br w:val="nil"/>
              <w:tr2bl w:val="nil"/>
            </w:tcBorders>
            <w:noWrap w:val="0"/>
            <w:vAlign w:val="center"/>
          </w:tcPr>
          <w:p w14:paraId="37F6D0B6">
            <w:pPr>
              <w:spacing w:before="0" w:line="240" w:lineRule="auto"/>
              <w:ind w:left="0" w:leftChars="0" w:right="0" w:rightChars="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60</w:t>
            </w:r>
          </w:p>
        </w:tc>
        <w:tc>
          <w:tcPr>
            <w:tcW w:w="1035" w:type="pct"/>
            <w:vMerge w:val="continue"/>
            <w:tcBorders>
              <w:tl2br w:val="nil"/>
              <w:tr2bl w:val="nil"/>
            </w:tcBorders>
            <w:noWrap w:val="0"/>
            <w:vAlign w:val="center"/>
          </w:tcPr>
          <w:p w14:paraId="689E8B5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1637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23A67B7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07E98F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11</w:t>
            </w:r>
          </w:p>
        </w:tc>
        <w:tc>
          <w:tcPr>
            <w:tcW w:w="1097" w:type="pct"/>
            <w:tcBorders>
              <w:tl2br w:val="nil"/>
              <w:tr2bl w:val="nil"/>
            </w:tcBorders>
            <w:noWrap w:val="0"/>
            <w:vAlign w:val="center"/>
          </w:tcPr>
          <w:p w14:paraId="1AC90240">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韩徐村</w:t>
            </w:r>
          </w:p>
        </w:tc>
        <w:tc>
          <w:tcPr>
            <w:tcW w:w="656" w:type="pct"/>
            <w:tcBorders>
              <w:tl2br w:val="nil"/>
              <w:tr2bl w:val="nil"/>
            </w:tcBorders>
            <w:noWrap w:val="0"/>
            <w:vAlign w:val="center"/>
          </w:tcPr>
          <w:p w14:paraId="1F9CAD88">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N</w:t>
            </w:r>
          </w:p>
        </w:tc>
        <w:tc>
          <w:tcPr>
            <w:tcW w:w="629" w:type="pct"/>
            <w:tcBorders>
              <w:tl2br w:val="nil"/>
              <w:tr2bl w:val="nil"/>
            </w:tcBorders>
            <w:noWrap w:val="0"/>
            <w:vAlign w:val="center"/>
          </w:tcPr>
          <w:p w14:paraId="4D3F4098">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236</w:t>
            </w:r>
          </w:p>
        </w:tc>
        <w:tc>
          <w:tcPr>
            <w:tcW w:w="768" w:type="pct"/>
            <w:tcBorders>
              <w:tl2br w:val="nil"/>
              <w:tr2bl w:val="nil"/>
            </w:tcBorders>
            <w:noWrap w:val="0"/>
            <w:vAlign w:val="center"/>
          </w:tcPr>
          <w:p w14:paraId="0E816B9F">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1500</w:t>
            </w:r>
          </w:p>
        </w:tc>
        <w:tc>
          <w:tcPr>
            <w:tcW w:w="1035" w:type="pct"/>
            <w:vMerge w:val="continue"/>
            <w:tcBorders>
              <w:tl2br w:val="nil"/>
              <w:tr2bl w:val="nil"/>
            </w:tcBorders>
            <w:noWrap w:val="0"/>
            <w:vAlign w:val="center"/>
          </w:tcPr>
          <w:p w14:paraId="516682E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75AA0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33B257F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C046B9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12</w:t>
            </w:r>
          </w:p>
        </w:tc>
        <w:tc>
          <w:tcPr>
            <w:tcW w:w="1097" w:type="pct"/>
            <w:tcBorders>
              <w:tl2br w:val="nil"/>
              <w:tr2bl w:val="nil"/>
            </w:tcBorders>
            <w:noWrap w:val="0"/>
            <w:vAlign w:val="center"/>
          </w:tcPr>
          <w:p w14:paraId="7EEF7E44">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民胜村</w:t>
            </w:r>
          </w:p>
        </w:tc>
        <w:tc>
          <w:tcPr>
            <w:tcW w:w="656" w:type="pct"/>
            <w:tcBorders>
              <w:tl2br w:val="nil"/>
              <w:tr2bl w:val="nil"/>
            </w:tcBorders>
            <w:noWrap w:val="0"/>
            <w:vAlign w:val="center"/>
          </w:tcPr>
          <w:p w14:paraId="59BBB6C8">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w w:val="100"/>
                <w:kern w:val="0"/>
                <w:sz w:val="21"/>
                <w:szCs w:val="21"/>
                <w:highlight w:val="none"/>
                <w:lang w:val="en-US" w:eastAsia="zh-CN"/>
              </w:rPr>
              <w:t>NE</w:t>
            </w:r>
          </w:p>
        </w:tc>
        <w:tc>
          <w:tcPr>
            <w:tcW w:w="629" w:type="pct"/>
            <w:tcBorders>
              <w:tl2br w:val="nil"/>
              <w:tr2bl w:val="nil"/>
            </w:tcBorders>
            <w:noWrap w:val="0"/>
            <w:vAlign w:val="center"/>
          </w:tcPr>
          <w:p w14:paraId="034EE445">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1600</w:t>
            </w:r>
          </w:p>
        </w:tc>
        <w:tc>
          <w:tcPr>
            <w:tcW w:w="768" w:type="pct"/>
            <w:tcBorders>
              <w:tl2br w:val="nil"/>
              <w:tr2bl w:val="nil"/>
            </w:tcBorders>
            <w:noWrap w:val="0"/>
            <w:vAlign w:val="center"/>
          </w:tcPr>
          <w:p w14:paraId="13A9A0DC">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0259E36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BF37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3F23380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E32A3E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13</w:t>
            </w:r>
          </w:p>
        </w:tc>
        <w:tc>
          <w:tcPr>
            <w:tcW w:w="1097" w:type="pct"/>
            <w:tcBorders>
              <w:tl2br w:val="nil"/>
              <w:tr2bl w:val="nil"/>
            </w:tcBorders>
            <w:noWrap w:val="0"/>
            <w:vAlign w:val="center"/>
          </w:tcPr>
          <w:p w14:paraId="461DA56E">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丰收村</w:t>
            </w:r>
          </w:p>
        </w:tc>
        <w:tc>
          <w:tcPr>
            <w:tcW w:w="656" w:type="pct"/>
            <w:tcBorders>
              <w:tl2br w:val="nil"/>
              <w:tr2bl w:val="nil"/>
            </w:tcBorders>
            <w:noWrap w:val="0"/>
            <w:vAlign w:val="center"/>
          </w:tcPr>
          <w:p w14:paraId="500F46E7">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w w:val="100"/>
                <w:kern w:val="0"/>
                <w:sz w:val="21"/>
                <w:szCs w:val="21"/>
                <w:highlight w:val="none"/>
                <w:lang w:val="en-US" w:eastAsia="zh-CN"/>
              </w:rPr>
              <w:t>NE</w:t>
            </w:r>
          </w:p>
        </w:tc>
        <w:tc>
          <w:tcPr>
            <w:tcW w:w="629" w:type="pct"/>
            <w:tcBorders>
              <w:tl2br w:val="nil"/>
              <w:tr2bl w:val="nil"/>
            </w:tcBorders>
            <w:noWrap w:val="0"/>
            <w:vAlign w:val="center"/>
          </w:tcPr>
          <w:p w14:paraId="58B19893">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3000</w:t>
            </w:r>
          </w:p>
        </w:tc>
        <w:tc>
          <w:tcPr>
            <w:tcW w:w="768" w:type="pct"/>
            <w:tcBorders>
              <w:tl2br w:val="nil"/>
              <w:tr2bl w:val="nil"/>
            </w:tcBorders>
            <w:noWrap w:val="0"/>
            <w:vAlign w:val="center"/>
          </w:tcPr>
          <w:p w14:paraId="6A5C6C88">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1500</w:t>
            </w:r>
          </w:p>
        </w:tc>
        <w:tc>
          <w:tcPr>
            <w:tcW w:w="1035" w:type="pct"/>
            <w:vMerge w:val="continue"/>
            <w:tcBorders>
              <w:tl2br w:val="nil"/>
              <w:tr2bl w:val="nil"/>
            </w:tcBorders>
            <w:noWrap w:val="0"/>
            <w:vAlign w:val="center"/>
          </w:tcPr>
          <w:p w14:paraId="6CC5673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A628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noWrap w:val="0"/>
            <w:vAlign w:val="center"/>
          </w:tcPr>
          <w:p w14:paraId="2CB4810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D1D026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14</w:t>
            </w:r>
          </w:p>
        </w:tc>
        <w:tc>
          <w:tcPr>
            <w:tcW w:w="1097" w:type="pct"/>
            <w:tcBorders>
              <w:tl2br w:val="nil"/>
              <w:tr2bl w:val="nil"/>
            </w:tcBorders>
            <w:noWrap w:val="0"/>
            <w:vAlign w:val="center"/>
          </w:tcPr>
          <w:p w14:paraId="253E0869">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韩西村</w:t>
            </w:r>
          </w:p>
        </w:tc>
        <w:tc>
          <w:tcPr>
            <w:tcW w:w="656" w:type="pct"/>
            <w:tcBorders>
              <w:tl2br w:val="nil"/>
              <w:tr2bl w:val="nil"/>
            </w:tcBorders>
            <w:noWrap w:val="0"/>
            <w:vAlign w:val="center"/>
          </w:tcPr>
          <w:p w14:paraId="5CC01E53">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w w:val="100"/>
                <w:kern w:val="0"/>
                <w:sz w:val="21"/>
                <w:szCs w:val="21"/>
                <w:highlight w:val="none"/>
                <w:lang w:val="en-US" w:eastAsia="zh-CN"/>
              </w:rPr>
              <w:t>NE</w:t>
            </w:r>
          </w:p>
        </w:tc>
        <w:tc>
          <w:tcPr>
            <w:tcW w:w="629" w:type="pct"/>
            <w:tcBorders>
              <w:tl2br w:val="nil"/>
              <w:tr2bl w:val="nil"/>
            </w:tcBorders>
            <w:noWrap w:val="0"/>
            <w:vAlign w:val="center"/>
          </w:tcPr>
          <w:p w14:paraId="7B491D60">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3100</w:t>
            </w:r>
          </w:p>
        </w:tc>
        <w:tc>
          <w:tcPr>
            <w:tcW w:w="768" w:type="pct"/>
            <w:tcBorders>
              <w:tl2br w:val="nil"/>
              <w:tr2bl w:val="nil"/>
            </w:tcBorders>
            <w:noWrap w:val="0"/>
            <w:vAlign w:val="center"/>
          </w:tcPr>
          <w:p w14:paraId="266E18B0">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noWrap w:val="0"/>
            <w:vAlign w:val="center"/>
          </w:tcPr>
          <w:p w14:paraId="6032951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0A8E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7F113CD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F5068C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15</w:t>
            </w:r>
          </w:p>
        </w:tc>
        <w:tc>
          <w:tcPr>
            <w:tcW w:w="1097" w:type="pct"/>
            <w:tcBorders>
              <w:tl2br w:val="nil"/>
              <w:tr2bl w:val="nil"/>
            </w:tcBorders>
            <w:noWrap w:val="0"/>
            <w:vAlign w:val="center"/>
          </w:tcPr>
          <w:p w14:paraId="3ABF6E43">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放牛村</w:t>
            </w:r>
          </w:p>
        </w:tc>
        <w:tc>
          <w:tcPr>
            <w:tcW w:w="656" w:type="pct"/>
            <w:tcBorders>
              <w:tl2br w:val="nil"/>
              <w:tr2bl w:val="nil"/>
            </w:tcBorders>
            <w:noWrap w:val="0"/>
            <w:vAlign w:val="center"/>
          </w:tcPr>
          <w:p w14:paraId="4EEE1219">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NE</w:t>
            </w:r>
          </w:p>
        </w:tc>
        <w:tc>
          <w:tcPr>
            <w:tcW w:w="629" w:type="pct"/>
            <w:tcBorders>
              <w:tl2br w:val="nil"/>
              <w:tr2bl w:val="nil"/>
            </w:tcBorders>
            <w:noWrap w:val="0"/>
            <w:vAlign w:val="center"/>
          </w:tcPr>
          <w:p w14:paraId="1E042A0E">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4500</w:t>
            </w:r>
          </w:p>
        </w:tc>
        <w:tc>
          <w:tcPr>
            <w:tcW w:w="768" w:type="pct"/>
            <w:tcBorders>
              <w:tl2br w:val="nil"/>
              <w:tr2bl w:val="nil"/>
            </w:tcBorders>
            <w:noWrap w:val="0"/>
            <w:vAlign w:val="center"/>
          </w:tcPr>
          <w:p w14:paraId="5420A317">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4935CC1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0F046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5788BB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9DCCDE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16</w:t>
            </w:r>
          </w:p>
        </w:tc>
        <w:tc>
          <w:tcPr>
            <w:tcW w:w="1097" w:type="pct"/>
            <w:tcBorders>
              <w:tl2br w:val="nil"/>
              <w:tr2bl w:val="nil"/>
            </w:tcBorders>
            <w:noWrap w:val="0"/>
            <w:vAlign w:val="center"/>
          </w:tcPr>
          <w:p w14:paraId="5C66896C">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韩洋村</w:t>
            </w:r>
          </w:p>
        </w:tc>
        <w:tc>
          <w:tcPr>
            <w:tcW w:w="656" w:type="pct"/>
            <w:tcBorders>
              <w:tl2br w:val="nil"/>
              <w:tr2bl w:val="nil"/>
            </w:tcBorders>
            <w:noWrap w:val="0"/>
            <w:vAlign w:val="center"/>
          </w:tcPr>
          <w:p w14:paraId="02DB9476">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NE</w:t>
            </w:r>
          </w:p>
        </w:tc>
        <w:tc>
          <w:tcPr>
            <w:tcW w:w="629" w:type="pct"/>
            <w:tcBorders>
              <w:tl2br w:val="nil"/>
              <w:tr2bl w:val="nil"/>
            </w:tcBorders>
            <w:noWrap w:val="0"/>
            <w:vAlign w:val="center"/>
          </w:tcPr>
          <w:p w14:paraId="27115C20">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2400</w:t>
            </w:r>
          </w:p>
        </w:tc>
        <w:tc>
          <w:tcPr>
            <w:tcW w:w="768" w:type="pct"/>
            <w:tcBorders>
              <w:tl2br w:val="nil"/>
              <w:tr2bl w:val="nil"/>
            </w:tcBorders>
            <w:noWrap w:val="0"/>
            <w:vAlign w:val="center"/>
          </w:tcPr>
          <w:p w14:paraId="0B21A0BF">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1500</w:t>
            </w:r>
          </w:p>
        </w:tc>
        <w:tc>
          <w:tcPr>
            <w:tcW w:w="1035" w:type="pct"/>
            <w:vMerge w:val="continue"/>
            <w:tcBorders>
              <w:tl2br w:val="nil"/>
              <w:tr2bl w:val="nil"/>
            </w:tcBorders>
            <w:noWrap w:val="0"/>
            <w:vAlign w:val="center"/>
          </w:tcPr>
          <w:p w14:paraId="4BA11F6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64D9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3BCC3DA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9314E4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17</w:t>
            </w:r>
          </w:p>
        </w:tc>
        <w:tc>
          <w:tcPr>
            <w:tcW w:w="1097" w:type="pct"/>
            <w:tcBorders>
              <w:tl2br w:val="nil"/>
              <w:tr2bl w:val="nil"/>
            </w:tcBorders>
            <w:noWrap w:val="0"/>
            <w:vAlign w:val="center"/>
          </w:tcPr>
          <w:p w14:paraId="0AF345E7">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四洋村</w:t>
            </w:r>
          </w:p>
        </w:tc>
        <w:tc>
          <w:tcPr>
            <w:tcW w:w="656" w:type="pct"/>
            <w:tcBorders>
              <w:tl2br w:val="nil"/>
              <w:tr2bl w:val="nil"/>
            </w:tcBorders>
            <w:noWrap w:val="0"/>
            <w:vAlign w:val="center"/>
          </w:tcPr>
          <w:p w14:paraId="68929850">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NE</w:t>
            </w:r>
          </w:p>
        </w:tc>
        <w:tc>
          <w:tcPr>
            <w:tcW w:w="629" w:type="pct"/>
            <w:tcBorders>
              <w:tl2br w:val="nil"/>
              <w:tr2bl w:val="nil"/>
            </w:tcBorders>
            <w:noWrap w:val="0"/>
            <w:vAlign w:val="center"/>
          </w:tcPr>
          <w:p w14:paraId="37653FBC">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4100</w:t>
            </w:r>
          </w:p>
        </w:tc>
        <w:tc>
          <w:tcPr>
            <w:tcW w:w="768" w:type="pct"/>
            <w:tcBorders>
              <w:tl2br w:val="nil"/>
              <w:tr2bl w:val="nil"/>
            </w:tcBorders>
            <w:noWrap w:val="0"/>
            <w:vAlign w:val="center"/>
          </w:tcPr>
          <w:p w14:paraId="096265AC">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560E509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AE0E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7C402D4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EA09F9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18</w:t>
            </w:r>
          </w:p>
        </w:tc>
        <w:tc>
          <w:tcPr>
            <w:tcW w:w="1097" w:type="pct"/>
            <w:tcBorders>
              <w:tl2br w:val="nil"/>
              <w:tr2bl w:val="nil"/>
            </w:tcBorders>
            <w:noWrap w:val="0"/>
            <w:vAlign w:val="center"/>
          </w:tcPr>
          <w:p w14:paraId="1A713A11">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韩南村</w:t>
            </w:r>
          </w:p>
        </w:tc>
        <w:tc>
          <w:tcPr>
            <w:tcW w:w="656" w:type="pct"/>
            <w:tcBorders>
              <w:tl2br w:val="nil"/>
              <w:tr2bl w:val="nil"/>
            </w:tcBorders>
            <w:noWrap w:val="0"/>
            <w:vAlign w:val="center"/>
          </w:tcPr>
          <w:p w14:paraId="542BB659">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NE</w:t>
            </w:r>
          </w:p>
        </w:tc>
        <w:tc>
          <w:tcPr>
            <w:tcW w:w="629" w:type="pct"/>
            <w:tcBorders>
              <w:tl2br w:val="nil"/>
              <w:tr2bl w:val="nil"/>
            </w:tcBorders>
            <w:noWrap w:val="0"/>
            <w:vAlign w:val="center"/>
          </w:tcPr>
          <w:p w14:paraId="24F5880A">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1800</w:t>
            </w:r>
          </w:p>
        </w:tc>
        <w:tc>
          <w:tcPr>
            <w:tcW w:w="768" w:type="pct"/>
            <w:tcBorders>
              <w:tl2br w:val="nil"/>
              <w:tr2bl w:val="nil"/>
            </w:tcBorders>
            <w:noWrap w:val="0"/>
            <w:vAlign w:val="center"/>
          </w:tcPr>
          <w:p w14:paraId="5D05704F">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noWrap w:val="0"/>
            <w:vAlign w:val="center"/>
          </w:tcPr>
          <w:p w14:paraId="62C7A78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04C3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3C47F5A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73E8CA5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19</w:t>
            </w:r>
          </w:p>
        </w:tc>
        <w:tc>
          <w:tcPr>
            <w:tcW w:w="1097" w:type="pct"/>
            <w:tcBorders>
              <w:tl2br w:val="nil"/>
              <w:tr2bl w:val="nil"/>
            </w:tcBorders>
            <w:noWrap w:val="0"/>
            <w:vAlign w:val="center"/>
          </w:tcPr>
          <w:p w14:paraId="7F62B852">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许冯村</w:t>
            </w:r>
          </w:p>
        </w:tc>
        <w:tc>
          <w:tcPr>
            <w:tcW w:w="656" w:type="pct"/>
            <w:tcBorders>
              <w:tl2br w:val="nil"/>
              <w:tr2bl w:val="nil"/>
            </w:tcBorders>
            <w:noWrap w:val="0"/>
            <w:vAlign w:val="center"/>
          </w:tcPr>
          <w:p w14:paraId="7C955BE9">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E</w:t>
            </w:r>
          </w:p>
        </w:tc>
        <w:tc>
          <w:tcPr>
            <w:tcW w:w="629" w:type="pct"/>
            <w:tcBorders>
              <w:tl2br w:val="nil"/>
              <w:tr2bl w:val="nil"/>
            </w:tcBorders>
            <w:noWrap w:val="0"/>
            <w:vAlign w:val="center"/>
          </w:tcPr>
          <w:p w14:paraId="368D3EE1">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3300</w:t>
            </w:r>
          </w:p>
        </w:tc>
        <w:tc>
          <w:tcPr>
            <w:tcW w:w="768" w:type="pct"/>
            <w:tcBorders>
              <w:tl2br w:val="nil"/>
              <w:tr2bl w:val="nil"/>
            </w:tcBorders>
            <w:noWrap w:val="0"/>
            <w:vAlign w:val="center"/>
          </w:tcPr>
          <w:p w14:paraId="7EF4E709">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noWrap w:val="0"/>
            <w:vAlign w:val="center"/>
          </w:tcPr>
          <w:p w14:paraId="5CD1D44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DD4FB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A284DC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2617D0A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20</w:t>
            </w:r>
          </w:p>
        </w:tc>
        <w:tc>
          <w:tcPr>
            <w:tcW w:w="1097" w:type="pct"/>
            <w:tcBorders>
              <w:tl2br w:val="nil"/>
              <w:tr2bl w:val="nil"/>
            </w:tcBorders>
            <w:noWrap w:val="0"/>
            <w:vAlign w:val="center"/>
          </w:tcPr>
          <w:p w14:paraId="582FFFEB">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于坝村</w:t>
            </w:r>
          </w:p>
        </w:tc>
        <w:tc>
          <w:tcPr>
            <w:tcW w:w="656" w:type="pct"/>
            <w:tcBorders>
              <w:tl2br w:val="nil"/>
              <w:tr2bl w:val="nil"/>
            </w:tcBorders>
            <w:noWrap w:val="0"/>
            <w:vAlign w:val="center"/>
          </w:tcPr>
          <w:p w14:paraId="0543B73C">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NW</w:t>
            </w:r>
          </w:p>
        </w:tc>
        <w:tc>
          <w:tcPr>
            <w:tcW w:w="629" w:type="pct"/>
            <w:tcBorders>
              <w:tl2br w:val="nil"/>
              <w:tr2bl w:val="nil"/>
            </w:tcBorders>
            <w:noWrap w:val="0"/>
            <w:vAlign w:val="center"/>
          </w:tcPr>
          <w:p w14:paraId="3809EF10">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2800</w:t>
            </w:r>
          </w:p>
        </w:tc>
        <w:tc>
          <w:tcPr>
            <w:tcW w:w="768" w:type="pct"/>
            <w:tcBorders>
              <w:tl2br w:val="nil"/>
              <w:tr2bl w:val="nil"/>
            </w:tcBorders>
            <w:noWrap w:val="0"/>
            <w:vAlign w:val="center"/>
          </w:tcPr>
          <w:p w14:paraId="207FC88D">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1500</w:t>
            </w:r>
          </w:p>
        </w:tc>
        <w:tc>
          <w:tcPr>
            <w:tcW w:w="1035" w:type="pct"/>
            <w:vMerge w:val="continue"/>
            <w:tcBorders>
              <w:tl2br w:val="nil"/>
              <w:tr2bl w:val="nil"/>
            </w:tcBorders>
            <w:noWrap w:val="0"/>
            <w:vAlign w:val="center"/>
          </w:tcPr>
          <w:p w14:paraId="4CA824A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EE0F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698C86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4BEC78C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21</w:t>
            </w:r>
          </w:p>
        </w:tc>
        <w:tc>
          <w:tcPr>
            <w:tcW w:w="1097" w:type="pct"/>
            <w:tcBorders>
              <w:tl2br w:val="nil"/>
              <w:tr2bl w:val="nil"/>
            </w:tcBorders>
            <w:noWrap w:val="0"/>
            <w:vAlign w:val="center"/>
          </w:tcPr>
          <w:p w14:paraId="4A8768C7">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永利村</w:t>
            </w:r>
          </w:p>
        </w:tc>
        <w:tc>
          <w:tcPr>
            <w:tcW w:w="656" w:type="pct"/>
            <w:tcBorders>
              <w:tl2br w:val="nil"/>
              <w:tr2bl w:val="nil"/>
            </w:tcBorders>
            <w:noWrap w:val="0"/>
            <w:vAlign w:val="center"/>
          </w:tcPr>
          <w:p w14:paraId="64661556">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NW</w:t>
            </w:r>
          </w:p>
        </w:tc>
        <w:tc>
          <w:tcPr>
            <w:tcW w:w="629" w:type="pct"/>
            <w:tcBorders>
              <w:tl2br w:val="nil"/>
              <w:tr2bl w:val="nil"/>
            </w:tcBorders>
            <w:noWrap w:val="0"/>
            <w:vAlign w:val="center"/>
          </w:tcPr>
          <w:p w14:paraId="73EEE3E4">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3900</w:t>
            </w:r>
          </w:p>
        </w:tc>
        <w:tc>
          <w:tcPr>
            <w:tcW w:w="768" w:type="pct"/>
            <w:tcBorders>
              <w:tl2br w:val="nil"/>
              <w:tr2bl w:val="nil"/>
            </w:tcBorders>
            <w:noWrap w:val="0"/>
            <w:vAlign w:val="center"/>
          </w:tcPr>
          <w:p w14:paraId="4B6594DD">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1E2D27D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D328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4E9C527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7A71D9B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22</w:t>
            </w:r>
          </w:p>
        </w:tc>
        <w:tc>
          <w:tcPr>
            <w:tcW w:w="1097" w:type="pct"/>
            <w:tcBorders>
              <w:tl2br w:val="nil"/>
              <w:tr2bl w:val="nil"/>
            </w:tcBorders>
            <w:noWrap w:val="0"/>
            <w:vAlign w:val="center"/>
          </w:tcPr>
          <w:p w14:paraId="4DCD9B41">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前进村</w:t>
            </w:r>
          </w:p>
        </w:tc>
        <w:tc>
          <w:tcPr>
            <w:tcW w:w="656" w:type="pct"/>
            <w:tcBorders>
              <w:tl2br w:val="nil"/>
              <w:tr2bl w:val="nil"/>
            </w:tcBorders>
            <w:noWrap w:val="0"/>
            <w:vAlign w:val="center"/>
          </w:tcPr>
          <w:p w14:paraId="3FD2A8B5">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kern w:val="0"/>
                <w:sz w:val="21"/>
                <w:szCs w:val="21"/>
                <w:highlight w:val="none"/>
              </w:rPr>
              <w:t>NW</w:t>
            </w:r>
          </w:p>
        </w:tc>
        <w:tc>
          <w:tcPr>
            <w:tcW w:w="629" w:type="pct"/>
            <w:tcBorders>
              <w:tl2br w:val="nil"/>
              <w:tr2bl w:val="nil"/>
            </w:tcBorders>
            <w:noWrap w:val="0"/>
            <w:vAlign w:val="center"/>
          </w:tcPr>
          <w:p w14:paraId="66B098E9">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2100</w:t>
            </w:r>
          </w:p>
        </w:tc>
        <w:tc>
          <w:tcPr>
            <w:tcW w:w="768" w:type="pct"/>
            <w:tcBorders>
              <w:tl2br w:val="nil"/>
              <w:tr2bl w:val="nil"/>
            </w:tcBorders>
            <w:noWrap w:val="0"/>
            <w:vAlign w:val="center"/>
          </w:tcPr>
          <w:p w14:paraId="1BB2B385">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1500</w:t>
            </w:r>
          </w:p>
        </w:tc>
        <w:tc>
          <w:tcPr>
            <w:tcW w:w="1035" w:type="pct"/>
            <w:vMerge w:val="continue"/>
            <w:tcBorders>
              <w:tl2br w:val="nil"/>
              <w:tr2bl w:val="nil"/>
            </w:tcBorders>
            <w:noWrap w:val="0"/>
            <w:vAlign w:val="center"/>
          </w:tcPr>
          <w:p w14:paraId="205576B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1459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66F1AC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0DD9D9E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23</w:t>
            </w:r>
          </w:p>
        </w:tc>
        <w:tc>
          <w:tcPr>
            <w:tcW w:w="1097" w:type="pct"/>
            <w:tcBorders>
              <w:tl2br w:val="nil"/>
              <w:tr2bl w:val="nil"/>
            </w:tcBorders>
            <w:noWrap w:val="0"/>
            <w:vAlign w:val="center"/>
          </w:tcPr>
          <w:p w14:paraId="471F1D7D">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新华村</w:t>
            </w:r>
          </w:p>
        </w:tc>
        <w:tc>
          <w:tcPr>
            <w:tcW w:w="656" w:type="pct"/>
            <w:tcBorders>
              <w:tl2br w:val="nil"/>
              <w:tr2bl w:val="nil"/>
            </w:tcBorders>
            <w:noWrap w:val="0"/>
            <w:vAlign w:val="center"/>
          </w:tcPr>
          <w:p w14:paraId="5EADAA83">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NW</w:t>
            </w:r>
          </w:p>
        </w:tc>
        <w:tc>
          <w:tcPr>
            <w:tcW w:w="629" w:type="pct"/>
            <w:tcBorders>
              <w:tl2br w:val="nil"/>
              <w:tr2bl w:val="nil"/>
            </w:tcBorders>
            <w:noWrap w:val="0"/>
            <w:vAlign w:val="center"/>
          </w:tcPr>
          <w:p w14:paraId="748D6D8A">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3400</w:t>
            </w:r>
          </w:p>
        </w:tc>
        <w:tc>
          <w:tcPr>
            <w:tcW w:w="768" w:type="pct"/>
            <w:tcBorders>
              <w:tl2br w:val="nil"/>
              <w:tr2bl w:val="nil"/>
            </w:tcBorders>
            <w:noWrap w:val="0"/>
            <w:vAlign w:val="center"/>
          </w:tcPr>
          <w:p w14:paraId="7CD260C2">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noWrap w:val="0"/>
            <w:vAlign w:val="center"/>
          </w:tcPr>
          <w:p w14:paraId="524C7D5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EC440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37CD1CB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45F1738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24</w:t>
            </w:r>
          </w:p>
        </w:tc>
        <w:tc>
          <w:tcPr>
            <w:tcW w:w="1097" w:type="pct"/>
            <w:tcBorders>
              <w:tl2br w:val="nil"/>
              <w:tr2bl w:val="nil"/>
            </w:tcBorders>
            <w:noWrap w:val="0"/>
            <w:vAlign w:val="center"/>
          </w:tcPr>
          <w:p w14:paraId="2A8E2877">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练港村</w:t>
            </w:r>
          </w:p>
        </w:tc>
        <w:tc>
          <w:tcPr>
            <w:tcW w:w="656" w:type="pct"/>
            <w:tcBorders>
              <w:tl2br w:val="nil"/>
              <w:tr2bl w:val="nil"/>
            </w:tcBorders>
            <w:noWrap w:val="0"/>
            <w:vAlign w:val="center"/>
          </w:tcPr>
          <w:p w14:paraId="0DE84A3C">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NW</w:t>
            </w:r>
          </w:p>
        </w:tc>
        <w:tc>
          <w:tcPr>
            <w:tcW w:w="629" w:type="pct"/>
            <w:tcBorders>
              <w:tl2br w:val="nil"/>
              <w:tr2bl w:val="nil"/>
            </w:tcBorders>
            <w:noWrap w:val="0"/>
            <w:vAlign w:val="center"/>
          </w:tcPr>
          <w:p w14:paraId="0885D143">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3600</w:t>
            </w:r>
          </w:p>
        </w:tc>
        <w:tc>
          <w:tcPr>
            <w:tcW w:w="768" w:type="pct"/>
            <w:tcBorders>
              <w:tl2br w:val="nil"/>
              <w:tr2bl w:val="nil"/>
            </w:tcBorders>
            <w:noWrap w:val="0"/>
            <w:vAlign w:val="center"/>
          </w:tcPr>
          <w:p w14:paraId="3B037981">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460C996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792A1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5E7EB91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C15EC3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25</w:t>
            </w:r>
          </w:p>
        </w:tc>
        <w:tc>
          <w:tcPr>
            <w:tcW w:w="1097" w:type="pct"/>
            <w:tcBorders>
              <w:tl2br w:val="nil"/>
              <w:tr2bl w:val="nil"/>
            </w:tcBorders>
            <w:noWrap w:val="0"/>
            <w:vAlign w:val="center"/>
          </w:tcPr>
          <w:p w14:paraId="18FD13AE">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刘缺花苑</w:t>
            </w:r>
          </w:p>
        </w:tc>
        <w:tc>
          <w:tcPr>
            <w:tcW w:w="656" w:type="pct"/>
            <w:tcBorders>
              <w:tl2br w:val="nil"/>
              <w:tr2bl w:val="nil"/>
            </w:tcBorders>
            <w:noWrap w:val="0"/>
            <w:vAlign w:val="center"/>
          </w:tcPr>
          <w:p w14:paraId="5A018244">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SW</w:t>
            </w:r>
          </w:p>
        </w:tc>
        <w:tc>
          <w:tcPr>
            <w:tcW w:w="629" w:type="pct"/>
            <w:tcBorders>
              <w:tl2br w:val="nil"/>
              <w:tr2bl w:val="nil"/>
            </w:tcBorders>
            <w:noWrap w:val="0"/>
            <w:vAlign w:val="center"/>
          </w:tcPr>
          <w:p w14:paraId="3611D7D9">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2800</w:t>
            </w:r>
          </w:p>
        </w:tc>
        <w:tc>
          <w:tcPr>
            <w:tcW w:w="768" w:type="pct"/>
            <w:tcBorders>
              <w:tl2br w:val="nil"/>
              <w:tr2bl w:val="nil"/>
            </w:tcBorders>
            <w:noWrap w:val="0"/>
            <w:vAlign w:val="center"/>
          </w:tcPr>
          <w:p w14:paraId="715DA5E2">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1600</w:t>
            </w:r>
          </w:p>
        </w:tc>
        <w:tc>
          <w:tcPr>
            <w:tcW w:w="1035" w:type="pct"/>
            <w:vMerge w:val="continue"/>
            <w:tcBorders>
              <w:tl2br w:val="nil"/>
              <w:tr2bl w:val="nil"/>
            </w:tcBorders>
            <w:noWrap w:val="0"/>
            <w:vAlign w:val="center"/>
          </w:tcPr>
          <w:p w14:paraId="63887F0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42E2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615A7E7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7DB5FCC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26</w:t>
            </w:r>
          </w:p>
        </w:tc>
        <w:tc>
          <w:tcPr>
            <w:tcW w:w="1097" w:type="pct"/>
            <w:tcBorders>
              <w:tl2br w:val="nil"/>
              <w:tr2bl w:val="nil"/>
            </w:tcBorders>
            <w:noWrap w:val="0"/>
            <w:vAlign w:val="center"/>
          </w:tcPr>
          <w:p w14:paraId="3739D2CC">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ascii="Times New Roman" w:hAnsi="Times New Roman" w:eastAsia="Times New Roman" w:cs="Times New Roman"/>
                <w:sz w:val="21"/>
              </w:rPr>
              <w:t>523</w:t>
            </w:r>
            <w:r>
              <w:rPr>
                <w:rFonts w:ascii="Times New Roman" w:hAnsi="Times New Roman" w:cs="Times New Roman"/>
                <w:sz w:val="21"/>
              </w:rPr>
              <w:t>文化公园</w:t>
            </w:r>
          </w:p>
        </w:tc>
        <w:tc>
          <w:tcPr>
            <w:tcW w:w="656" w:type="pct"/>
            <w:tcBorders>
              <w:tl2br w:val="nil"/>
              <w:tr2bl w:val="nil"/>
            </w:tcBorders>
            <w:noWrap w:val="0"/>
            <w:vAlign w:val="center"/>
          </w:tcPr>
          <w:p w14:paraId="1C4BB108">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ascii="Times New Roman" w:hAnsi="Times New Roman" w:eastAsia="宋体" w:cs="Times New Roman"/>
                <w:color w:val="auto"/>
                <w:w w:val="100"/>
                <w:kern w:val="0"/>
                <w:sz w:val="21"/>
                <w:szCs w:val="21"/>
                <w:highlight w:val="none"/>
              </w:rPr>
              <w:t>SW</w:t>
            </w:r>
          </w:p>
        </w:tc>
        <w:tc>
          <w:tcPr>
            <w:tcW w:w="629" w:type="pct"/>
            <w:tcBorders>
              <w:tl2br w:val="nil"/>
              <w:tr2bl w:val="nil"/>
            </w:tcBorders>
            <w:noWrap w:val="0"/>
            <w:vAlign w:val="center"/>
          </w:tcPr>
          <w:p w14:paraId="588A6CAD">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ascii="Times New Roman" w:hAnsi="Times New Roman" w:cs="Times New Roman"/>
                <w:sz w:val="21"/>
              </w:rPr>
              <w:t>4000</w:t>
            </w:r>
          </w:p>
        </w:tc>
        <w:tc>
          <w:tcPr>
            <w:tcW w:w="768" w:type="pct"/>
            <w:tcBorders>
              <w:tl2br w:val="nil"/>
              <w:tr2bl w:val="nil"/>
            </w:tcBorders>
            <w:noWrap w:val="0"/>
            <w:vAlign w:val="center"/>
          </w:tcPr>
          <w:p w14:paraId="64CE30E8">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sz w:val="21"/>
                <w:lang w:val="en-US" w:eastAsia="zh-CN"/>
              </w:rPr>
              <w:t>1700</w:t>
            </w:r>
          </w:p>
        </w:tc>
        <w:tc>
          <w:tcPr>
            <w:tcW w:w="1035" w:type="pct"/>
            <w:vMerge w:val="continue"/>
            <w:tcBorders>
              <w:tl2br w:val="nil"/>
              <w:tr2bl w:val="nil"/>
            </w:tcBorders>
            <w:noWrap w:val="0"/>
            <w:vAlign w:val="center"/>
          </w:tcPr>
          <w:p w14:paraId="46B2EB0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E019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0018C64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26A881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27</w:t>
            </w:r>
          </w:p>
        </w:tc>
        <w:tc>
          <w:tcPr>
            <w:tcW w:w="1097" w:type="pct"/>
            <w:tcBorders>
              <w:tl2br w:val="nil"/>
              <w:tr2bl w:val="nil"/>
            </w:tcBorders>
            <w:noWrap w:val="0"/>
            <w:vAlign w:val="center"/>
          </w:tcPr>
          <w:p w14:paraId="5C9164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sz w:val="21"/>
                <w:szCs w:val="21"/>
                <w:highlight w:val="none"/>
                <w:vertAlign w:val="baseline"/>
                <w:lang w:val="en-US" w:eastAsia="zh-CN" w:bidi="ar-SA"/>
              </w:rPr>
              <w:t>早稼村</w:t>
            </w:r>
          </w:p>
        </w:tc>
        <w:tc>
          <w:tcPr>
            <w:tcW w:w="656" w:type="pct"/>
            <w:tcBorders>
              <w:tl2br w:val="nil"/>
              <w:tr2bl w:val="nil"/>
            </w:tcBorders>
            <w:noWrap w:val="0"/>
            <w:vAlign w:val="center"/>
          </w:tcPr>
          <w:p w14:paraId="5BFB6C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N</w:t>
            </w:r>
          </w:p>
        </w:tc>
        <w:tc>
          <w:tcPr>
            <w:tcW w:w="629" w:type="pct"/>
            <w:tcBorders>
              <w:tl2br w:val="nil"/>
              <w:tr2bl w:val="nil"/>
            </w:tcBorders>
            <w:noWrap w:val="0"/>
            <w:vAlign w:val="center"/>
          </w:tcPr>
          <w:p w14:paraId="0614EF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4800</w:t>
            </w:r>
          </w:p>
        </w:tc>
        <w:tc>
          <w:tcPr>
            <w:tcW w:w="768" w:type="pct"/>
            <w:tcBorders>
              <w:tl2br w:val="nil"/>
              <w:tr2bl w:val="nil"/>
            </w:tcBorders>
            <w:noWrap w:val="0"/>
            <w:vAlign w:val="center"/>
          </w:tcPr>
          <w:p w14:paraId="220FBD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eastAsia="宋体" w:cs="Times New Roman"/>
                <w:color w:val="auto"/>
                <w:sz w:val="21"/>
                <w:szCs w:val="21"/>
                <w:lang w:val="en-US" w:eastAsia="zh-CN"/>
              </w:rPr>
              <w:t>1400</w:t>
            </w:r>
          </w:p>
        </w:tc>
        <w:tc>
          <w:tcPr>
            <w:tcW w:w="1035" w:type="pct"/>
            <w:vMerge w:val="continue"/>
            <w:tcBorders>
              <w:tl2br w:val="nil"/>
              <w:tr2bl w:val="nil"/>
            </w:tcBorders>
            <w:noWrap w:val="0"/>
            <w:vAlign w:val="center"/>
          </w:tcPr>
          <w:p w14:paraId="5F11183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C74F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00AE9F5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62EF17A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28</w:t>
            </w:r>
          </w:p>
        </w:tc>
        <w:tc>
          <w:tcPr>
            <w:tcW w:w="1097" w:type="pct"/>
            <w:tcBorders>
              <w:tl2br w:val="nil"/>
              <w:tr2bl w:val="nil"/>
            </w:tcBorders>
            <w:noWrap w:val="0"/>
            <w:vAlign w:val="center"/>
          </w:tcPr>
          <w:p w14:paraId="14E70A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sz w:val="21"/>
                <w:szCs w:val="21"/>
                <w:highlight w:val="none"/>
                <w:vertAlign w:val="baseline"/>
                <w:lang w:val="en-US" w:eastAsia="zh-CN" w:bidi="ar-SA"/>
              </w:rPr>
              <w:t>海安站</w:t>
            </w:r>
          </w:p>
        </w:tc>
        <w:tc>
          <w:tcPr>
            <w:tcW w:w="656" w:type="pct"/>
            <w:tcBorders>
              <w:tl2br w:val="nil"/>
              <w:tr2bl w:val="nil"/>
            </w:tcBorders>
            <w:noWrap w:val="0"/>
            <w:vAlign w:val="center"/>
          </w:tcPr>
          <w:p w14:paraId="483C3A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SW</w:t>
            </w:r>
          </w:p>
        </w:tc>
        <w:tc>
          <w:tcPr>
            <w:tcW w:w="629" w:type="pct"/>
            <w:tcBorders>
              <w:tl2br w:val="nil"/>
              <w:tr2bl w:val="nil"/>
            </w:tcBorders>
            <w:noWrap w:val="0"/>
            <w:vAlign w:val="center"/>
          </w:tcPr>
          <w:p w14:paraId="790A14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3800</w:t>
            </w:r>
          </w:p>
        </w:tc>
        <w:tc>
          <w:tcPr>
            <w:tcW w:w="768" w:type="pct"/>
            <w:tcBorders>
              <w:tl2br w:val="nil"/>
              <w:tr2bl w:val="nil"/>
            </w:tcBorders>
            <w:noWrap w:val="0"/>
            <w:vAlign w:val="center"/>
          </w:tcPr>
          <w:p w14:paraId="1493D9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w:t>
            </w:r>
            <w:r>
              <w:rPr>
                <w:rFonts w:hint="default" w:eastAsia="宋体" w:cs="Times New Roman"/>
                <w:color w:val="auto"/>
                <w:sz w:val="21"/>
                <w:szCs w:val="21"/>
                <w:lang w:val="en-US" w:eastAsia="zh-CN"/>
              </w:rPr>
              <w:t>000</w:t>
            </w:r>
          </w:p>
        </w:tc>
        <w:tc>
          <w:tcPr>
            <w:tcW w:w="1035" w:type="pct"/>
            <w:vMerge w:val="continue"/>
            <w:tcBorders>
              <w:tl2br w:val="nil"/>
              <w:tr2bl w:val="nil"/>
            </w:tcBorders>
            <w:noWrap w:val="0"/>
            <w:vAlign w:val="center"/>
          </w:tcPr>
          <w:p w14:paraId="1AD2A98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D2AA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55438A5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ED01AE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29</w:t>
            </w:r>
          </w:p>
        </w:tc>
        <w:tc>
          <w:tcPr>
            <w:tcW w:w="1097" w:type="pct"/>
            <w:tcBorders>
              <w:tl2br w:val="nil"/>
              <w:tr2bl w:val="nil"/>
            </w:tcBorders>
            <w:noWrap w:val="0"/>
            <w:vAlign w:val="center"/>
          </w:tcPr>
          <w:p w14:paraId="0B9F4D8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eastAsia="宋体" w:cs="Times New Roman"/>
                <w:sz w:val="21"/>
                <w:szCs w:val="21"/>
                <w:highlight w:val="none"/>
                <w:vertAlign w:val="baseline"/>
                <w:lang w:val="en-US" w:eastAsia="zh-CN" w:bidi="ar-SA"/>
              </w:rPr>
              <w:t>三角村</w:t>
            </w:r>
          </w:p>
        </w:tc>
        <w:tc>
          <w:tcPr>
            <w:tcW w:w="656" w:type="pct"/>
            <w:tcBorders>
              <w:tl2br w:val="nil"/>
              <w:tr2bl w:val="nil"/>
            </w:tcBorders>
            <w:noWrap w:val="0"/>
            <w:vAlign w:val="center"/>
          </w:tcPr>
          <w:p w14:paraId="03A4B8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S</w:t>
            </w:r>
          </w:p>
        </w:tc>
        <w:tc>
          <w:tcPr>
            <w:tcW w:w="629" w:type="pct"/>
            <w:tcBorders>
              <w:tl2br w:val="nil"/>
              <w:tr2bl w:val="nil"/>
            </w:tcBorders>
            <w:noWrap w:val="0"/>
            <w:vAlign w:val="center"/>
          </w:tcPr>
          <w:p w14:paraId="547D23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 w:val="21"/>
                <w:szCs w:val="21"/>
                <w:lang w:val="en-US" w:eastAsia="zh-CN"/>
              </w:rPr>
              <w:t>1400</w:t>
            </w:r>
          </w:p>
        </w:tc>
        <w:tc>
          <w:tcPr>
            <w:tcW w:w="768" w:type="pct"/>
            <w:tcBorders>
              <w:tl2br w:val="nil"/>
              <w:tr2bl w:val="nil"/>
            </w:tcBorders>
            <w:noWrap w:val="0"/>
            <w:vAlign w:val="center"/>
          </w:tcPr>
          <w:p w14:paraId="387C8C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eastAsia="宋体" w:cs="Times New Roman"/>
                <w:color w:val="auto"/>
                <w:sz w:val="21"/>
                <w:szCs w:val="21"/>
                <w:lang w:val="en-US" w:eastAsia="zh-CN"/>
              </w:rPr>
              <w:t>1</w:t>
            </w:r>
            <w:r>
              <w:rPr>
                <w:rFonts w:hint="eastAsia" w:ascii="Times New Roman" w:hAnsi="Times New Roman" w:eastAsia="宋体" w:cs="Times New Roman"/>
                <w:color w:val="auto"/>
                <w:sz w:val="21"/>
                <w:szCs w:val="21"/>
                <w:lang w:val="en-US" w:eastAsia="zh-CN"/>
              </w:rPr>
              <w:t>5</w:t>
            </w:r>
            <w:r>
              <w:rPr>
                <w:rFonts w:hint="default" w:eastAsia="宋体" w:cs="Times New Roman"/>
                <w:color w:val="auto"/>
                <w:sz w:val="21"/>
                <w:szCs w:val="21"/>
                <w:lang w:val="en-US" w:eastAsia="zh-CN"/>
              </w:rPr>
              <w:t>00</w:t>
            </w:r>
          </w:p>
        </w:tc>
        <w:tc>
          <w:tcPr>
            <w:tcW w:w="1035" w:type="pct"/>
            <w:vMerge w:val="continue"/>
            <w:tcBorders>
              <w:tl2br w:val="nil"/>
              <w:tr2bl w:val="nil"/>
            </w:tcBorders>
            <w:noWrap w:val="0"/>
            <w:vAlign w:val="center"/>
          </w:tcPr>
          <w:p w14:paraId="08AECC5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51E07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5" w:type="pct"/>
            <w:vMerge w:val="continue"/>
            <w:tcBorders>
              <w:tl2br w:val="nil"/>
              <w:tr2bl w:val="nil"/>
            </w:tcBorders>
            <w:noWrap w:val="0"/>
            <w:vAlign w:val="center"/>
          </w:tcPr>
          <w:p w14:paraId="7E792AA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750" w:type="pct"/>
            <w:gridSpan w:val="4"/>
            <w:tcBorders>
              <w:tl2br w:val="nil"/>
              <w:tr2bl w:val="nil"/>
            </w:tcBorders>
            <w:noWrap w:val="0"/>
            <w:vAlign w:val="center"/>
          </w:tcPr>
          <w:p w14:paraId="39192B9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总计人数</w:t>
            </w:r>
          </w:p>
        </w:tc>
        <w:tc>
          <w:tcPr>
            <w:tcW w:w="768" w:type="pct"/>
            <w:tcBorders>
              <w:tl2br w:val="nil"/>
              <w:tr2bl w:val="nil"/>
            </w:tcBorders>
            <w:noWrap w:val="0"/>
            <w:vAlign w:val="center"/>
          </w:tcPr>
          <w:p w14:paraId="6EBAE75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约</w:t>
            </w:r>
            <w:r>
              <w:rPr>
                <w:rFonts w:hint="default" w:ascii="Times New Roman" w:eastAsia="宋体" w:cs="Times New Roman"/>
                <w:color w:val="auto"/>
                <w:sz w:val="21"/>
                <w:szCs w:val="21"/>
                <w:vertAlign w:val="baseline"/>
                <w:lang w:val="en-US" w:eastAsia="zh-CN" w:bidi="ar-SA"/>
              </w:rPr>
              <w:t>3</w:t>
            </w:r>
            <w:r>
              <w:rPr>
                <w:rFonts w:hint="eastAsia" w:ascii="Times New Roman" w:hAnsi="Times New Roman" w:eastAsia="宋体" w:cs="Times New Roman"/>
                <w:color w:val="auto"/>
                <w:sz w:val="21"/>
                <w:szCs w:val="21"/>
                <w:vertAlign w:val="baseline"/>
                <w:lang w:val="en-US" w:eastAsia="zh-CN" w:bidi="ar-SA"/>
              </w:rPr>
              <w:t>001</w:t>
            </w:r>
            <w:r>
              <w:rPr>
                <w:rFonts w:hint="default" w:ascii="Times New Roman" w:eastAsia="宋体" w:cs="Times New Roman"/>
                <w:color w:val="auto"/>
                <w:sz w:val="21"/>
                <w:szCs w:val="21"/>
                <w:vertAlign w:val="baseline"/>
                <w:lang w:val="en-US" w:eastAsia="zh-CN" w:bidi="ar-SA"/>
              </w:rPr>
              <w:t>0</w:t>
            </w:r>
            <w:r>
              <w:rPr>
                <w:rFonts w:hint="default" w:ascii="Times New Roman" w:hAnsi="Times New Roman" w:eastAsia="宋体" w:cs="Times New Roman"/>
                <w:color w:val="auto"/>
                <w:sz w:val="21"/>
                <w:szCs w:val="21"/>
                <w:vertAlign w:val="baseline"/>
                <w:lang w:val="en-US" w:eastAsia="zh-CN" w:bidi="ar-SA"/>
              </w:rPr>
              <w:t>人</w:t>
            </w:r>
          </w:p>
        </w:tc>
        <w:tc>
          <w:tcPr>
            <w:tcW w:w="1035" w:type="pct"/>
            <w:vMerge w:val="continue"/>
            <w:tcBorders>
              <w:tl2br w:val="nil"/>
              <w:tr2bl w:val="nil"/>
            </w:tcBorders>
            <w:noWrap w:val="0"/>
            <w:vAlign w:val="center"/>
          </w:tcPr>
          <w:p w14:paraId="3FAE720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bl>
    <w:p w14:paraId="5A89D817">
      <w:pPr>
        <w:pStyle w:val="5"/>
        <w:adjustRightInd w:val="0"/>
        <w:snapToGrid w:val="0"/>
        <w:spacing w:line="500" w:lineRule="exact"/>
        <w:rPr>
          <w:rFonts w:hint="default" w:ascii="Times New Roman" w:hAnsi="Times New Roman" w:eastAsia="宋体" w:cs="Times New Roman"/>
          <w:color w:val="000000" w:themeColor="text1"/>
          <w14:textFill>
            <w14:solidFill>
              <w14:schemeClr w14:val="tx1"/>
            </w14:solidFill>
          </w14:textFill>
        </w:rPr>
      </w:pPr>
      <w:bookmarkStart w:id="64" w:name="_Toc24780"/>
      <w:bookmarkStart w:id="65" w:name="_Toc3725"/>
      <w:bookmarkStart w:id="66" w:name="_Toc16025"/>
      <w:bookmarkStart w:id="67" w:name="_Toc510092935"/>
      <w:r>
        <w:rPr>
          <w:rFonts w:hint="default" w:ascii="Times New Roman" w:hAnsi="Times New Roman" w:eastAsia="宋体" w:cs="Times New Roman"/>
          <w:color w:val="000000" w:themeColor="text1"/>
          <w14:textFill>
            <w14:solidFill>
              <w14:schemeClr w14:val="tx1"/>
            </w14:solidFill>
          </w14:textFill>
        </w:rPr>
        <w:t>3.2.2水环境风险受体</w:t>
      </w:r>
      <w:bookmarkEnd w:id="64"/>
      <w:bookmarkEnd w:id="65"/>
      <w:bookmarkEnd w:id="66"/>
      <w:bookmarkEnd w:id="67"/>
    </w:p>
    <w:p w14:paraId="3464055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eastAsia" w:eastAsia="宋体" w:cs="Times New Roman"/>
          <w:b/>
          <w:bCs/>
          <w:color w:val="000000" w:themeColor="text1"/>
          <w:lang w:val="en-US" w:eastAsia="zh-CN"/>
          <w14:textFill>
            <w14:solidFill>
              <w14:schemeClr w14:val="tx1"/>
            </w14:solidFill>
          </w14:textFill>
        </w:rPr>
        <w:t>3.2.2.1</w:t>
      </w:r>
      <w:r>
        <w:rPr>
          <w:rFonts w:hint="default" w:ascii="Times New Roman" w:hAnsi="Times New Roman" w:eastAsia="宋体" w:cs="Times New Roman"/>
          <w:b/>
          <w:bCs/>
          <w:color w:val="000000" w:themeColor="text1"/>
          <w14:textFill>
            <w14:solidFill>
              <w14:schemeClr w14:val="tx1"/>
            </w14:solidFill>
          </w14:textFill>
        </w:rPr>
        <w:t>地表水环境</w:t>
      </w:r>
    </w:p>
    <w:p w14:paraId="167AB7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建设项目实行雨污分流、清污分流。雨水经雨水管网收集后排入市政雨水管网；生活污水</w:t>
      </w:r>
      <w:r>
        <w:rPr>
          <w:rFonts w:hint="eastAsia" w:eastAsia="宋体" w:cs="Times New Roman"/>
          <w:color w:val="000000" w:themeColor="text1"/>
          <w:lang w:val="en-US" w:eastAsia="zh-CN"/>
          <w14:textFill>
            <w14:solidFill>
              <w14:schemeClr w14:val="tx1"/>
            </w14:solidFill>
          </w14:textFill>
        </w:rPr>
        <w:t>经</w:t>
      </w:r>
      <w:r>
        <w:rPr>
          <w:rFonts w:hint="default" w:ascii="Times New Roman" w:hAnsi="Times New Roman" w:eastAsia="宋体" w:cs="Times New Roman"/>
          <w:color w:val="000000" w:themeColor="text1"/>
          <w:lang w:val="en-US" w:eastAsia="zh-CN"/>
          <w14:textFill>
            <w14:solidFill>
              <w14:schemeClr w14:val="tx1"/>
            </w14:solidFill>
          </w14:textFill>
        </w:rPr>
        <w:t>化粪池处理，达标接管至</w:t>
      </w:r>
      <w:r>
        <w:rPr>
          <w:rFonts w:hint="eastAsia" w:eastAsia="宋体" w:cs="Times New Roman"/>
          <w:color w:val="000000" w:themeColor="text1"/>
          <w:lang w:val="en-US" w:eastAsia="zh-CN"/>
          <w14:textFill>
            <w14:solidFill>
              <w14:schemeClr w14:val="tx1"/>
            </w14:solidFill>
          </w14:textFill>
        </w:rPr>
        <w:t>海安惠泽净水有限公司</w:t>
      </w:r>
      <w:r>
        <w:rPr>
          <w:rFonts w:hint="default" w:ascii="Times New Roman" w:hAnsi="Times New Roman" w:eastAsia="宋体" w:cs="Times New Roman"/>
          <w:color w:val="000000" w:themeColor="text1"/>
          <w:lang w:val="en-US" w:eastAsia="zh-CN"/>
          <w14:textFill>
            <w14:solidFill>
              <w14:schemeClr w14:val="tx1"/>
            </w14:solidFill>
          </w14:textFill>
        </w:rPr>
        <w:t>集中处理，达标尾水排入洋蛮河。</w:t>
      </w:r>
    </w:p>
    <w:p w14:paraId="39208F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公司位于</w:t>
      </w:r>
      <w:r>
        <w:rPr>
          <w:rFonts w:hint="eastAsia" w:eastAsia="宋体" w:cs="Times New Roman"/>
          <w:color w:val="000000" w:themeColor="text1"/>
          <w:lang w:eastAsia="zh-CN"/>
          <w14:textFill>
            <w14:solidFill>
              <w14:schemeClr w14:val="tx1"/>
            </w14:solidFill>
          </w14:textFill>
        </w:rPr>
        <w:t>海安市城东镇东部大道175号的部分厂房</w:t>
      </w:r>
      <w:r>
        <w:rPr>
          <w:rFonts w:hint="default" w:ascii="Times New Roman" w:hAnsi="Times New Roman" w:eastAsia="宋体" w:cs="Times New Roman"/>
          <w:color w:val="000000" w:themeColor="text1"/>
          <w14:textFill>
            <w14:solidFill>
              <w14:schemeClr w14:val="tx1"/>
            </w14:solidFill>
          </w14:textFill>
        </w:rPr>
        <w:t>，根据调查，公司周边及下游10km范围内水环境风险受体分布详见表3</w:t>
      </w:r>
      <w:r>
        <w:rPr>
          <w:rFonts w:hint="eastAsia" w:eastAsia="宋体" w:cs="Times New Roman"/>
          <w:color w:val="000000" w:themeColor="text1"/>
          <w:lang w:val="en-US" w:eastAsia="zh-CN"/>
          <w14:textFill>
            <w14:solidFill>
              <w14:schemeClr w14:val="tx1"/>
            </w14:solidFill>
          </w14:textFill>
        </w:rPr>
        <w:t>-6</w:t>
      </w:r>
      <w:r>
        <w:rPr>
          <w:rFonts w:hint="default" w:ascii="Times New Roman" w:hAnsi="Times New Roman" w:eastAsia="宋体" w:cs="Times New Roman"/>
          <w:color w:val="000000" w:themeColor="text1"/>
          <w14:textFill>
            <w14:solidFill>
              <w14:schemeClr w14:val="tx1"/>
            </w14:solidFill>
          </w14:textFill>
        </w:rPr>
        <w:t>和水系图。</w:t>
      </w:r>
    </w:p>
    <w:p w14:paraId="4694F298">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eastAsia" w:eastAsia="宋体" w:cs="Times New Roman"/>
          <w:b/>
          <w:bCs/>
          <w:lang w:val="en-US" w:eastAsia="zh-CN"/>
        </w:rPr>
        <w:t>6</w:t>
      </w:r>
      <w:r>
        <w:rPr>
          <w:rFonts w:hint="default" w:ascii="Times New Roman" w:hAnsi="Times New Roman" w:eastAsia="宋体" w:cs="Times New Roman"/>
          <w:b/>
          <w:bCs/>
        </w:rPr>
        <w:t>公司周边水环境</w:t>
      </w:r>
      <w:r>
        <w:rPr>
          <w:rFonts w:hint="eastAsia" w:eastAsia="宋体" w:cs="Times New Roman"/>
          <w:b/>
          <w:bCs/>
          <w:lang w:val="en-US" w:eastAsia="zh-CN"/>
        </w:rPr>
        <w:t>风险受体</w:t>
      </w:r>
      <w:r>
        <w:rPr>
          <w:rFonts w:hint="default" w:ascii="Times New Roman" w:hAnsi="Times New Roman" w:eastAsia="宋体" w:cs="Times New Roman"/>
          <w:b/>
          <w:bCs/>
        </w:rPr>
        <w:t>（</w:t>
      </w:r>
      <w:r>
        <w:rPr>
          <w:rFonts w:hint="default" w:ascii="Times New Roman" w:hAnsi="Times New Roman" w:eastAsia="宋体" w:cs="Times New Roman"/>
          <w:b/>
          <w:bCs/>
          <w:lang w:val="en-US"/>
        </w:rPr>
        <w:t>10</w:t>
      </w:r>
      <w:r>
        <w:rPr>
          <w:rFonts w:hint="default" w:ascii="Times New Roman" w:hAnsi="Times New Roman" w:eastAsia="宋体" w:cs="Times New Roman"/>
          <w:b/>
          <w:bCs/>
        </w:rPr>
        <w:t>公里）</w:t>
      </w:r>
    </w:p>
    <w:tbl>
      <w:tblPr>
        <w:tblStyle w:val="37"/>
        <w:tblW w:w="527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511"/>
        <w:gridCol w:w="755"/>
        <w:gridCol w:w="1064"/>
        <w:gridCol w:w="590"/>
        <w:gridCol w:w="3784"/>
      </w:tblGrid>
      <w:tr w14:paraId="542528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81" w:hRule="atLeast"/>
          <w:tblHeader/>
          <w:jc w:val="center"/>
        </w:trPr>
        <w:tc>
          <w:tcPr>
            <w:tcW w:w="1808" w:type="pct"/>
            <w:tcBorders>
              <w:tl2br w:val="nil"/>
              <w:tr2bl w:val="nil"/>
            </w:tcBorders>
            <w:vAlign w:val="center"/>
          </w:tcPr>
          <w:p w14:paraId="22619FAF">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水环境敏感目标</w:t>
            </w:r>
          </w:p>
        </w:tc>
        <w:tc>
          <w:tcPr>
            <w:tcW w:w="389" w:type="pct"/>
            <w:tcBorders>
              <w:tl2br w:val="nil"/>
              <w:tr2bl w:val="nil"/>
            </w:tcBorders>
            <w:vAlign w:val="center"/>
          </w:tcPr>
          <w:p w14:paraId="6AF051D6">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方位</w:t>
            </w:r>
          </w:p>
        </w:tc>
        <w:tc>
          <w:tcPr>
            <w:tcW w:w="548" w:type="pct"/>
            <w:tcBorders>
              <w:tl2br w:val="nil"/>
              <w:tr2bl w:val="nil"/>
            </w:tcBorders>
            <w:vAlign w:val="center"/>
          </w:tcPr>
          <w:p w14:paraId="694D6DC9">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距离（m）</w:t>
            </w:r>
          </w:p>
        </w:tc>
        <w:tc>
          <w:tcPr>
            <w:tcW w:w="304" w:type="pct"/>
            <w:tcBorders>
              <w:tl2br w:val="nil"/>
              <w:tr2bl w:val="nil"/>
            </w:tcBorders>
            <w:vAlign w:val="center"/>
          </w:tcPr>
          <w:p w14:paraId="1F80EB1B">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规模</w:t>
            </w:r>
          </w:p>
        </w:tc>
        <w:tc>
          <w:tcPr>
            <w:tcW w:w="1948" w:type="pct"/>
            <w:tcBorders>
              <w:tl2br w:val="nil"/>
              <w:tr2bl w:val="nil"/>
            </w:tcBorders>
            <w:vAlign w:val="center"/>
          </w:tcPr>
          <w:p w14:paraId="6A0E93AE">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环境功能</w:t>
            </w:r>
          </w:p>
        </w:tc>
      </w:tr>
      <w:tr w14:paraId="234430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vAlign w:val="center"/>
          </w:tcPr>
          <w:p w14:paraId="13244425">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洋蛮河</w:t>
            </w:r>
          </w:p>
        </w:tc>
        <w:tc>
          <w:tcPr>
            <w:tcW w:w="389" w:type="pct"/>
            <w:vAlign w:val="center"/>
          </w:tcPr>
          <w:p w14:paraId="5D4D4306">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w w:val="100"/>
                <w:sz w:val="21"/>
                <w:szCs w:val="21"/>
                <w:highlight w:val="none"/>
                <w:lang w:val="en-US" w:eastAsia="zh-CN"/>
              </w:rPr>
              <w:t>E</w:t>
            </w:r>
          </w:p>
        </w:tc>
        <w:tc>
          <w:tcPr>
            <w:tcW w:w="548" w:type="pct"/>
            <w:vAlign w:val="center"/>
          </w:tcPr>
          <w:p w14:paraId="18E0040E">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834</w:t>
            </w:r>
          </w:p>
        </w:tc>
        <w:tc>
          <w:tcPr>
            <w:tcW w:w="304" w:type="pct"/>
            <w:vAlign w:val="center"/>
          </w:tcPr>
          <w:p w14:paraId="0BA881E9">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8" w:type="pct"/>
            <w:vMerge w:val="restart"/>
            <w:vAlign w:val="center"/>
          </w:tcPr>
          <w:p w14:paraId="010586D1">
            <w:pPr>
              <w:tabs>
                <w:tab w:val="left" w:pos="1021"/>
              </w:tabs>
              <w:adjustRightInd w:val="0"/>
              <w:snapToGrid w:val="0"/>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《地表水环境质量标准》（GB3838-2002）中</w:t>
            </w:r>
            <w:r>
              <w:rPr>
                <w:rFonts w:hint="default" w:ascii="Times New Roman" w:hAnsi="Times New Roman" w:cs="Times New Roman"/>
                <w:szCs w:val="21"/>
                <w:lang w:val="en-US"/>
              </w:rPr>
              <w:t>Ⅲ</w:t>
            </w:r>
            <w:r>
              <w:rPr>
                <w:rFonts w:hint="default" w:ascii="Times New Roman" w:hAnsi="Times New Roman" w:eastAsia="宋体" w:cs="Times New Roman"/>
                <w:bCs/>
                <w:sz w:val="21"/>
                <w:szCs w:val="21"/>
                <w:highlight w:val="none"/>
              </w:rPr>
              <w:t>类标准</w:t>
            </w:r>
          </w:p>
        </w:tc>
      </w:tr>
      <w:tr w14:paraId="7DE419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vAlign w:val="center"/>
          </w:tcPr>
          <w:p w14:paraId="43338972">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私盐河</w:t>
            </w:r>
          </w:p>
        </w:tc>
        <w:tc>
          <w:tcPr>
            <w:tcW w:w="389" w:type="pct"/>
            <w:vAlign w:val="center"/>
          </w:tcPr>
          <w:p w14:paraId="2CBE1AD3">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w w:val="100"/>
                <w:sz w:val="21"/>
                <w:szCs w:val="21"/>
                <w:highlight w:val="none"/>
                <w:lang w:val="en-US" w:eastAsia="zh-CN"/>
              </w:rPr>
              <w:t>S</w:t>
            </w:r>
          </w:p>
        </w:tc>
        <w:tc>
          <w:tcPr>
            <w:tcW w:w="548" w:type="pct"/>
            <w:vAlign w:val="center"/>
          </w:tcPr>
          <w:p w14:paraId="713877D6">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804</w:t>
            </w:r>
          </w:p>
        </w:tc>
        <w:tc>
          <w:tcPr>
            <w:tcW w:w="304" w:type="pct"/>
            <w:vAlign w:val="center"/>
          </w:tcPr>
          <w:p w14:paraId="12E45671">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8" w:type="pct"/>
            <w:vMerge w:val="continue"/>
            <w:vAlign w:val="center"/>
          </w:tcPr>
          <w:p w14:paraId="6D1134B2">
            <w:pPr>
              <w:adjustRightInd w:val="0"/>
              <w:snapToGrid w:val="0"/>
              <w:jc w:val="center"/>
              <w:textAlignment w:val="baseline"/>
              <w:rPr>
                <w:rFonts w:hint="default" w:ascii="Times New Roman" w:hAnsi="Times New Roman" w:eastAsia="宋体" w:cs="Times New Roman"/>
                <w:sz w:val="21"/>
                <w:szCs w:val="21"/>
                <w:highlight w:val="none"/>
              </w:rPr>
            </w:pPr>
          </w:p>
        </w:tc>
      </w:tr>
      <w:tr w14:paraId="3835D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vAlign w:val="center"/>
          </w:tcPr>
          <w:p w14:paraId="6A876EA5">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栟茶运河</w:t>
            </w:r>
          </w:p>
        </w:tc>
        <w:tc>
          <w:tcPr>
            <w:tcW w:w="389" w:type="pct"/>
            <w:vAlign w:val="center"/>
          </w:tcPr>
          <w:p w14:paraId="2A8C95B8">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w w:val="100"/>
                <w:sz w:val="21"/>
                <w:szCs w:val="21"/>
                <w:highlight w:val="none"/>
                <w:lang w:val="en-US" w:eastAsia="zh-CN"/>
              </w:rPr>
              <w:t>S</w:t>
            </w:r>
          </w:p>
        </w:tc>
        <w:tc>
          <w:tcPr>
            <w:tcW w:w="548" w:type="pct"/>
            <w:vAlign w:val="center"/>
          </w:tcPr>
          <w:p w14:paraId="4EF4466C">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5054</w:t>
            </w:r>
          </w:p>
        </w:tc>
        <w:tc>
          <w:tcPr>
            <w:tcW w:w="304" w:type="pct"/>
            <w:vAlign w:val="center"/>
          </w:tcPr>
          <w:p w14:paraId="29448574">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8" w:type="pct"/>
            <w:vMerge w:val="continue"/>
            <w:vAlign w:val="center"/>
          </w:tcPr>
          <w:p w14:paraId="1FB2ED05">
            <w:pPr>
              <w:adjustRightInd w:val="0"/>
              <w:snapToGrid w:val="0"/>
              <w:jc w:val="center"/>
              <w:textAlignment w:val="baseline"/>
              <w:rPr>
                <w:rFonts w:hint="default" w:ascii="Times New Roman" w:hAnsi="Times New Roman" w:eastAsia="宋体" w:cs="Times New Roman"/>
                <w:sz w:val="21"/>
                <w:szCs w:val="21"/>
                <w:highlight w:val="none"/>
              </w:rPr>
            </w:pPr>
          </w:p>
        </w:tc>
      </w:tr>
      <w:tr w14:paraId="4BFA85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8" w:type="pct"/>
            <w:tcBorders>
              <w:bottom w:val="single" w:color="auto" w:sz="12" w:space="0"/>
            </w:tcBorders>
            <w:vAlign w:val="center"/>
          </w:tcPr>
          <w:p w14:paraId="60E5951B">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北凌河</w:t>
            </w:r>
          </w:p>
        </w:tc>
        <w:tc>
          <w:tcPr>
            <w:tcW w:w="389" w:type="pct"/>
            <w:tcBorders>
              <w:bottom w:val="single" w:color="auto" w:sz="12" w:space="0"/>
            </w:tcBorders>
            <w:vAlign w:val="center"/>
          </w:tcPr>
          <w:p w14:paraId="6BADFA89">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N</w:t>
            </w:r>
          </w:p>
        </w:tc>
        <w:tc>
          <w:tcPr>
            <w:tcW w:w="548" w:type="pct"/>
            <w:tcBorders>
              <w:bottom w:val="single" w:color="auto" w:sz="12" w:space="0"/>
            </w:tcBorders>
            <w:vAlign w:val="center"/>
          </w:tcPr>
          <w:p w14:paraId="63BD7AD5">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2955</w:t>
            </w:r>
          </w:p>
        </w:tc>
        <w:tc>
          <w:tcPr>
            <w:tcW w:w="304" w:type="pct"/>
            <w:tcBorders>
              <w:bottom w:val="single" w:color="auto" w:sz="12" w:space="0"/>
            </w:tcBorders>
            <w:vAlign w:val="center"/>
          </w:tcPr>
          <w:p w14:paraId="3BE02686">
            <w:pPr>
              <w:adjustRightInd w:val="0"/>
              <w:snapToGrid w:val="0"/>
              <w:jc w:val="center"/>
              <w:textAlignment w:val="baseline"/>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小河</w:t>
            </w:r>
          </w:p>
        </w:tc>
        <w:tc>
          <w:tcPr>
            <w:tcW w:w="1948" w:type="pct"/>
            <w:vMerge w:val="continue"/>
            <w:tcBorders>
              <w:bottom w:val="single" w:color="auto" w:sz="12" w:space="0"/>
            </w:tcBorders>
            <w:vAlign w:val="center"/>
          </w:tcPr>
          <w:p w14:paraId="4F48A595">
            <w:pPr>
              <w:adjustRightInd w:val="0"/>
              <w:snapToGrid w:val="0"/>
              <w:jc w:val="center"/>
              <w:textAlignment w:val="baseline"/>
              <w:rPr>
                <w:rFonts w:hint="default" w:ascii="Times New Roman" w:hAnsi="Times New Roman" w:eastAsia="宋体" w:cs="Times New Roman"/>
                <w:sz w:val="21"/>
                <w:szCs w:val="21"/>
                <w:highlight w:val="none"/>
              </w:rPr>
            </w:pPr>
          </w:p>
        </w:tc>
      </w:tr>
    </w:tbl>
    <w:p w14:paraId="605285A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eastAsia" w:eastAsia="宋体" w:cs="Times New Roman"/>
          <w:b/>
          <w:bCs/>
          <w:color w:val="000000" w:themeColor="text1"/>
          <w:lang w:val="en-US" w:eastAsia="zh-CN"/>
          <w14:textFill>
            <w14:solidFill>
              <w14:schemeClr w14:val="tx1"/>
            </w14:solidFill>
          </w14:textFill>
        </w:rPr>
        <w:t>3.2.2.2</w:t>
      </w:r>
      <w:r>
        <w:rPr>
          <w:rFonts w:hint="default" w:ascii="Times New Roman" w:hAnsi="Times New Roman" w:eastAsia="宋体" w:cs="Times New Roman"/>
          <w:b/>
          <w:bCs/>
          <w:color w:val="000000" w:themeColor="text1"/>
          <w14:textFill>
            <w14:solidFill>
              <w14:schemeClr w14:val="tx1"/>
            </w14:solidFill>
          </w14:textFill>
        </w:rPr>
        <w:t>地下水环境</w:t>
      </w:r>
    </w:p>
    <w:p w14:paraId="30EE42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根据海安市地质资料，公司所在地岩土层厚度大于1米，渗透系数10</w:t>
      </w:r>
      <w:r>
        <w:rPr>
          <w:rFonts w:hint="default" w:ascii="Times New Roman" w:hAnsi="Times New Roman" w:eastAsia="宋体" w:cs="Times New Roman"/>
          <w:color w:val="000000" w:themeColor="text1"/>
          <w:vertAlign w:val="superscript"/>
          <w14:textFill>
            <w14:solidFill>
              <w14:schemeClr w14:val="tx1"/>
            </w14:solidFill>
          </w14:textFill>
        </w:rPr>
        <w:t>-7</w:t>
      </w:r>
      <w:r>
        <w:rPr>
          <w:rFonts w:hint="default" w:ascii="Times New Roman" w:hAnsi="Times New Roman" w:eastAsia="宋体" w:cs="Times New Roman"/>
          <w:color w:val="000000" w:themeColor="text1"/>
          <w14:textFill>
            <w14:solidFill>
              <w14:schemeClr w14:val="tx1"/>
            </w14:solidFill>
          </w14:textFill>
        </w:rPr>
        <w:t>﹤K≤10</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vertAlign w:val="superscript"/>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cm/s，包气带防污性能中等，含水层易污染程度中等，公司所在区域不属于生活供水水源地准保护区，不属于热水、矿泉水、温泉等特殊地下水源保护区，也不属于补给径流区，同时公司占地为规划的工业用地，场地内无分散居民饮用水源</w:t>
      </w:r>
      <w:r>
        <w:rPr>
          <w:rFonts w:hint="eastAsia" w:eastAsia="宋体" w:cs="Times New Roman"/>
          <w:color w:val="000000" w:themeColor="text1"/>
          <w:lang w:eastAsia="zh-CN"/>
          <w14:textFill>
            <w14:solidFill>
              <w14:schemeClr w14:val="tx1"/>
            </w14:solidFill>
          </w14:textFill>
        </w:rPr>
        <w:t>等其他</w:t>
      </w:r>
      <w:r>
        <w:rPr>
          <w:rFonts w:hint="default" w:ascii="Times New Roman" w:hAnsi="Times New Roman" w:eastAsia="宋体" w:cs="Times New Roman"/>
          <w:color w:val="000000" w:themeColor="text1"/>
          <w14:textFill>
            <w14:solidFill>
              <w14:schemeClr w14:val="tx1"/>
            </w14:solidFill>
          </w14:textFill>
        </w:rPr>
        <w:t>环境敏感区，周边居民饮用水来自市政自来水管网。</w:t>
      </w:r>
    </w:p>
    <w:p w14:paraId="7EEDFE9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outlineLvl w:val="2"/>
        <w:rPr>
          <w:rFonts w:hint="default" w:ascii="Times New Roman" w:hAnsi="Times New Roman" w:eastAsia="宋体" w:cs="Times New Roman"/>
          <w:b/>
          <w:bCs/>
          <w:color w:val="000000" w:themeColor="text1"/>
          <w14:textFill>
            <w14:solidFill>
              <w14:schemeClr w14:val="tx1"/>
            </w14:solidFill>
          </w14:textFill>
        </w:rPr>
      </w:pPr>
      <w:bookmarkStart w:id="68" w:name="3.2.4生态环境保护目标"/>
      <w:bookmarkEnd w:id="68"/>
      <w:bookmarkStart w:id="69" w:name="3.2.4生态环境保护目标"/>
      <w:bookmarkEnd w:id="69"/>
      <w:bookmarkStart w:id="70" w:name="_Toc21141"/>
      <w:bookmarkStart w:id="71" w:name="_Toc30336"/>
      <w:r>
        <w:rPr>
          <w:rFonts w:hint="eastAsia" w:eastAsia="宋体" w:cs="Times New Roman"/>
          <w:b/>
          <w:bCs/>
          <w:color w:val="000000" w:themeColor="text1"/>
          <w:lang w:val="en-US" w:eastAsia="zh-CN"/>
          <w14:textFill>
            <w14:solidFill>
              <w14:schemeClr w14:val="tx1"/>
            </w14:solidFill>
          </w14:textFill>
        </w:rPr>
        <w:t>3.2.3</w:t>
      </w:r>
      <w:r>
        <w:rPr>
          <w:rFonts w:hint="default" w:ascii="Times New Roman" w:hAnsi="Times New Roman" w:eastAsia="宋体" w:cs="Times New Roman"/>
          <w:b/>
          <w:bCs/>
          <w:color w:val="000000" w:themeColor="text1"/>
          <w14:textFill>
            <w14:solidFill>
              <w14:schemeClr w14:val="tx1"/>
            </w14:solidFill>
          </w14:textFill>
        </w:rPr>
        <w:t>生态环境保护目标</w:t>
      </w:r>
      <w:bookmarkEnd w:id="70"/>
      <w:bookmarkEnd w:id="71"/>
    </w:p>
    <w:p w14:paraId="1334A3E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①生态保护红线</w:t>
      </w:r>
    </w:p>
    <w:p w14:paraId="2ABD0A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江苏省生态红线区域保护规划是在原《江苏省重要生态功能保护区区域规划》基础上，按照“保护为主、应保尽保，科学评估、合理布局，分级管控、强化措施”的思路和原则，全省共划定十五类（自然保护区、风景名胜区、森林公园、地质遗迹保护区、湿地公园、饮用水水源保护区、海洋特别保护区、洪水调蓄区、重要水源涵养区、重要渔业水域、重要湿地、清水通道维护区、生态公益林、太湖重要保护区、特殊物种保护区）生态红线区域。生态红线区域的划定，是我省生态文明建设的基础性工作，是在主体功能区规划指导下实施生态空间保护和管控的细化，也是贯彻节约优先，保护优先，自然恢复为主方针的具体化，对于妥善处理保护与发展的关系，从根本上预防和控制各种不合理的开发建设活动对生态功能的破坏，构建生态安全格局，推动科学发展具有重要作用。</w:t>
      </w:r>
    </w:p>
    <w:p w14:paraId="015C9C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根据《省政府关于印发江苏省国家级生态保护红线规划的通知》（苏政发</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2018</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74号），距本项目最近的江苏省国家级生态红线保护区域为西侧</w:t>
      </w:r>
      <w:r>
        <w:rPr>
          <w:rFonts w:hint="eastAsia" w:eastAsia="宋体" w:cs="Times New Roman"/>
          <w:color w:val="000000" w:themeColor="text1"/>
          <w:lang w:val="en-US" w:eastAsia="zh-CN"/>
          <w14:textFill>
            <w14:solidFill>
              <w14:schemeClr w14:val="tx1"/>
            </w14:solidFill>
          </w14:textFill>
        </w:rPr>
        <w:t>4.4</w:t>
      </w:r>
      <w:r>
        <w:rPr>
          <w:rFonts w:hint="default" w:ascii="Times New Roman" w:hAnsi="Times New Roman" w:eastAsia="宋体" w:cs="Times New Roman"/>
          <w:color w:val="000000" w:themeColor="text1"/>
          <w:lang w:val="en-US" w:eastAsia="zh-CN"/>
          <w14:textFill>
            <w14:solidFill>
              <w14:schemeClr w14:val="tx1"/>
            </w14:solidFill>
          </w14:textFill>
        </w:rPr>
        <w:t>km的新通扬</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通榆运河清水通道维护区，本项目不在管控区范围内，满足江苏省生态红线区域保护规划要求。</w:t>
      </w:r>
    </w:p>
    <w:p w14:paraId="38D883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江苏省通榆河水污染防治条例》通榆河实行分级保护，划分为三级保护区。通榆河及其两侧各一公里、主要供水河道及其两侧各一公里区域为通榆河一级保护区；新沂河南偏泓、盐河和斗龙港、新洋港、黄沙港、射阳河、车路河、沂南小河、沭新河等与通榆河平交的主要河道上溯五公里以及沿岸两侧各一公里区域为通榆河二级保护区；其他与通榆河平交的河道上溯五公里以及沿岸两侧各一公里区域为通榆河三级保护区。</w:t>
      </w:r>
    </w:p>
    <w:p w14:paraId="56EE82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本项目不在通榆河一级、二级、三级保护区内，因此本项目的建设符合《江苏省通榆河水污染防治条例》。</w:t>
      </w:r>
    </w:p>
    <w:p w14:paraId="3FE92C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②符合产业政策</w:t>
      </w:r>
    </w:p>
    <w:p w14:paraId="4CD8A0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建设项目</w:t>
      </w:r>
      <w:r>
        <w:rPr>
          <w:rFonts w:hint="eastAsia" w:eastAsia="宋体" w:cs="Times New Roman"/>
          <w:color w:val="000000" w:themeColor="text1"/>
          <w:lang w:eastAsia="zh-CN"/>
          <w14:textFill>
            <w14:solidFill>
              <w14:schemeClr w14:val="tx1"/>
            </w14:solidFill>
          </w14:textFill>
        </w:rPr>
        <w:t>属于</w:t>
      </w:r>
      <w:r>
        <w:rPr>
          <w:rFonts w:hint="default" w:ascii="Times New Roman" w:hAnsi="Times New Roman" w:eastAsia="宋体" w:cs="Times New Roman"/>
          <w:color w:val="000000" w:themeColor="text1"/>
          <w:lang w:val="en-US" w:eastAsia="zh-CN"/>
          <w14:textFill>
            <w14:solidFill>
              <w14:schemeClr w14:val="tx1"/>
            </w14:solidFill>
          </w14:textFill>
        </w:rPr>
        <w:t>[C2110]</w:t>
      </w:r>
      <w:r>
        <w:rPr>
          <w:rFonts w:hint="eastAsia" w:eastAsia="宋体" w:cs="Times New Roman"/>
          <w:color w:val="000000" w:themeColor="text1"/>
          <w:lang w:val="en-US" w:eastAsia="zh-CN"/>
          <w14:textFill>
            <w14:solidFill>
              <w14:schemeClr w14:val="tx1"/>
            </w14:solidFill>
          </w14:textFill>
        </w:rPr>
        <w:t>木制家具</w:t>
      </w:r>
      <w:r>
        <w:rPr>
          <w:rFonts w:hint="default" w:ascii="Times New Roman" w:hAnsi="Times New Roman" w:eastAsia="宋体" w:cs="Times New Roman"/>
          <w:color w:val="000000" w:themeColor="text1"/>
          <w:lang w:val="en-US" w:eastAsia="zh-CN"/>
          <w14:textFill>
            <w14:solidFill>
              <w14:schemeClr w14:val="tx1"/>
            </w14:solidFill>
          </w14:textFill>
        </w:rPr>
        <w:t>制造</w:t>
      </w:r>
      <w:r>
        <w:rPr>
          <w:rFonts w:hint="default" w:ascii="Times New Roman" w:hAnsi="Times New Roman" w:eastAsia="宋体" w:cs="Times New Roman"/>
          <w:color w:val="000000" w:themeColor="text1"/>
          <w14:textFill>
            <w14:solidFill>
              <w14:schemeClr w14:val="tx1"/>
            </w14:solidFill>
          </w14:textFill>
        </w:rPr>
        <w:t>，对照《产业结构调整指导目录（201</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年本）》及《江苏省工业和信息产业结构调整指导目录（2012年本）》修正版，本项目不属于其中规定的限制类或淘汰类项目。建设项目不属于《禁止用地项目目录（2012年本）》及《限制用地项目目录（2012年本）》中淘汰和限制项目。</w:t>
      </w:r>
    </w:p>
    <w:p w14:paraId="66E07C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因此，本项目符合国家和地方产业政策。</w:t>
      </w:r>
    </w:p>
    <w:p w14:paraId="65C56FB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③</w:t>
      </w:r>
      <w:r>
        <w:rPr>
          <w:rFonts w:hint="default" w:ascii="Times New Roman" w:hAnsi="Times New Roman" w:eastAsia="宋体" w:cs="Times New Roman"/>
          <w:color w:val="000000" w:themeColor="text1"/>
          <w14:textFill>
            <w14:solidFill>
              <w14:schemeClr w14:val="tx1"/>
            </w14:solidFill>
          </w14:textFill>
        </w:rPr>
        <w:t>环保措施及达标排放</w:t>
      </w:r>
    </w:p>
    <w:p w14:paraId="678934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废水：</w:t>
      </w:r>
      <w:r>
        <w:rPr>
          <w:rFonts w:hint="default" w:ascii="Times New Roman" w:hAnsi="Times New Roman" w:eastAsia="宋体" w:cs="Times New Roman"/>
          <w:color w:val="000000" w:themeColor="text1"/>
          <w:lang w:val="en-US" w:eastAsia="zh-CN"/>
          <w14:textFill>
            <w14:solidFill>
              <w14:schemeClr w14:val="tx1"/>
            </w14:solidFill>
          </w14:textFill>
        </w:rPr>
        <w:t>建设项目</w:t>
      </w:r>
      <w:r>
        <w:rPr>
          <w:rFonts w:hint="eastAsia" w:eastAsia="宋体" w:cs="Times New Roman"/>
          <w:color w:val="000000" w:themeColor="text1"/>
          <w:lang w:val="en-US" w:eastAsia="zh-CN"/>
          <w14:textFill>
            <w14:solidFill>
              <w14:schemeClr w14:val="tx1"/>
            </w14:solidFill>
          </w14:textFill>
        </w:rPr>
        <w:t>产生的废水主要为生活污水</w:t>
      </w:r>
      <w:r>
        <w:rPr>
          <w:rFonts w:hint="default" w:ascii="Times New Roman" w:hAnsi="Times New Roman" w:eastAsia="宋体" w:cs="Times New Roman"/>
          <w:color w:val="000000" w:themeColor="text1"/>
          <w:lang w:val="en-US" w:eastAsia="zh-CN"/>
          <w14:textFill>
            <w14:solidFill>
              <w14:schemeClr w14:val="tx1"/>
            </w14:solidFill>
          </w14:textFill>
        </w:rPr>
        <w:t>。生活污水经化粪池处理后接管</w:t>
      </w:r>
      <w:r>
        <w:rPr>
          <w:rFonts w:hint="eastAsia" w:eastAsia="宋体" w:cs="Times New Roman"/>
          <w:color w:val="000000" w:themeColor="text1"/>
          <w:lang w:val="en-US" w:eastAsia="zh-CN"/>
          <w14:textFill>
            <w14:solidFill>
              <w14:schemeClr w14:val="tx1"/>
            </w14:solidFill>
          </w14:textFill>
        </w:rPr>
        <w:t>海安惠泽净水有限公司；</w:t>
      </w:r>
      <w:r>
        <w:rPr>
          <w:rFonts w:hint="eastAsia" w:ascii="Times New Roman" w:hAnsi="Times New Roman" w:cs="Times New Roman" w:eastAsiaTheme="minorEastAsia"/>
          <w:color w:val="auto"/>
          <w:sz w:val="24"/>
          <w:szCs w:val="24"/>
          <w:highlight w:val="none"/>
          <w:lang w:val="en-US" w:eastAsia="zh-CN"/>
        </w:rPr>
        <w:t>水帘废水经物化处理后全部回用于水帘用水、喷枪清洗废水及废气处理冷凝水全部回用于水帘补水，不外排</w:t>
      </w:r>
      <w:r>
        <w:rPr>
          <w:rFonts w:hint="eastAsia" w:eastAsia="宋体" w:cs="Times New Roman"/>
          <w:color w:val="000000" w:themeColor="text1"/>
          <w:lang w:val="en-US" w:eastAsia="zh-CN"/>
          <w14:textFill>
            <w14:solidFill>
              <w14:schemeClr w14:val="tx1"/>
            </w14:solidFill>
          </w14:textFill>
        </w:rPr>
        <w:t>。</w:t>
      </w:r>
    </w:p>
    <w:p w14:paraId="6EF3EE2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废气：</w:t>
      </w:r>
      <w:r>
        <w:rPr>
          <w:rFonts w:hint="default" w:eastAsia="宋体"/>
          <w:color w:val="000000" w:themeColor="text1"/>
          <w:sz w:val="24"/>
          <w:szCs w:val="24"/>
          <w14:textFill>
            <w14:solidFill>
              <w14:schemeClr w14:val="tx1"/>
            </w14:solidFill>
          </w14:textFill>
        </w:rPr>
        <w:t>中央集尘系统20m高排气筒</w:t>
      </w:r>
      <w:r>
        <w:rPr>
          <w:rFonts w:hint="eastAsia" w:eastAsia="宋体"/>
          <w:color w:val="000000" w:themeColor="text1"/>
          <w:sz w:val="24"/>
          <w:szCs w:val="24"/>
          <w:lang w:val="en-US" w:eastAsia="zh-CN"/>
          <w14:textFill>
            <w14:solidFill>
              <w14:schemeClr w14:val="tx1"/>
            </w14:solidFill>
          </w14:textFill>
        </w:rPr>
        <w:t>1</w:t>
      </w:r>
      <w:r>
        <w:rPr>
          <w:rFonts w:hint="default" w:eastAsia="宋体"/>
          <w:color w:val="000000" w:themeColor="text1"/>
          <w:sz w:val="24"/>
          <w:szCs w:val="24"/>
          <w14:textFill>
            <w14:solidFill>
              <w14:schemeClr w14:val="tx1"/>
            </w14:solidFill>
          </w14:textFill>
        </w:rPr>
        <w:t>组，排气筒DA001</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干式除尘柜</w:t>
      </w:r>
      <w:r>
        <w:rPr>
          <w:rFonts w:hint="default" w:ascii="Times New Roman" w:hAnsi="Times New Roman" w:eastAsia="宋体" w:cs="Times New Roman"/>
          <w:color w:val="000000" w:themeColor="text1"/>
          <w:lang w:val="en-US" w:eastAsia="zh-CN"/>
          <w14:textFill>
            <w14:solidFill>
              <w14:schemeClr w14:val="tx1"/>
            </w14:solidFill>
          </w14:textFill>
        </w:rPr>
        <w:t>+20m高排气筒</w:t>
      </w:r>
      <w:r>
        <w:rPr>
          <w:rFonts w:hint="eastAsia" w:ascii="Times New Roman" w:hAnsi="Times New Roman"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lang w:val="en-US" w:eastAsia="zh-CN"/>
          <w14:textFill>
            <w14:solidFill>
              <w14:schemeClr w14:val="tx1"/>
            </w14:solidFill>
          </w14:textFill>
        </w:rPr>
        <w:t>组，排气筒DA00</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二级活性炭吸附</w:t>
      </w:r>
      <w:r>
        <w:rPr>
          <w:rFonts w:hint="default" w:ascii="Times New Roman" w:hAnsi="Times New Roman" w:eastAsia="宋体" w:cs="Times New Roman"/>
          <w:color w:val="000000" w:themeColor="text1"/>
          <w:lang w:val="en-US" w:eastAsia="zh-CN"/>
          <w14:textFill>
            <w14:solidFill>
              <w14:schemeClr w14:val="tx1"/>
            </w14:solidFill>
          </w14:textFill>
        </w:rPr>
        <w:t>+20m高排气筒</w:t>
      </w:r>
      <w:r>
        <w:rPr>
          <w:rFonts w:hint="eastAsia" w:ascii="Times New Roman" w:hAnsi="Times New Roman" w:eastAsia="宋体" w:cs="Times New Roman"/>
          <w:color w:val="000000" w:themeColor="text1"/>
          <w:lang w:val="en-US" w:eastAsia="zh-CN"/>
          <w14:textFill>
            <w14:solidFill>
              <w14:schemeClr w14:val="tx1"/>
            </w14:solidFill>
          </w14:textFill>
        </w:rPr>
        <w:t>1</w:t>
      </w:r>
      <w:r>
        <w:rPr>
          <w:rFonts w:hint="default" w:ascii="Times New Roman" w:hAnsi="Times New Roman" w:eastAsia="宋体" w:cs="Times New Roman"/>
          <w:color w:val="000000" w:themeColor="text1"/>
          <w:lang w:val="en-US" w:eastAsia="zh-CN"/>
          <w14:textFill>
            <w14:solidFill>
              <w14:schemeClr w14:val="tx1"/>
            </w14:solidFill>
          </w14:textFill>
        </w:rPr>
        <w:t>组，排气筒DA00</w:t>
      </w:r>
      <w:r>
        <w:rPr>
          <w:rFonts w:hint="eastAsia" w:ascii="Times New Roman" w:hAnsi="Times New Roman" w:eastAsia="宋体" w:cs="Times New Roman"/>
          <w:color w:val="000000" w:themeColor="text1"/>
          <w:lang w:val="en-US" w:eastAsia="zh-CN"/>
          <w14:textFill>
            <w14:solidFill>
              <w14:schemeClr w14:val="tx1"/>
            </w14:solidFill>
          </w14:textFill>
        </w:rPr>
        <w:t>3。</w:t>
      </w:r>
    </w:p>
    <w:p w14:paraId="50F60B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噪声：</w:t>
      </w:r>
      <w:r>
        <w:rPr>
          <w:rFonts w:hint="default" w:ascii="Times New Roman" w:hAnsi="Times New Roman" w:eastAsia="宋体" w:cs="Times New Roman"/>
          <w:color w:val="000000" w:themeColor="text1"/>
          <w:lang w:val="en-US" w:eastAsia="zh-CN"/>
          <w14:textFill>
            <w14:solidFill>
              <w14:schemeClr w14:val="tx1"/>
            </w14:solidFill>
          </w14:textFill>
        </w:rPr>
        <w:t>建设项目主要噪声源为砂光机、铣床、压刨床等设备，其噪声源强约80~90dB(A)。建设单位主要噪声防治措施如下：</w:t>
      </w:r>
    </w:p>
    <w:p w14:paraId="6A4329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a</w:t>
      </w:r>
      <w:r>
        <w:rPr>
          <w:rFonts w:hint="default" w:ascii="Times New Roman" w:hAnsi="Times New Roman" w:eastAsia="宋体" w:cs="Times New Roman"/>
          <w:color w:val="000000" w:themeColor="text1"/>
          <w:lang w:val="en-US" w:eastAsia="zh-CN"/>
          <w14:textFill>
            <w14:solidFill>
              <w14:schemeClr w14:val="tx1"/>
            </w14:solidFill>
          </w14:textFill>
        </w:rPr>
        <w:t>设备选型时采用性能先进、高效节能、低噪设备，并加强对设备的维护管理，从源头上控制噪声的产生；</w:t>
      </w:r>
    </w:p>
    <w:p w14:paraId="36BE02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b</w:t>
      </w:r>
      <w:r>
        <w:rPr>
          <w:rFonts w:hint="default" w:ascii="Times New Roman" w:hAnsi="Times New Roman" w:eastAsia="宋体" w:cs="Times New Roman"/>
          <w:color w:val="000000" w:themeColor="text1"/>
          <w:lang w:val="en-US" w:eastAsia="zh-CN"/>
          <w14:textFill>
            <w14:solidFill>
              <w14:schemeClr w14:val="tx1"/>
            </w14:solidFill>
          </w14:textFill>
        </w:rPr>
        <w:t>合理布局，将高噪声设备设置在厂房内，并且布置在远离厂界的一侧。通过厂房隔声和距离衰减，减少对周围环境的影响。</w:t>
      </w:r>
    </w:p>
    <w:p w14:paraId="33E74C05">
      <w:pPr>
        <w:keepNext w:val="0"/>
        <w:keepLines w:val="0"/>
        <w:adjustRightInd w:val="0"/>
        <w:snapToGrid w:val="0"/>
        <w:spacing w:line="500" w:lineRule="exact"/>
        <w:ind w:firstLine="480" w:firstLineChars="200"/>
        <w:rPr>
          <w:rFonts w:hint="eastAsia" w:eastAsia="宋体" w:cs="Times New Roman"/>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c</w:t>
      </w:r>
      <w:r>
        <w:rPr>
          <w:rFonts w:hint="default" w:eastAsia="宋体" w:cs="Times New Roman"/>
          <w:color w:val="000000" w:themeColor="text1"/>
          <w:lang w:val="en-US" w:eastAsia="zh-CN"/>
          <w14:textFill>
            <w14:solidFill>
              <w14:schemeClr w14:val="tx1"/>
            </w14:solidFill>
          </w14:textFill>
        </w:rPr>
        <w:t>厂区建设绿化隔离带，对噪声进行削减，减少对厂界外声环境影响。固体废物：建设项目产生的固废主要为</w:t>
      </w:r>
      <w:r>
        <w:rPr>
          <w:rFonts w:hint="default" w:ascii="Times New Roman" w:hAnsi="Times New Roman" w:eastAsia="宋体" w:cs="Times New Roman"/>
          <w:b w:val="0"/>
          <w:bCs w:val="0"/>
          <w:color w:val="000000" w:themeColor="text1"/>
          <w:kern w:val="0"/>
          <w:sz w:val="24"/>
          <w:szCs w:val="24"/>
          <w:highlight w:val="none"/>
          <w:lang w:val="en-US" w:eastAsia="zh-CN" w:bidi="ar-SA"/>
          <w14:textFill>
            <w14:solidFill>
              <w14:schemeClr w14:val="tx1"/>
            </w14:solidFill>
          </w14:textFill>
        </w:rPr>
        <w:t>废包装桶、打磨灰渣、废纸质过滤器、漆渣、气浮渣、废辊涂刷、废刷子、胶渣、废过滤棉、废活性炭、含油废水、废劳保用品</w:t>
      </w:r>
      <w:r>
        <w:rPr>
          <w:rFonts w:hint="eastAsia" w:eastAsia="宋体" w:cs="Times New Roman"/>
          <w:color w:val="000000" w:themeColor="text1"/>
          <w:lang w:val="en-US" w:eastAsia="zh-CN"/>
          <w14:textFill>
            <w14:solidFill>
              <w14:schemeClr w14:val="tx1"/>
            </w14:solidFill>
          </w14:textFill>
        </w:rPr>
        <w:t>。</w:t>
      </w:r>
    </w:p>
    <w:p w14:paraId="424FD6FE">
      <w:pPr>
        <w:keepNext w:val="0"/>
        <w:keepLines w:val="0"/>
        <w:adjustRightInd w:val="0"/>
        <w:snapToGrid w:val="0"/>
        <w:spacing w:line="500" w:lineRule="exact"/>
        <w:ind w:firstLine="480" w:firstLineChars="200"/>
        <w:rPr>
          <w:rFonts w:hint="default"/>
          <w:lang w:val="en-US" w:eastAsia="zh-CN"/>
        </w:rPr>
      </w:pPr>
      <w:r>
        <w:rPr>
          <w:rFonts w:hint="eastAsia" w:eastAsia="宋体" w:cs="Times New Roman"/>
          <w:color w:val="000000" w:themeColor="text1"/>
          <w:lang w:val="en-US" w:eastAsia="zh-CN"/>
          <w14:textFill>
            <w14:solidFill>
              <w14:schemeClr w14:val="tx1"/>
            </w14:solidFill>
          </w14:textFill>
        </w:rPr>
        <w:t>生活垃圾由环卫清运木材边角料、软包边角料、收集尘</w:t>
      </w:r>
      <w:r>
        <w:rPr>
          <w:rFonts w:hint="default" w:eastAsia="宋体" w:cs="Times New Roman"/>
          <w:color w:val="000000" w:themeColor="text1"/>
          <w:lang w:val="en-US" w:eastAsia="zh-CN"/>
          <w14:textFill>
            <w14:solidFill>
              <w14:schemeClr w14:val="tx1"/>
            </w14:solidFill>
          </w14:textFill>
        </w:rPr>
        <w:t>、生活垃圾</w:t>
      </w:r>
      <w:r>
        <w:rPr>
          <w:rFonts w:hint="eastAsia" w:eastAsia="宋体" w:cs="Times New Roman"/>
          <w:color w:val="000000" w:themeColor="text1"/>
          <w:lang w:val="en-US" w:eastAsia="zh-CN"/>
          <w14:textFill>
            <w14:solidFill>
              <w14:schemeClr w14:val="tx1"/>
            </w14:solidFill>
          </w14:textFill>
        </w:rPr>
        <w:t>收集后外售综合利用；</w:t>
      </w:r>
      <w:r>
        <w:rPr>
          <w:rFonts w:hint="default" w:ascii="Times New Roman" w:hAnsi="Times New Roman" w:eastAsia="宋体" w:cs="Times New Roman"/>
          <w:b w:val="0"/>
          <w:bCs w:val="0"/>
          <w:color w:val="000000" w:themeColor="text1"/>
          <w:kern w:val="0"/>
          <w:sz w:val="24"/>
          <w:szCs w:val="24"/>
          <w:highlight w:val="none"/>
          <w:lang w:val="en-US" w:eastAsia="zh-CN" w:bidi="ar-SA"/>
          <w14:textFill>
            <w14:solidFill>
              <w14:schemeClr w14:val="tx1"/>
            </w14:solidFill>
          </w14:textFill>
        </w:rPr>
        <w:t>废包装桶、打磨灰渣、废纸质过滤器、漆渣、气浮渣、废辊涂刷、废刷子、胶渣、废过滤棉、废活性炭、含油废水、废劳保用品</w:t>
      </w:r>
      <w:r>
        <w:rPr>
          <w:rFonts w:hint="eastAsia" w:eastAsia="宋体" w:cs="Times New Roman"/>
          <w:color w:val="000000" w:themeColor="text1"/>
          <w:lang w:val="en-US" w:eastAsia="zh-CN"/>
          <w14:textFill>
            <w14:solidFill>
              <w14:schemeClr w14:val="tx1"/>
            </w14:solidFill>
          </w14:textFill>
        </w:rPr>
        <w:t>收集后委</w:t>
      </w:r>
      <w:r>
        <w:rPr>
          <w:rFonts w:ascii="宋体" w:hAnsi="宋体" w:eastAsia="宋体" w:cs="宋体"/>
          <w:sz w:val="24"/>
          <w:szCs w:val="24"/>
        </w:rPr>
        <w:t>托</w:t>
      </w:r>
      <w:r>
        <w:rPr>
          <w:rFonts w:hint="eastAsia" w:ascii="宋体" w:hAnsi="宋体" w:eastAsia="宋体" w:cs="宋体"/>
          <w:sz w:val="24"/>
          <w:szCs w:val="24"/>
          <w:lang w:eastAsia="zh-CN"/>
        </w:rPr>
        <w:t>海安</w:t>
      </w:r>
      <w:r>
        <w:rPr>
          <w:rFonts w:hint="eastAsia" w:ascii="宋体" w:hAnsi="宋体" w:eastAsia="宋体" w:cs="宋体"/>
          <w:sz w:val="24"/>
          <w:szCs w:val="24"/>
          <w:lang w:val="en-US" w:eastAsia="zh-CN"/>
        </w:rPr>
        <w:t>蔚蓝环保服务</w:t>
      </w:r>
      <w:r>
        <w:rPr>
          <w:rFonts w:hint="eastAsia" w:ascii="宋体" w:hAnsi="宋体" w:eastAsia="宋体" w:cs="宋体"/>
          <w:sz w:val="24"/>
          <w:szCs w:val="24"/>
          <w:lang w:eastAsia="zh-CN"/>
        </w:rPr>
        <w:t>有限公司</w:t>
      </w:r>
      <w:r>
        <w:rPr>
          <w:rFonts w:hint="eastAsia" w:eastAsia="宋体" w:cs="Times New Roman"/>
          <w:color w:val="000000" w:themeColor="text1"/>
          <w:lang w:val="en-US" w:eastAsia="zh-CN"/>
          <w14:textFill>
            <w14:solidFill>
              <w14:schemeClr w14:val="tx1"/>
            </w14:solidFill>
          </w14:textFill>
        </w:rPr>
        <w:t>处置。</w:t>
      </w:r>
    </w:p>
    <w:p w14:paraId="0D4B2E5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outlineLvl w:val="2"/>
        <w:rPr>
          <w:rFonts w:hint="default" w:ascii="Times New Roman" w:hAnsi="Times New Roman" w:eastAsia="宋体" w:cs="Times New Roman"/>
          <w:b/>
          <w:bCs/>
          <w:color w:val="000000" w:themeColor="text1"/>
          <w14:textFill>
            <w14:solidFill>
              <w14:schemeClr w14:val="tx1"/>
            </w14:solidFill>
          </w14:textFill>
        </w:rPr>
      </w:pPr>
      <w:bookmarkStart w:id="72" w:name="3.2.5土壤环境敏感度"/>
      <w:bookmarkEnd w:id="72"/>
      <w:bookmarkStart w:id="73" w:name="3.2.5土壤环境敏感度"/>
      <w:bookmarkEnd w:id="73"/>
      <w:bookmarkStart w:id="74" w:name="_Toc19141"/>
      <w:bookmarkStart w:id="75" w:name="_Toc6964"/>
      <w:r>
        <w:rPr>
          <w:rFonts w:hint="eastAsia" w:eastAsia="宋体" w:cs="Times New Roman"/>
          <w:b/>
          <w:bCs/>
          <w:color w:val="000000" w:themeColor="text1"/>
          <w:lang w:val="en-US" w:eastAsia="zh-CN"/>
          <w14:textFill>
            <w14:solidFill>
              <w14:schemeClr w14:val="tx1"/>
            </w14:solidFill>
          </w14:textFill>
        </w:rPr>
        <w:t>3.2.4</w:t>
      </w:r>
      <w:r>
        <w:rPr>
          <w:rFonts w:hint="default" w:ascii="Times New Roman" w:hAnsi="Times New Roman" w:eastAsia="宋体" w:cs="Times New Roman"/>
          <w:b/>
          <w:bCs/>
          <w:color w:val="000000" w:themeColor="text1"/>
          <w14:textFill>
            <w14:solidFill>
              <w14:schemeClr w14:val="tx1"/>
            </w14:solidFill>
          </w14:textFill>
        </w:rPr>
        <w:t>土壤环境敏感度</w:t>
      </w:r>
      <w:bookmarkEnd w:id="74"/>
      <w:bookmarkEnd w:id="75"/>
    </w:p>
    <w:p w14:paraId="327A6C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本项目位于</w:t>
      </w:r>
      <w:r>
        <w:rPr>
          <w:rFonts w:hint="eastAsia" w:eastAsia="宋体" w:cs="Times New Roman"/>
          <w:color w:val="000000" w:themeColor="text1"/>
          <w:lang w:val="en-US" w:eastAsia="zh-CN"/>
          <w14:textFill>
            <w14:solidFill>
              <w14:schemeClr w14:val="tx1"/>
            </w14:solidFill>
          </w14:textFill>
        </w:rPr>
        <w:t>海安市城东镇东部大道175号的部分厂房</w:t>
      </w:r>
      <w:r>
        <w:rPr>
          <w:rFonts w:hint="default" w:ascii="Times New Roman" w:hAnsi="Times New Roman" w:eastAsia="宋体" w:cs="Times New Roman"/>
          <w:color w:val="000000" w:themeColor="text1"/>
          <w:lang w:val="en-US" w:eastAsia="zh-CN"/>
          <w14:textFill>
            <w14:solidFill>
              <w14:schemeClr w14:val="tx1"/>
            </w14:solidFill>
          </w14:textFill>
        </w:rPr>
        <w:t>，本项目周边50m范围内无居民等敏感点，本项目属于不敏感土壤环境</w:t>
      </w:r>
      <w:r>
        <w:rPr>
          <w:rFonts w:hint="default" w:ascii="Times New Roman" w:hAnsi="Times New Roman" w:eastAsia="宋体" w:cs="Times New Roman"/>
          <w:color w:val="000000" w:themeColor="text1"/>
          <w14:textFill>
            <w14:solidFill>
              <w14:schemeClr w14:val="tx1"/>
            </w14:solidFill>
          </w14:textFill>
        </w:rPr>
        <w:t>。</w:t>
      </w:r>
    </w:p>
    <w:p w14:paraId="3F1732C6">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76" w:name="_Toc4967"/>
      <w:bookmarkStart w:id="77" w:name="_Toc32010"/>
      <w:bookmarkStart w:id="78" w:name="_Toc24977"/>
      <w:r>
        <w:rPr>
          <w:rFonts w:hint="default" w:ascii="Times New Roman" w:hAnsi="Times New Roman" w:eastAsia="宋体" w:cs="Times New Roman"/>
          <w:sz w:val="24"/>
          <w:szCs w:val="24"/>
        </w:rPr>
        <w:t>3.3风险物质识别</w:t>
      </w:r>
      <w:bookmarkEnd w:id="76"/>
      <w:bookmarkEnd w:id="77"/>
      <w:bookmarkEnd w:id="78"/>
    </w:p>
    <w:p w14:paraId="360D2D85">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79" w:name="_Toc25602"/>
      <w:bookmarkStart w:id="80" w:name="_Toc7850"/>
      <w:bookmarkStart w:id="81" w:name="_Toc12112"/>
      <w:bookmarkStart w:id="82" w:name="_Toc451631652"/>
      <w:r>
        <w:rPr>
          <w:rFonts w:hint="default" w:ascii="Times New Roman" w:hAnsi="Times New Roman" w:eastAsia="宋体" w:cs="Times New Roman"/>
          <w:sz w:val="24"/>
          <w:szCs w:val="24"/>
        </w:rPr>
        <w:t>3.3.1物质性质</w:t>
      </w:r>
      <w:bookmarkEnd w:id="79"/>
      <w:bookmarkEnd w:id="80"/>
      <w:bookmarkEnd w:id="81"/>
      <w:bookmarkEnd w:id="82"/>
    </w:p>
    <w:p w14:paraId="6E6E2C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（HJ941-2018）</w:t>
      </w:r>
      <w:r>
        <w:rPr>
          <w:rFonts w:hint="eastAsia" w:ascii="宋体" w:hAnsi="宋体" w:eastAsia="宋体" w:cs="宋体"/>
        </w:rPr>
        <w:t>》附录</w:t>
      </w:r>
      <w:r>
        <w:rPr>
          <w:rFonts w:hint="default" w:ascii="Times New Roman" w:hAnsi="Times New Roman" w:eastAsia="宋体" w:cs="Times New Roman"/>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lang w:val="en-US" w:eastAsia="zh-CN"/>
        </w:rPr>
        <w:t>-7</w:t>
      </w:r>
      <w:r>
        <w:rPr>
          <w:rFonts w:eastAsia="宋体"/>
        </w:rPr>
        <w:t>。涉环境风险物质危险特性见表3</w:t>
      </w:r>
      <w:r>
        <w:rPr>
          <w:rFonts w:hint="eastAsia" w:eastAsia="宋体"/>
          <w:lang w:val="en-US" w:eastAsia="zh-CN"/>
        </w:rPr>
        <w:t>-9</w:t>
      </w:r>
      <w:r>
        <w:rPr>
          <w:rFonts w:hint="eastAsia" w:ascii="宋体" w:hAnsi="宋体" w:eastAsia="宋体" w:cs="宋体"/>
        </w:rPr>
        <w:t>。</w:t>
      </w:r>
    </w:p>
    <w:p w14:paraId="5E5B95C5">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-7</w:t>
      </w:r>
      <w:r>
        <w:rPr>
          <w:rFonts w:eastAsiaTheme="minorEastAsia"/>
          <w:b/>
          <w:color w:val="000000" w:themeColor="text1"/>
          <w:sz w:val="24"/>
          <w:szCs w:val="24"/>
          <w14:textFill>
            <w14:solidFill>
              <w14:schemeClr w14:val="tx1"/>
            </w14:solidFill>
          </w14:textFill>
        </w:rPr>
        <w:t>公司</w:t>
      </w:r>
      <w:r>
        <w:rPr>
          <w:rFonts w:hint="eastAsia" w:eastAsiaTheme="minorEastAsia"/>
          <w:b/>
          <w:color w:val="000000" w:themeColor="text1"/>
          <w:sz w:val="24"/>
          <w:szCs w:val="24"/>
          <w14:textFill>
            <w14:solidFill>
              <w14:schemeClr w14:val="tx1"/>
            </w14:solidFill>
          </w14:textFill>
        </w:rPr>
        <w:t>生产所涉及的各类</w:t>
      </w:r>
      <w:r>
        <w:rPr>
          <w:rFonts w:eastAsiaTheme="minorEastAsia"/>
          <w:b/>
          <w:color w:val="000000" w:themeColor="text1"/>
          <w:sz w:val="24"/>
          <w:szCs w:val="24"/>
          <w14:textFill>
            <w14:solidFill>
              <w14:schemeClr w14:val="tx1"/>
            </w14:solidFill>
          </w14:textFill>
        </w:rPr>
        <w:t>物质</w:t>
      </w:r>
      <w:r>
        <w:rPr>
          <w:rFonts w:hint="eastAsia" w:eastAsiaTheme="minorEastAsia"/>
          <w:b/>
          <w:color w:val="000000" w:themeColor="text1"/>
          <w:sz w:val="24"/>
          <w:szCs w:val="24"/>
          <w14:textFill>
            <w14:solidFill>
              <w14:schemeClr w14:val="tx1"/>
            </w14:solidFill>
          </w14:textFill>
        </w:rPr>
        <w:t>统计</w:t>
      </w:r>
      <w:r>
        <w:rPr>
          <w:rFonts w:eastAsiaTheme="minorEastAsia"/>
          <w:b/>
          <w:color w:val="000000" w:themeColor="text1"/>
          <w:sz w:val="24"/>
          <w:szCs w:val="24"/>
          <w14:textFill>
            <w14:solidFill>
              <w14:schemeClr w14:val="tx1"/>
            </w14:solidFill>
          </w14:textFill>
        </w:rPr>
        <w:t>情况表</w:t>
      </w:r>
    </w:p>
    <w:tbl>
      <w:tblPr>
        <w:tblStyle w:val="37"/>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086"/>
        <w:gridCol w:w="2738"/>
        <w:gridCol w:w="1562"/>
        <w:gridCol w:w="1562"/>
        <w:gridCol w:w="762"/>
        <w:gridCol w:w="604"/>
        <w:gridCol w:w="636"/>
      </w:tblGrid>
      <w:tr w14:paraId="68A4E5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Align w:val="center"/>
          </w:tcPr>
          <w:p w14:paraId="7BD7F916">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类型</w:t>
            </w:r>
          </w:p>
        </w:tc>
        <w:tc>
          <w:tcPr>
            <w:tcW w:w="579" w:type="pct"/>
            <w:vAlign w:val="center"/>
          </w:tcPr>
          <w:p w14:paraId="597CEDAB">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物质名称</w:t>
            </w:r>
          </w:p>
        </w:tc>
        <w:tc>
          <w:tcPr>
            <w:tcW w:w="1459" w:type="pct"/>
            <w:vAlign w:val="center"/>
          </w:tcPr>
          <w:p w14:paraId="695EEA5E">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规格/成分</w:t>
            </w:r>
          </w:p>
        </w:tc>
        <w:tc>
          <w:tcPr>
            <w:tcW w:w="832" w:type="pct"/>
            <w:vAlign w:val="center"/>
          </w:tcPr>
          <w:p w14:paraId="7E0A6849">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年耗量t</w:t>
            </w:r>
          </w:p>
        </w:tc>
        <w:tc>
          <w:tcPr>
            <w:tcW w:w="832" w:type="pct"/>
            <w:vAlign w:val="center"/>
          </w:tcPr>
          <w:p w14:paraId="2CBD1764">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最大</w:t>
            </w:r>
            <w:r>
              <w:rPr>
                <w:rFonts w:hint="default" w:ascii="Times New Roman" w:hAnsi="Times New Roman" w:eastAsia="宋体" w:cs="Times New Roman"/>
                <w:b/>
                <w:bCs w:val="0"/>
                <w:color w:val="auto"/>
                <w:kern w:val="2"/>
                <w:sz w:val="21"/>
                <w:szCs w:val="21"/>
                <w:highlight w:val="none"/>
                <w:lang w:val="en-US" w:eastAsia="zh-CN" w:bidi="ar-SA"/>
              </w:rPr>
              <w:t>存在</w:t>
            </w:r>
            <w:r>
              <w:rPr>
                <w:rFonts w:hint="default" w:ascii="Times New Roman" w:hAnsi="Times New Roman" w:eastAsia="宋体" w:cs="Times New Roman"/>
                <w:b/>
                <w:bCs w:val="0"/>
                <w:color w:val="auto"/>
                <w:kern w:val="2"/>
                <w:sz w:val="21"/>
                <w:szCs w:val="21"/>
                <w:highlight w:val="none"/>
                <w:lang w:val="zh-CN" w:eastAsia="zh-CN" w:bidi="ar-SA"/>
              </w:rPr>
              <w:t>量t</w:t>
            </w:r>
          </w:p>
        </w:tc>
        <w:tc>
          <w:tcPr>
            <w:tcW w:w="406" w:type="pct"/>
            <w:vAlign w:val="center"/>
          </w:tcPr>
          <w:p w14:paraId="34FF075F">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en-US" w:eastAsia="zh-CN" w:bidi="ar-SA"/>
              </w:rPr>
              <w:t>包装</w:t>
            </w:r>
            <w:r>
              <w:rPr>
                <w:rFonts w:hint="default" w:ascii="Times New Roman" w:hAnsi="Times New Roman" w:eastAsia="宋体" w:cs="Times New Roman"/>
                <w:b/>
                <w:bCs w:val="0"/>
                <w:color w:val="auto"/>
                <w:kern w:val="2"/>
                <w:sz w:val="21"/>
                <w:szCs w:val="21"/>
                <w:highlight w:val="none"/>
                <w:lang w:val="zh-CN" w:eastAsia="zh-CN" w:bidi="ar-SA"/>
              </w:rPr>
              <w:t>方式</w:t>
            </w:r>
          </w:p>
        </w:tc>
        <w:tc>
          <w:tcPr>
            <w:tcW w:w="322" w:type="pct"/>
            <w:vAlign w:val="center"/>
          </w:tcPr>
          <w:p w14:paraId="29C2D4DE">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贮存地点</w:t>
            </w:r>
          </w:p>
        </w:tc>
        <w:tc>
          <w:tcPr>
            <w:tcW w:w="339" w:type="pct"/>
            <w:vAlign w:val="center"/>
          </w:tcPr>
          <w:p w14:paraId="11400499">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环境风险物质类型</w:t>
            </w:r>
          </w:p>
        </w:tc>
      </w:tr>
      <w:tr w14:paraId="61B3F6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restart"/>
            <w:vAlign w:val="center"/>
          </w:tcPr>
          <w:p w14:paraId="1FA4E920">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原辅材料</w:t>
            </w:r>
          </w:p>
          <w:p w14:paraId="491B9D8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p w14:paraId="0995948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1C1AC90C">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zh-CN" w:eastAsia="zh-CN"/>
              </w:rPr>
            </w:pPr>
            <w:r>
              <w:rPr>
                <w:rFonts w:hint="eastAsia" w:eastAsia="宋体" w:cs="Times New Roman"/>
                <w:color w:val="000000"/>
                <w:sz w:val="21"/>
                <w:szCs w:val="21"/>
                <w:lang w:val="en-US" w:eastAsia="zh-CN"/>
              </w:rPr>
              <w:t>实木</w:t>
            </w:r>
          </w:p>
        </w:tc>
        <w:tc>
          <w:tcPr>
            <w:tcW w:w="1459" w:type="pct"/>
            <w:shd w:val="clear" w:color="auto" w:fill="auto"/>
            <w:vAlign w:val="center"/>
          </w:tcPr>
          <w:p w14:paraId="4946BAEA">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桦木、柳木等</w:t>
            </w:r>
          </w:p>
        </w:tc>
        <w:tc>
          <w:tcPr>
            <w:tcW w:w="832" w:type="pct"/>
            <w:shd w:val="clear" w:color="auto" w:fill="auto"/>
            <w:vAlign w:val="center"/>
          </w:tcPr>
          <w:p w14:paraId="03DB949C">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3t</w:t>
            </w:r>
          </w:p>
        </w:tc>
        <w:tc>
          <w:tcPr>
            <w:tcW w:w="832" w:type="pct"/>
            <w:vAlign w:val="center"/>
          </w:tcPr>
          <w:p w14:paraId="1BDC9D4C">
            <w:pPr>
              <w:pStyle w:val="140"/>
              <w:spacing w:before="0"/>
              <w:ind w:left="0" w:right="0"/>
              <w:rPr>
                <w:rFonts w:hint="default" w:ascii="Times New Roman"/>
                <w:sz w:val="21"/>
                <w:lang w:val="en-US" w:eastAsia="zh-CN"/>
              </w:rPr>
            </w:pPr>
            <w:r>
              <w:rPr>
                <w:rFonts w:hint="eastAsia" w:ascii="Times New Roman"/>
                <w:sz w:val="21"/>
                <w:lang w:val="en-US" w:eastAsia="zh-CN"/>
              </w:rPr>
              <w:t>0.3t</w:t>
            </w:r>
          </w:p>
        </w:tc>
        <w:tc>
          <w:tcPr>
            <w:tcW w:w="406" w:type="pct"/>
            <w:vAlign w:val="center"/>
          </w:tcPr>
          <w:p w14:paraId="40E3463E">
            <w:pPr>
              <w:pStyle w:val="74"/>
              <w:adjustRightInd w:val="0"/>
              <w:snapToGrid w:val="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color w:val="auto"/>
                <w:kern w:val="2"/>
                <w:sz w:val="21"/>
              </w:rPr>
              <w:t>散装</w:t>
            </w:r>
          </w:p>
        </w:tc>
        <w:tc>
          <w:tcPr>
            <w:tcW w:w="322" w:type="pct"/>
            <w:vAlign w:val="center"/>
          </w:tcPr>
          <w:p w14:paraId="2F3671B3">
            <w:pPr>
              <w:pStyle w:val="140"/>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sz w:val="21"/>
                <w:szCs w:val="21"/>
                <w:lang w:val="en-US" w:eastAsia="zh-CN"/>
              </w:rPr>
              <w:t>原料仓库</w:t>
            </w:r>
          </w:p>
        </w:tc>
        <w:tc>
          <w:tcPr>
            <w:tcW w:w="339" w:type="pct"/>
            <w:vAlign w:val="center"/>
          </w:tcPr>
          <w:p w14:paraId="35D9874F">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19CB4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191AE67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vMerge w:val="restart"/>
            <w:shd w:val="clear" w:color="auto" w:fill="auto"/>
            <w:vAlign w:val="center"/>
          </w:tcPr>
          <w:p w14:paraId="323F9C75">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板材</w:t>
            </w:r>
          </w:p>
        </w:tc>
        <w:tc>
          <w:tcPr>
            <w:tcW w:w="1459" w:type="pct"/>
            <w:shd w:val="clear" w:color="auto" w:fill="auto"/>
            <w:vAlign w:val="center"/>
          </w:tcPr>
          <w:p w14:paraId="6159F04D">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eastAsia"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rPr>
              <w:t>2440mm×1220mm×</w:t>
            </w:r>
            <w:r>
              <w:rPr>
                <w:rFonts w:hint="eastAsia" w:eastAsia="宋体" w:cs="Times New Roman"/>
                <w:color w:val="000000"/>
                <w:sz w:val="21"/>
                <w:szCs w:val="21"/>
                <w:lang w:val="en-US" w:eastAsia="zh-CN"/>
              </w:rPr>
              <w:t>9</w:t>
            </w:r>
            <w:r>
              <w:rPr>
                <w:rFonts w:hint="default" w:ascii="Times New Roman" w:hAnsi="Times New Roman" w:eastAsia="宋体" w:cs="Times New Roman"/>
                <w:color w:val="000000"/>
                <w:sz w:val="21"/>
                <w:szCs w:val="21"/>
              </w:rPr>
              <w:t>mm</w:t>
            </w:r>
          </w:p>
        </w:tc>
        <w:tc>
          <w:tcPr>
            <w:tcW w:w="832" w:type="pct"/>
            <w:shd w:val="clear" w:color="auto" w:fill="auto"/>
            <w:vAlign w:val="center"/>
          </w:tcPr>
          <w:p w14:paraId="1EB9303B">
            <w:pPr>
              <w:keepNext w:val="0"/>
              <w:keepLines w:val="0"/>
              <w:pageBreakBefore w:val="0"/>
              <w:kinsoku/>
              <w:wordWrap/>
              <w:overflowPunct/>
              <w:topLinePunct w:val="0"/>
              <w:autoSpaceDE/>
              <w:autoSpaceDN/>
              <w:bidi w:val="0"/>
              <w:ind w:left="24" w:leftChars="10" w:right="24" w:rightChars="10"/>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500</w:t>
            </w:r>
            <w:r>
              <w:rPr>
                <w:rFonts w:hint="eastAsia" w:ascii="Times New Roman" w:hAnsi="Times New Roman" w:eastAsia="宋体" w:cs="Times New Roman"/>
                <w:color w:val="000000"/>
                <w:kern w:val="2"/>
                <w:sz w:val="21"/>
                <w:szCs w:val="21"/>
                <w:lang w:val="en-US" w:eastAsia="zh-CN" w:bidi="ar-SA"/>
              </w:rPr>
              <w:t>张</w:t>
            </w:r>
          </w:p>
        </w:tc>
        <w:tc>
          <w:tcPr>
            <w:tcW w:w="832" w:type="pct"/>
            <w:vAlign w:val="center"/>
          </w:tcPr>
          <w:p w14:paraId="2697440D">
            <w:pPr>
              <w:pStyle w:val="140"/>
              <w:spacing w:before="0"/>
              <w:ind w:left="0" w:right="0"/>
              <w:rPr>
                <w:rFonts w:hint="default" w:ascii="Times New Roman"/>
                <w:sz w:val="21"/>
                <w:lang w:val="en-US" w:eastAsia="zh-CN"/>
              </w:rPr>
            </w:pPr>
            <w:r>
              <w:rPr>
                <w:rFonts w:hint="eastAsia" w:ascii="Times New Roman"/>
                <w:sz w:val="21"/>
                <w:lang w:val="en-US" w:eastAsia="zh-CN"/>
              </w:rPr>
              <w:t>50</w:t>
            </w:r>
          </w:p>
        </w:tc>
        <w:tc>
          <w:tcPr>
            <w:tcW w:w="406" w:type="pct"/>
            <w:vMerge w:val="restart"/>
            <w:vAlign w:val="center"/>
          </w:tcPr>
          <w:p w14:paraId="626CCE57">
            <w:pPr>
              <w:adjustRightInd w:val="0"/>
              <w:snapToGrid w:val="0"/>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color w:val="auto"/>
                <w:kern w:val="2"/>
                <w:sz w:val="21"/>
              </w:rPr>
              <w:t>散装</w:t>
            </w:r>
          </w:p>
        </w:tc>
        <w:tc>
          <w:tcPr>
            <w:tcW w:w="322" w:type="pct"/>
            <w:vMerge w:val="restart"/>
            <w:vAlign w:val="center"/>
          </w:tcPr>
          <w:p w14:paraId="3698E154">
            <w:pPr>
              <w:pStyle w:val="140"/>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vMerge w:val="restart"/>
            <w:vAlign w:val="center"/>
          </w:tcPr>
          <w:p w14:paraId="617A5EA0">
            <w:pPr>
              <w:jc w:val="center"/>
              <w:rPr>
                <w:rFonts w:hint="default"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不涉及</w:t>
            </w:r>
          </w:p>
        </w:tc>
      </w:tr>
      <w:tr w14:paraId="5FCFE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05E386B8">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vMerge w:val="continue"/>
            <w:shd w:val="clear" w:color="auto" w:fill="auto"/>
            <w:vAlign w:val="center"/>
          </w:tcPr>
          <w:p w14:paraId="5FF6580A">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eastAsia" w:ascii="Times New Roman" w:hAnsi="Times New Roman" w:eastAsia="宋体" w:cs="Times New Roman"/>
                <w:color w:val="000000"/>
                <w:sz w:val="21"/>
                <w:szCs w:val="21"/>
                <w:lang w:val="en-US" w:eastAsia="zh-CN"/>
              </w:rPr>
            </w:pPr>
          </w:p>
        </w:tc>
        <w:tc>
          <w:tcPr>
            <w:tcW w:w="1459" w:type="pct"/>
            <w:shd w:val="clear" w:color="auto" w:fill="auto"/>
            <w:vAlign w:val="center"/>
          </w:tcPr>
          <w:p w14:paraId="6C82D4BE">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2440mm×1220mm×</w:t>
            </w:r>
            <w:r>
              <w:rPr>
                <w:rFonts w:hint="eastAsia" w:eastAsia="宋体" w:cs="Times New Roman"/>
                <w:color w:val="000000"/>
                <w:sz w:val="21"/>
                <w:szCs w:val="21"/>
                <w:lang w:val="en-US" w:eastAsia="zh-CN"/>
              </w:rPr>
              <w:t>12</w:t>
            </w:r>
            <w:r>
              <w:rPr>
                <w:rFonts w:hint="default" w:ascii="Times New Roman" w:hAnsi="Times New Roman" w:eastAsia="宋体" w:cs="Times New Roman"/>
                <w:color w:val="000000"/>
                <w:sz w:val="21"/>
                <w:szCs w:val="21"/>
              </w:rPr>
              <w:t>mm</w:t>
            </w:r>
          </w:p>
        </w:tc>
        <w:tc>
          <w:tcPr>
            <w:tcW w:w="832" w:type="pct"/>
            <w:shd w:val="clear" w:color="auto" w:fill="auto"/>
            <w:vAlign w:val="center"/>
          </w:tcPr>
          <w:p w14:paraId="20006923">
            <w:pPr>
              <w:keepNext w:val="0"/>
              <w:keepLines w:val="0"/>
              <w:pageBreakBefore w:val="0"/>
              <w:kinsoku/>
              <w:wordWrap/>
              <w:overflowPunct/>
              <w:topLinePunct w:val="0"/>
              <w:autoSpaceDE/>
              <w:autoSpaceDN/>
              <w:bidi w:val="0"/>
              <w:ind w:left="24" w:leftChars="10" w:right="24" w:rightChars="10"/>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500</w:t>
            </w:r>
            <w:r>
              <w:rPr>
                <w:rFonts w:hint="eastAsia" w:ascii="Times New Roman" w:hAnsi="Times New Roman" w:eastAsia="宋体" w:cs="Times New Roman"/>
                <w:color w:val="000000"/>
                <w:kern w:val="2"/>
                <w:sz w:val="21"/>
                <w:szCs w:val="21"/>
                <w:lang w:val="en-US" w:eastAsia="zh-CN" w:bidi="ar-SA"/>
              </w:rPr>
              <w:t>张</w:t>
            </w:r>
          </w:p>
        </w:tc>
        <w:tc>
          <w:tcPr>
            <w:tcW w:w="832" w:type="pct"/>
            <w:vAlign w:val="center"/>
          </w:tcPr>
          <w:p w14:paraId="185FDB34">
            <w:pPr>
              <w:pStyle w:val="140"/>
              <w:spacing w:before="0"/>
              <w:ind w:left="0" w:right="0"/>
              <w:rPr>
                <w:rFonts w:hint="default" w:ascii="Times New Roman"/>
                <w:sz w:val="21"/>
                <w:lang w:val="en-US" w:eastAsia="zh-CN"/>
              </w:rPr>
            </w:pPr>
            <w:r>
              <w:rPr>
                <w:rFonts w:hint="eastAsia" w:ascii="Times New Roman"/>
                <w:sz w:val="21"/>
                <w:lang w:val="en-US" w:eastAsia="zh-CN"/>
              </w:rPr>
              <w:t>50</w:t>
            </w:r>
          </w:p>
        </w:tc>
        <w:tc>
          <w:tcPr>
            <w:tcW w:w="406" w:type="pct"/>
            <w:vMerge w:val="continue"/>
            <w:vAlign w:val="center"/>
          </w:tcPr>
          <w:p w14:paraId="79853702">
            <w:pPr>
              <w:adjustRightInd w:val="0"/>
              <w:snapToGrid w:val="0"/>
              <w:jc w:val="center"/>
              <w:rPr>
                <w:rFonts w:hint="default" w:ascii="Times New Roman" w:hAnsi="Times New Roman" w:eastAsia="宋体" w:cs="Times New Roman"/>
                <w:color w:val="auto"/>
                <w:kern w:val="2"/>
                <w:sz w:val="21"/>
              </w:rPr>
            </w:pPr>
          </w:p>
        </w:tc>
        <w:tc>
          <w:tcPr>
            <w:tcW w:w="322" w:type="pct"/>
            <w:vMerge w:val="continue"/>
            <w:vAlign w:val="center"/>
          </w:tcPr>
          <w:p w14:paraId="62A64282">
            <w:pPr>
              <w:pStyle w:val="140"/>
              <w:rPr>
                <w:rFonts w:hint="eastAsia" w:ascii="Times New Roman" w:hAnsi="Times New Roman" w:cs="Times New Roman"/>
                <w:sz w:val="21"/>
                <w:szCs w:val="21"/>
                <w:lang w:val="en-US" w:eastAsia="zh-CN"/>
              </w:rPr>
            </w:pPr>
          </w:p>
        </w:tc>
        <w:tc>
          <w:tcPr>
            <w:tcW w:w="339" w:type="pct"/>
            <w:vMerge w:val="continue"/>
            <w:vAlign w:val="center"/>
          </w:tcPr>
          <w:p w14:paraId="34DADA41">
            <w:pPr>
              <w:jc w:val="center"/>
              <w:rPr>
                <w:rFonts w:hint="default" w:ascii="Times New Roman" w:hAnsi="Times New Roman" w:eastAsia="宋体" w:cs="Times New Roman"/>
                <w:b w:val="0"/>
                <w:bCs/>
                <w:color w:val="auto"/>
                <w:sz w:val="21"/>
                <w:szCs w:val="21"/>
                <w:highlight w:val="none"/>
                <w:lang w:val="en-US" w:eastAsia="zh-CN"/>
              </w:rPr>
            </w:pPr>
          </w:p>
        </w:tc>
      </w:tr>
      <w:tr w14:paraId="44E33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5452C33D">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vMerge w:val="continue"/>
            <w:shd w:val="clear" w:color="auto" w:fill="auto"/>
            <w:vAlign w:val="center"/>
          </w:tcPr>
          <w:p w14:paraId="4E479786">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eastAsia" w:ascii="Times New Roman" w:hAnsi="Times New Roman" w:eastAsia="宋体" w:cs="Times New Roman"/>
                <w:color w:val="000000"/>
                <w:sz w:val="21"/>
                <w:szCs w:val="21"/>
                <w:lang w:val="en-US" w:eastAsia="zh-CN"/>
              </w:rPr>
            </w:pPr>
          </w:p>
        </w:tc>
        <w:tc>
          <w:tcPr>
            <w:tcW w:w="1459" w:type="pct"/>
            <w:shd w:val="clear" w:color="auto" w:fill="auto"/>
            <w:vAlign w:val="center"/>
          </w:tcPr>
          <w:p w14:paraId="1336375F">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2440mm×1220mm×</w:t>
            </w:r>
            <w:r>
              <w:rPr>
                <w:rFonts w:hint="eastAsia" w:eastAsia="宋体" w:cs="Times New Roman"/>
                <w:color w:val="000000"/>
                <w:sz w:val="21"/>
                <w:szCs w:val="21"/>
                <w:lang w:val="en-US" w:eastAsia="zh-CN"/>
              </w:rPr>
              <w:t>15</w:t>
            </w:r>
            <w:r>
              <w:rPr>
                <w:rFonts w:hint="default" w:ascii="Times New Roman" w:hAnsi="Times New Roman" w:eastAsia="宋体" w:cs="Times New Roman"/>
                <w:color w:val="000000"/>
                <w:sz w:val="21"/>
                <w:szCs w:val="21"/>
              </w:rPr>
              <w:t>mm</w:t>
            </w:r>
          </w:p>
        </w:tc>
        <w:tc>
          <w:tcPr>
            <w:tcW w:w="832" w:type="pct"/>
            <w:shd w:val="clear" w:color="auto" w:fill="auto"/>
            <w:vAlign w:val="center"/>
          </w:tcPr>
          <w:p w14:paraId="04E4DD77">
            <w:pPr>
              <w:keepNext w:val="0"/>
              <w:keepLines w:val="0"/>
              <w:pageBreakBefore w:val="0"/>
              <w:kinsoku/>
              <w:wordWrap/>
              <w:overflowPunct/>
              <w:topLinePunct w:val="0"/>
              <w:autoSpaceDE/>
              <w:autoSpaceDN/>
              <w:bidi w:val="0"/>
              <w:ind w:left="24" w:leftChars="10" w:right="24" w:rightChars="10"/>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500</w:t>
            </w:r>
            <w:r>
              <w:rPr>
                <w:rFonts w:hint="eastAsia" w:ascii="Times New Roman" w:hAnsi="Times New Roman" w:eastAsia="宋体" w:cs="Times New Roman"/>
                <w:color w:val="000000"/>
                <w:kern w:val="2"/>
                <w:sz w:val="21"/>
                <w:szCs w:val="21"/>
                <w:lang w:val="en-US" w:eastAsia="zh-CN" w:bidi="ar-SA"/>
              </w:rPr>
              <w:t>张</w:t>
            </w:r>
          </w:p>
        </w:tc>
        <w:tc>
          <w:tcPr>
            <w:tcW w:w="832" w:type="pct"/>
            <w:vAlign w:val="center"/>
          </w:tcPr>
          <w:p w14:paraId="634983DF">
            <w:pPr>
              <w:pStyle w:val="140"/>
              <w:spacing w:before="0"/>
              <w:ind w:left="0" w:right="0"/>
              <w:rPr>
                <w:rFonts w:hint="default" w:ascii="Times New Roman"/>
                <w:sz w:val="21"/>
                <w:lang w:val="en-US" w:eastAsia="zh-CN"/>
              </w:rPr>
            </w:pPr>
            <w:r>
              <w:rPr>
                <w:rFonts w:hint="eastAsia" w:ascii="Times New Roman"/>
                <w:sz w:val="21"/>
                <w:lang w:val="en-US" w:eastAsia="zh-CN"/>
              </w:rPr>
              <w:t>50</w:t>
            </w:r>
          </w:p>
        </w:tc>
        <w:tc>
          <w:tcPr>
            <w:tcW w:w="406" w:type="pct"/>
            <w:vMerge w:val="continue"/>
            <w:vAlign w:val="center"/>
          </w:tcPr>
          <w:p w14:paraId="68BAF61A">
            <w:pPr>
              <w:adjustRightInd w:val="0"/>
              <w:snapToGrid w:val="0"/>
              <w:jc w:val="center"/>
              <w:rPr>
                <w:rFonts w:hint="default" w:ascii="Times New Roman" w:hAnsi="Times New Roman" w:eastAsia="宋体" w:cs="Times New Roman"/>
                <w:color w:val="auto"/>
                <w:kern w:val="2"/>
                <w:sz w:val="21"/>
              </w:rPr>
            </w:pPr>
          </w:p>
        </w:tc>
        <w:tc>
          <w:tcPr>
            <w:tcW w:w="322" w:type="pct"/>
            <w:vMerge w:val="continue"/>
            <w:vAlign w:val="center"/>
          </w:tcPr>
          <w:p w14:paraId="1498DF10">
            <w:pPr>
              <w:pStyle w:val="140"/>
              <w:rPr>
                <w:rFonts w:hint="eastAsia" w:ascii="Times New Roman" w:hAnsi="Times New Roman" w:cs="Times New Roman"/>
                <w:sz w:val="21"/>
                <w:szCs w:val="21"/>
                <w:lang w:val="en-US" w:eastAsia="zh-CN"/>
              </w:rPr>
            </w:pPr>
          </w:p>
        </w:tc>
        <w:tc>
          <w:tcPr>
            <w:tcW w:w="339" w:type="pct"/>
            <w:vMerge w:val="continue"/>
            <w:vAlign w:val="center"/>
          </w:tcPr>
          <w:p w14:paraId="1C08507C">
            <w:pPr>
              <w:jc w:val="center"/>
              <w:rPr>
                <w:rFonts w:hint="default" w:ascii="Times New Roman" w:hAnsi="Times New Roman" w:eastAsia="宋体" w:cs="Times New Roman"/>
                <w:b w:val="0"/>
                <w:bCs/>
                <w:color w:val="auto"/>
                <w:sz w:val="21"/>
                <w:szCs w:val="21"/>
                <w:highlight w:val="none"/>
                <w:lang w:val="en-US" w:eastAsia="zh-CN"/>
              </w:rPr>
            </w:pPr>
          </w:p>
        </w:tc>
      </w:tr>
      <w:tr w14:paraId="31FA9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47834EB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65DEEA13">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封边条</w:t>
            </w:r>
          </w:p>
        </w:tc>
        <w:tc>
          <w:tcPr>
            <w:tcW w:w="1459" w:type="pct"/>
            <w:shd w:val="clear" w:color="auto" w:fill="auto"/>
            <w:vAlign w:val="center"/>
          </w:tcPr>
          <w:p w14:paraId="28D0A422">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厚度1mm、宽度15mm</w:t>
            </w:r>
          </w:p>
        </w:tc>
        <w:tc>
          <w:tcPr>
            <w:tcW w:w="832" w:type="pct"/>
            <w:shd w:val="clear" w:color="auto" w:fill="auto"/>
            <w:vAlign w:val="center"/>
          </w:tcPr>
          <w:p w14:paraId="1D7012BD">
            <w:pPr>
              <w:keepNext w:val="0"/>
              <w:keepLines w:val="0"/>
              <w:pageBreakBefore w:val="0"/>
              <w:kinsoku/>
              <w:wordWrap/>
              <w:overflowPunct/>
              <w:topLinePunct w:val="0"/>
              <w:autoSpaceDE/>
              <w:autoSpaceDN/>
              <w:bidi w:val="0"/>
              <w:ind w:left="24" w:leftChars="10" w:right="24" w:rightChars="10"/>
              <w:jc w:val="center"/>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sz w:val="21"/>
                <w:szCs w:val="21"/>
                <w:highlight w:val="none"/>
                <w:lang w:val="en-US" w:eastAsia="zh-CN"/>
              </w:rPr>
              <w:t>12</w:t>
            </w:r>
            <w:r>
              <w:rPr>
                <w:rFonts w:hint="default" w:ascii="Times New Roman" w:hAnsi="Times New Roman" w:eastAsia="宋体" w:cs="Times New Roman"/>
                <w:color w:val="000000"/>
                <w:sz w:val="21"/>
                <w:szCs w:val="21"/>
                <w:highlight w:val="none"/>
              </w:rPr>
              <w:t>t</w:t>
            </w:r>
          </w:p>
        </w:tc>
        <w:tc>
          <w:tcPr>
            <w:tcW w:w="832" w:type="pct"/>
            <w:vAlign w:val="center"/>
          </w:tcPr>
          <w:p w14:paraId="48A4D5AD">
            <w:pPr>
              <w:pStyle w:val="140"/>
              <w:spacing w:before="0"/>
              <w:ind w:left="0" w:right="0"/>
              <w:rPr>
                <w:rFonts w:hint="default" w:ascii="Times New Roman"/>
                <w:sz w:val="21"/>
                <w:lang w:val="en-US" w:eastAsia="zh-CN"/>
              </w:rPr>
            </w:pPr>
            <w:r>
              <w:rPr>
                <w:rFonts w:hint="eastAsia" w:ascii="Times New Roman"/>
                <w:sz w:val="21"/>
                <w:lang w:val="en-US" w:eastAsia="zh-CN"/>
              </w:rPr>
              <w:t>0.12</w:t>
            </w:r>
          </w:p>
        </w:tc>
        <w:tc>
          <w:tcPr>
            <w:tcW w:w="406" w:type="pct"/>
            <w:vAlign w:val="center"/>
          </w:tcPr>
          <w:p w14:paraId="2165B3F6">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rPr>
              <w:t>散装</w:t>
            </w:r>
          </w:p>
        </w:tc>
        <w:tc>
          <w:tcPr>
            <w:tcW w:w="322" w:type="pct"/>
            <w:vAlign w:val="center"/>
          </w:tcPr>
          <w:p w14:paraId="24F3E6D8">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油漆仓库</w:t>
            </w:r>
          </w:p>
        </w:tc>
        <w:tc>
          <w:tcPr>
            <w:tcW w:w="339" w:type="pct"/>
            <w:vAlign w:val="center"/>
          </w:tcPr>
          <w:p w14:paraId="587532F2">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涉气、涉水</w:t>
            </w:r>
          </w:p>
        </w:tc>
      </w:tr>
      <w:tr w14:paraId="1C16F8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2990DA19">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783E691B">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木皮</w:t>
            </w:r>
          </w:p>
        </w:tc>
        <w:tc>
          <w:tcPr>
            <w:tcW w:w="1459" w:type="pct"/>
            <w:shd w:val="clear" w:color="auto" w:fill="auto"/>
            <w:vAlign w:val="center"/>
          </w:tcPr>
          <w:p w14:paraId="6FD3EFEC">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厚度1mm</w:t>
            </w:r>
          </w:p>
        </w:tc>
        <w:tc>
          <w:tcPr>
            <w:tcW w:w="832" w:type="pct"/>
            <w:shd w:val="clear" w:color="auto" w:fill="auto"/>
            <w:vAlign w:val="center"/>
          </w:tcPr>
          <w:p w14:paraId="2ECEFC42">
            <w:pPr>
              <w:keepNext w:val="0"/>
              <w:keepLines w:val="0"/>
              <w:pageBreakBefore w:val="0"/>
              <w:kinsoku/>
              <w:wordWrap/>
              <w:overflowPunct/>
              <w:topLinePunct w:val="0"/>
              <w:autoSpaceDE/>
              <w:autoSpaceDN/>
              <w:bidi w:val="0"/>
              <w:ind w:left="24" w:leftChars="10" w:right="24" w:rightChars="10"/>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700</w:t>
            </w:r>
            <w:r>
              <w:rPr>
                <w:rFonts w:hint="eastAsia" w:ascii="Times New Roman" w:hAnsi="Times New Roman" w:eastAsia="宋体" w:cs="Times New Roman"/>
                <w:color w:val="000000"/>
                <w:kern w:val="2"/>
                <w:sz w:val="21"/>
                <w:szCs w:val="21"/>
                <w:lang w:val="en-US" w:eastAsia="zh-CN" w:bidi="ar-SA"/>
              </w:rPr>
              <w:t>m</w:t>
            </w:r>
            <w:r>
              <w:rPr>
                <w:rFonts w:hint="eastAsia" w:ascii="Times New Roman" w:hAnsi="Times New Roman" w:eastAsia="宋体" w:cs="Times New Roman"/>
                <w:color w:val="000000"/>
                <w:kern w:val="2"/>
                <w:sz w:val="21"/>
                <w:szCs w:val="21"/>
                <w:vertAlign w:val="superscript"/>
                <w:lang w:val="en-US" w:eastAsia="zh-CN" w:bidi="ar-SA"/>
              </w:rPr>
              <w:t>2</w:t>
            </w:r>
          </w:p>
        </w:tc>
        <w:tc>
          <w:tcPr>
            <w:tcW w:w="832" w:type="pct"/>
            <w:vAlign w:val="center"/>
          </w:tcPr>
          <w:p w14:paraId="49618AA1">
            <w:pPr>
              <w:pStyle w:val="140"/>
              <w:spacing w:before="0"/>
              <w:ind w:left="0" w:right="0"/>
              <w:rPr>
                <w:rFonts w:hint="default" w:ascii="Times New Roman"/>
                <w:sz w:val="21"/>
                <w:lang w:val="en-US" w:eastAsia="zh-CN"/>
              </w:rPr>
            </w:pPr>
            <w:r>
              <w:rPr>
                <w:rFonts w:hint="eastAsia" w:ascii="Times New Roman"/>
                <w:sz w:val="21"/>
                <w:lang w:val="en-US" w:eastAsia="zh-CN"/>
              </w:rPr>
              <w:t>7</w:t>
            </w:r>
          </w:p>
        </w:tc>
        <w:tc>
          <w:tcPr>
            <w:tcW w:w="406" w:type="pct"/>
            <w:vAlign w:val="center"/>
          </w:tcPr>
          <w:p w14:paraId="7D531696">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kern w:val="2"/>
                <w:sz w:val="21"/>
              </w:rPr>
              <w:t>散装</w:t>
            </w:r>
          </w:p>
        </w:tc>
        <w:tc>
          <w:tcPr>
            <w:tcW w:w="322" w:type="pct"/>
            <w:vAlign w:val="center"/>
          </w:tcPr>
          <w:p w14:paraId="2063C817">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油漆仓库</w:t>
            </w:r>
          </w:p>
        </w:tc>
        <w:tc>
          <w:tcPr>
            <w:tcW w:w="339" w:type="pct"/>
            <w:vAlign w:val="center"/>
          </w:tcPr>
          <w:p w14:paraId="5F4BD463">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058F8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6B72160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1DCAD22F">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白乳胶</w:t>
            </w:r>
          </w:p>
        </w:tc>
        <w:tc>
          <w:tcPr>
            <w:tcW w:w="1459" w:type="pct"/>
            <w:shd w:val="clear" w:color="auto" w:fill="auto"/>
            <w:vAlign w:val="center"/>
          </w:tcPr>
          <w:p w14:paraId="46F9A8D1">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醋酸乙烯酯 45%、聚乙烯醇 5%、邻苯二甲酸二丁酯 4%、辛醇 1%、过硫酸铵 0.1%、水 44.9%</w:t>
            </w:r>
          </w:p>
        </w:tc>
        <w:tc>
          <w:tcPr>
            <w:tcW w:w="832" w:type="pct"/>
            <w:shd w:val="clear" w:color="auto" w:fill="auto"/>
            <w:vAlign w:val="center"/>
          </w:tcPr>
          <w:p w14:paraId="57B15E3C">
            <w:pPr>
              <w:keepNext w:val="0"/>
              <w:keepLines w:val="0"/>
              <w:pageBreakBefore w:val="0"/>
              <w:kinsoku/>
              <w:wordWrap/>
              <w:overflowPunct/>
              <w:topLinePunct w:val="0"/>
              <w:autoSpaceDE/>
              <w:autoSpaceDN/>
              <w:bidi w:val="0"/>
              <w:ind w:left="24" w:leftChars="10" w:right="24" w:rightChars="10"/>
              <w:jc w:val="center"/>
              <w:textAlignment w:val="auto"/>
              <w:rPr>
                <w:rFonts w:hint="eastAsia"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4.4</w:t>
            </w:r>
            <w:r>
              <w:rPr>
                <w:rFonts w:hint="eastAsia" w:ascii="Times New Roman" w:hAnsi="Times New Roman" w:eastAsia="宋体" w:cs="Times New Roman"/>
                <w:color w:val="000000"/>
                <w:sz w:val="21"/>
                <w:szCs w:val="21"/>
                <w:lang w:val="en-US" w:eastAsia="zh-CN"/>
              </w:rPr>
              <w:t>t</w:t>
            </w:r>
          </w:p>
        </w:tc>
        <w:tc>
          <w:tcPr>
            <w:tcW w:w="832" w:type="pct"/>
            <w:vAlign w:val="center"/>
          </w:tcPr>
          <w:p w14:paraId="1C5F1218">
            <w:pPr>
              <w:pStyle w:val="140"/>
              <w:spacing w:before="0"/>
              <w:ind w:left="0" w:right="0"/>
              <w:rPr>
                <w:rFonts w:hint="default" w:ascii="Times New Roman"/>
                <w:sz w:val="21"/>
                <w:lang w:val="en-US" w:eastAsia="zh-CN"/>
              </w:rPr>
            </w:pPr>
            <w:r>
              <w:rPr>
                <w:rFonts w:hint="eastAsia" w:ascii="Times New Roman"/>
                <w:sz w:val="21"/>
                <w:lang w:val="en-US" w:eastAsia="zh-CN"/>
              </w:rPr>
              <w:t>0.044</w:t>
            </w:r>
          </w:p>
        </w:tc>
        <w:tc>
          <w:tcPr>
            <w:tcW w:w="406" w:type="pct"/>
            <w:vAlign w:val="center"/>
          </w:tcPr>
          <w:p w14:paraId="660FA44E">
            <w:pPr>
              <w:jc w:val="center"/>
              <w:rPr>
                <w:rFonts w:hint="eastAsia"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桶装</w:t>
            </w:r>
          </w:p>
        </w:tc>
        <w:tc>
          <w:tcPr>
            <w:tcW w:w="322" w:type="pct"/>
            <w:vAlign w:val="center"/>
          </w:tcPr>
          <w:p w14:paraId="374EABCB">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油漆仓库</w:t>
            </w:r>
          </w:p>
        </w:tc>
        <w:tc>
          <w:tcPr>
            <w:tcW w:w="339" w:type="pct"/>
            <w:vAlign w:val="center"/>
          </w:tcPr>
          <w:p w14:paraId="729C5981">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涉气、涉水</w:t>
            </w:r>
          </w:p>
        </w:tc>
      </w:tr>
      <w:tr w14:paraId="3D08D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2F8CF9B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5737DAE1">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拼板胶</w:t>
            </w:r>
          </w:p>
        </w:tc>
        <w:tc>
          <w:tcPr>
            <w:tcW w:w="1459" w:type="pct"/>
            <w:shd w:val="clear" w:color="auto" w:fill="auto"/>
            <w:vAlign w:val="center"/>
          </w:tcPr>
          <w:p w14:paraId="65680569">
            <w:pPr>
              <w:keepNext w:val="0"/>
              <w:keepLines w:val="0"/>
              <w:pageBreakBefore w:val="0"/>
              <w:kinsoku/>
              <w:wordWrap/>
              <w:overflowPunct/>
              <w:topLinePunct w:val="0"/>
              <w:autoSpaceDE/>
              <w:autoSpaceDN/>
              <w:bidi w:val="0"/>
              <w:adjustRightInd w:val="0"/>
              <w:snapToGrid w:val="0"/>
              <w:ind w:left="24" w:leftChars="10" w:right="24" w:rightChars="10"/>
              <w:jc w:val="center"/>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 w:val="21"/>
                <w:szCs w:val="21"/>
                <w:lang w:val="en-US" w:eastAsia="zh-CN"/>
              </w:rPr>
              <w:t>乙酸乙烯酯共聚物、碳酸钙、水</w:t>
            </w:r>
          </w:p>
        </w:tc>
        <w:tc>
          <w:tcPr>
            <w:tcW w:w="832" w:type="pct"/>
            <w:shd w:val="clear" w:color="auto" w:fill="auto"/>
            <w:vAlign w:val="center"/>
          </w:tcPr>
          <w:p w14:paraId="3D1FA2AC">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5.1</w:t>
            </w:r>
            <w:r>
              <w:rPr>
                <w:rFonts w:hint="eastAsia" w:ascii="Times New Roman" w:hAnsi="Times New Roman" w:eastAsia="宋体" w:cs="Times New Roman"/>
                <w:color w:val="000000"/>
                <w:kern w:val="2"/>
                <w:sz w:val="21"/>
                <w:szCs w:val="21"/>
                <w:lang w:val="en-US" w:eastAsia="zh-CN" w:bidi="ar-SA"/>
              </w:rPr>
              <w:t>t</w:t>
            </w:r>
          </w:p>
        </w:tc>
        <w:tc>
          <w:tcPr>
            <w:tcW w:w="832" w:type="pct"/>
            <w:vAlign w:val="center"/>
          </w:tcPr>
          <w:p w14:paraId="18197391">
            <w:pPr>
              <w:pStyle w:val="140"/>
              <w:spacing w:before="0"/>
              <w:ind w:left="0" w:right="0"/>
              <w:rPr>
                <w:rFonts w:hint="default" w:ascii="Times New Roman"/>
                <w:sz w:val="21"/>
                <w:lang w:val="en-US" w:eastAsia="zh-CN"/>
              </w:rPr>
            </w:pPr>
            <w:r>
              <w:rPr>
                <w:rFonts w:hint="eastAsia" w:ascii="Times New Roman"/>
                <w:sz w:val="21"/>
                <w:lang w:val="en-US" w:eastAsia="zh-CN"/>
              </w:rPr>
              <w:t>0.051</w:t>
            </w:r>
          </w:p>
        </w:tc>
        <w:tc>
          <w:tcPr>
            <w:tcW w:w="406" w:type="pct"/>
            <w:vAlign w:val="center"/>
          </w:tcPr>
          <w:p w14:paraId="656465F9">
            <w:pPr>
              <w:jc w:val="center"/>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散装</w:t>
            </w:r>
          </w:p>
        </w:tc>
        <w:tc>
          <w:tcPr>
            <w:tcW w:w="322" w:type="pct"/>
            <w:vAlign w:val="center"/>
          </w:tcPr>
          <w:p w14:paraId="468505E6">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原料仓库</w:t>
            </w:r>
          </w:p>
        </w:tc>
        <w:tc>
          <w:tcPr>
            <w:tcW w:w="339" w:type="pct"/>
            <w:vAlign w:val="center"/>
          </w:tcPr>
          <w:p w14:paraId="2977312F">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涉气、涉水</w:t>
            </w:r>
          </w:p>
        </w:tc>
      </w:tr>
      <w:tr w14:paraId="6277A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201412B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27D32AA4">
            <w:pPr>
              <w:jc w:val="center"/>
              <w:rPr>
                <w:rFonts w:hint="eastAsia"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水性底漆</w:t>
            </w:r>
          </w:p>
        </w:tc>
        <w:tc>
          <w:tcPr>
            <w:tcW w:w="1459" w:type="pct"/>
            <w:shd w:val="clear" w:color="auto" w:fill="auto"/>
            <w:vAlign w:val="center"/>
          </w:tcPr>
          <w:p w14:paraId="170C60F7">
            <w:pPr>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二丙二醇甲醚、二丙二醇丁醚、水性丙烯酸乳液、消泡剂、润湿剂、</w:t>
            </w:r>
          </w:p>
          <w:p w14:paraId="0CA1560A">
            <w:pPr>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流变助剂、粉料、水</w:t>
            </w:r>
          </w:p>
        </w:tc>
        <w:tc>
          <w:tcPr>
            <w:tcW w:w="832" w:type="pct"/>
            <w:shd w:val="clear" w:color="auto" w:fill="auto"/>
            <w:vAlign w:val="center"/>
          </w:tcPr>
          <w:p w14:paraId="6B17A20D">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sz w:val="21"/>
                <w:szCs w:val="21"/>
                <w:highlight w:val="none"/>
                <w:lang w:val="en-US" w:eastAsia="zh-CN"/>
              </w:rPr>
              <w:t>29.2</w:t>
            </w:r>
            <w:r>
              <w:rPr>
                <w:rFonts w:hint="default" w:ascii="Times New Roman" w:hAnsi="Times New Roman" w:eastAsia="宋体" w:cs="Times New Roman"/>
                <w:color w:val="000000"/>
                <w:sz w:val="21"/>
                <w:szCs w:val="21"/>
                <w:highlight w:val="none"/>
              </w:rPr>
              <w:t>t</w:t>
            </w:r>
          </w:p>
        </w:tc>
        <w:tc>
          <w:tcPr>
            <w:tcW w:w="832" w:type="pct"/>
            <w:vAlign w:val="center"/>
          </w:tcPr>
          <w:p w14:paraId="795C9F52">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0.292</w:t>
            </w:r>
          </w:p>
        </w:tc>
        <w:tc>
          <w:tcPr>
            <w:tcW w:w="406" w:type="pct"/>
            <w:vAlign w:val="center"/>
          </w:tcPr>
          <w:p w14:paraId="523058F8">
            <w:pPr>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桶装</w:t>
            </w:r>
          </w:p>
        </w:tc>
        <w:tc>
          <w:tcPr>
            <w:tcW w:w="322" w:type="pct"/>
            <w:vAlign w:val="center"/>
          </w:tcPr>
          <w:p w14:paraId="2BFAC1CF">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原料仓库</w:t>
            </w:r>
          </w:p>
        </w:tc>
        <w:tc>
          <w:tcPr>
            <w:tcW w:w="339" w:type="pct"/>
            <w:vAlign w:val="center"/>
          </w:tcPr>
          <w:p w14:paraId="67DE78F4">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涉气、涉水</w:t>
            </w:r>
          </w:p>
        </w:tc>
      </w:tr>
      <w:tr w14:paraId="251C5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71E6FD5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4791088F">
            <w:pPr>
              <w:jc w:val="center"/>
              <w:rPr>
                <w:rFonts w:hint="eastAsia"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水性面漆</w:t>
            </w:r>
          </w:p>
        </w:tc>
        <w:tc>
          <w:tcPr>
            <w:tcW w:w="1459" w:type="pct"/>
            <w:shd w:val="clear" w:color="auto" w:fill="auto"/>
            <w:vAlign w:val="center"/>
          </w:tcPr>
          <w:p w14:paraId="11F2854D">
            <w:pPr>
              <w:jc w:val="center"/>
              <w:rPr>
                <w:rFonts w:hint="eastAsia"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z w:val="21"/>
                <w:szCs w:val="21"/>
                <w:highlight w:val="none"/>
              </w:rPr>
              <w:t>二丙二醇甲醚、二丙二醇丁醚、水性丙烯酸乳液、水性聚氨酯乳液、消泡剂、润湿剂、流变助剂、消光粉、水</w:t>
            </w:r>
          </w:p>
        </w:tc>
        <w:tc>
          <w:tcPr>
            <w:tcW w:w="832" w:type="pct"/>
            <w:shd w:val="clear" w:color="auto" w:fill="auto"/>
            <w:vAlign w:val="center"/>
          </w:tcPr>
          <w:p w14:paraId="482B9418">
            <w:pPr>
              <w:keepNext w:val="0"/>
              <w:keepLines w:val="0"/>
              <w:pageBreakBefore w:val="0"/>
              <w:kinsoku/>
              <w:wordWrap/>
              <w:overflowPunct/>
              <w:topLinePunct w:val="0"/>
              <w:autoSpaceDE/>
              <w:autoSpaceDN/>
              <w:bidi w:val="0"/>
              <w:ind w:left="24" w:leftChars="10" w:right="24" w:rightChars="1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cs="Times New Roman"/>
                <w:color w:val="000000"/>
                <w:sz w:val="21"/>
                <w:szCs w:val="21"/>
                <w:highlight w:val="none"/>
                <w:lang w:val="en-US" w:eastAsia="zh-CN"/>
              </w:rPr>
              <w:t>26.4</w:t>
            </w:r>
            <w:r>
              <w:rPr>
                <w:rFonts w:hint="default" w:ascii="Times New Roman" w:hAnsi="Times New Roman" w:eastAsia="宋体" w:cs="Times New Roman"/>
                <w:color w:val="000000"/>
                <w:sz w:val="21"/>
                <w:szCs w:val="21"/>
                <w:highlight w:val="none"/>
              </w:rPr>
              <w:t>t</w:t>
            </w:r>
          </w:p>
        </w:tc>
        <w:tc>
          <w:tcPr>
            <w:tcW w:w="832" w:type="pct"/>
            <w:vAlign w:val="center"/>
          </w:tcPr>
          <w:p w14:paraId="68CC676D">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0.264</w:t>
            </w:r>
          </w:p>
        </w:tc>
        <w:tc>
          <w:tcPr>
            <w:tcW w:w="406" w:type="pct"/>
            <w:vAlign w:val="center"/>
          </w:tcPr>
          <w:p w14:paraId="7488566A">
            <w:pPr>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桶装</w:t>
            </w:r>
          </w:p>
        </w:tc>
        <w:tc>
          <w:tcPr>
            <w:tcW w:w="322" w:type="pct"/>
            <w:vAlign w:val="center"/>
          </w:tcPr>
          <w:p w14:paraId="77768913">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vAlign w:val="center"/>
          </w:tcPr>
          <w:p w14:paraId="442A0799">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涉气、涉水</w:t>
            </w:r>
          </w:p>
        </w:tc>
      </w:tr>
      <w:tr w14:paraId="39769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0D70DE1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79C72F05">
            <w:pPr>
              <w:jc w:val="center"/>
              <w:rPr>
                <w:rFonts w:hint="eastAsia"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固化剂</w:t>
            </w:r>
          </w:p>
        </w:tc>
        <w:tc>
          <w:tcPr>
            <w:tcW w:w="1459" w:type="pct"/>
            <w:shd w:val="clear" w:color="auto" w:fill="auto"/>
            <w:vAlign w:val="center"/>
          </w:tcPr>
          <w:p w14:paraId="05BF2E08">
            <w:pPr>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sz w:val="21"/>
                <w:szCs w:val="21"/>
              </w:rPr>
              <w:t>异氰酸酯均聚物（固份）、丙二醇甲醚醋酸酯</w:t>
            </w:r>
          </w:p>
        </w:tc>
        <w:tc>
          <w:tcPr>
            <w:tcW w:w="832" w:type="pct"/>
            <w:shd w:val="clear" w:color="auto" w:fill="auto"/>
            <w:vAlign w:val="center"/>
          </w:tcPr>
          <w:p w14:paraId="2C642607">
            <w:pPr>
              <w:keepNext w:val="0"/>
              <w:keepLines w:val="0"/>
              <w:pageBreakBefore w:val="0"/>
              <w:kinsoku/>
              <w:wordWrap/>
              <w:overflowPunct/>
              <w:topLinePunct w:val="0"/>
              <w:autoSpaceDE/>
              <w:autoSpaceDN/>
              <w:bidi w:val="0"/>
              <w:ind w:left="24" w:leftChars="10" w:right="24" w:rightChars="10"/>
              <w:jc w:val="center"/>
              <w:textAlignment w:val="auto"/>
              <w:rPr>
                <w:rFonts w:hint="eastAsia" w:ascii="Times New Roman" w:hAnsi="Times New Roman" w:eastAsia="宋体" w:cs="Times New Roman"/>
                <w:color w:val="000000"/>
                <w:kern w:val="2"/>
                <w:sz w:val="21"/>
                <w:szCs w:val="21"/>
                <w:highlight w:val="none"/>
                <w:lang w:val="en-US" w:eastAsia="zh-CN" w:bidi="ar-SA"/>
              </w:rPr>
            </w:pPr>
            <w:r>
              <w:rPr>
                <w:rFonts w:hint="eastAsia" w:cs="Times New Roman"/>
                <w:color w:val="000000"/>
                <w:sz w:val="21"/>
                <w:szCs w:val="21"/>
                <w:highlight w:val="none"/>
                <w:lang w:val="en-US" w:eastAsia="zh-CN"/>
              </w:rPr>
              <w:t>2.5</w:t>
            </w:r>
            <w:r>
              <w:rPr>
                <w:rFonts w:hint="eastAsia" w:ascii="Times New Roman" w:hAnsi="Times New Roman" w:eastAsia="宋体" w:cs="Times New Roman"/>
                <w:color w:val="000000"/>
                <w:sz w:val="21"/>
                <w:szCs w:val="21"/>
                <w:highlight w:val="none"/>
                <w:lang w:val="en-US" w:eastAsia="zh-CN"/>
              </w:rPr>
              <w:t>t</w:t>
            </w:r>
          </w:p>
        </w:tc>
        <w:tc>
          <w:tcPr>
            <w:tcW w:w="832" w:type="pct"/>
            <w:vAlign w:val="center"/>
          </w:tcPr>
          <w:p w14:paraId="1A9C2646">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0.025</w:t>
            </w:r>
          </w:p>
        </w:tc>
        <w:tc>
          <w:tcPr>
            <w:tcW w:w="406" w:type="pct"/>
            <w:vAlign w:val="center"/>
          </w:tcPr>
          <w:p w14:paraId="2EE70FC8">
            <w:pPr>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桶装</w:t>
            </w:r>
          </w:p>
        </w:tc>
        <w:tc>
          <w:tcPr>
            <w:tcW w:w="322" w:type="pct"/>
            <w:vAlign w:val="center"/>
          </w:tcPr>
          <w:p w14:paraId="4EAC1799">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vAlign w:val="center"/>
          </w:tcPr>
          <w:p w14:paraId="258910F0">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涉气、涉水</w:t>
            </w:r>
          </w:p>
        </w:tc>
      </w:tr>
      <w:tr w14:paraId="67A56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74F2E5B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654F9D44">
            <w:pPr>
              <w:jc w:val="center"/>
              <w:rPr>
                <w:rFonts w:hint="default"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五金配件</w:t>
            </w:r>
          </w:p>
        </w:tc>
        <w:tc>
          <w:tcPr>
            <w:tcW w:w="1459" w:type="pct"/>
            <w:shd w:val="clear" w:color="auto" w:fill="auto"/>
            <w:vAlign w:val="center"/>
          </w:tcPr>
          <w:p w14:paraId="7E3E7723">
            <w:pPr>
              <w:jc w:val="center"/>
              <w:rPr>
                <w:rFonts w:hint="eastAsia" w:ascii="Times New Roman" w:hAnsi="Times New Roman" w:eastAsia="宋体" w:cs="Times New Roman"/>
                <w:color w:val="000000"/>
                <w:sz w:val="21"/>
                <w:szCs w:val="21"/>
                <w:lang w:val="en-US" w:eastAsia="zh-CN"/>
              </w:rPr>
            </w:pPr>
            <w:r>
              <w:rPr>
                <w:rFonts w:hint="eastAsia" w:eastAsia="宋体" w:cs="Times New Roman"/>
                <w:color w:val="000000"/>
                <w:sz w:val="21"/>
                <w:szCs w:val="21"/>
                <w:lang w:val="en-US" w:eastAsia="zh-CN"/>
              </w:rPr>
              <w:t>/</w:t>
            </w:r>
          </w:p>
        </w:tc>
        <w:tc>
          <w:tcPr>
            <w:tcW w:w="832" w:type="pct"/>
            <w:shd w:val="clear" w:color="auto" w:fill="auto"/>
            <w:vAlign w:val="center"/>
          </w:tcPr>
          <w:p w14:paraId="7DD3043B">
            <w:pPr>
              <w:keepNext w:val="0"/>
              <w:keepLines w:val="0"/>
              <w:pageBreakBefore w:val="0"/>
              <w:kinsoku/>
              <w:wordWrap/>
              <w:overflowPunct/>
              <w:topLinePunct w:val="0"/>
              <w:autoSpaceDE/>
              <w:autoSpaceDN/>
              <w:bidi w:val="0"/>
              <w:ind w:left="24" w:leftChars="10" w:right="24" w:rightChars="10"/>
              <w:jc w:val="center"/>
              <w:textAlignment w:val="auto"/>
              <w:rPr>
                <w:rFonts w:hint="default" w:cs="Times New Roman"/>
                <w:color w:val="000000"/>
                <w:sz w:val="21"/>
                <w:szCs w:val="21"/>
                <w:highlight w:val="none"/>
                <w:lang w:val="en-US" w:eastAsia="zh-CN"/>
              </w:rPr>
            </w:pPr>
            <w:r>
              <w:rPr>
                <w:rFonts w:hint="eastAsia" w:cs="Times New Roman"/>
                <w:color w:val="000000"/>
                <w:sz w:val="21"/>
                <w:szCs w:val="21"/>
                <w:highlight w:val="none"/>
                <w:lang w:val="en-US" w:eastAsia="zh-CN"/>
              </w:rPr>
              <w:t>1.5t</w:t>
            </w:r>
          </w:p>
        </w:tc>
        <w:tc>
          <w:tcPr>
            <w:tcW w:w="832" w:type="pct"/>
            <w:vAlign w:val="center"/>
          </w:tcPr>
          <w:p w14:paraId="7D14B61E">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w:t>
            </w:r>
          </w:p>
        </w:tc>
        <w:tc>
          <w:tcPr>
            <w:tcW w:w="406" w:type="pct"/>
            <w:vAlign w:val="center"/>
          </w:tcPr>
          <w:p w14:paraId="1EE22718">
            <w:pPr>
              <w:jc w:val="center"/>
              <w:rPr>
                <w:rFonts w:hint="default" w:eastAsia="宋体" w:cs="Times New Roman"/>
                <w:kern w:val="2"/>
                <w:sz w:val="21"/>
                <w:szCs w:val="21"/>
                <w:lang w:val="en-US" w:eastAsia="zh-CN" w:bidi="ar-SA"/>
              </w:rPr>
            </w:pPr>
            <w:r>
              <w:rPr>
                <w:rFonts w:hint="eastAsia" w:eastAsia="宋体" w:cs="Times New Roman"/>
                <w:kern w:val="2"/>
                <w:sz w:val="21"/>
                <w:szCs w:val="21"/>
                <w:lang w:val="en-US" w:eastAsia="zh-CN" w:bidi="ar-SA"/>
              </w:rPr>
              <w:t>散装</w:t>
            </w:r>
          </w:p>
        </w:tc>
        <w:tc>
          <w:tcPr>
            <w:tcW w:w="322" w:type="pct"/>
            <w:vAlign w:val="center"/>
          </w:tcPr>
          <w:p w14:paraId="0D7CFB43">
            <w:pPr>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原料仓库</w:t>
            </w:r>
          </w:p>
        </w:tc>
        <w:tc>
          <w:tcPr>
            <w:tcW w:w="339" w:type="pct"/>
            <w:vAlign w:val="center"/>
          </w:tcPr>
          <w:p w14:paraId="2D274F6F">
            <w:pPr>
              <w:jc w:val="center"/>
              <w:rPr>
                <w:rFonts w:hint="eastAsia"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不</w:t>
            </w:r>
            <w:r>
              <w:rPr>
                <w:rFonts w:hint="eastAsia" w:ascii="Times New Roman" w:hAnsi="Times New Roman" w:eastAsia="宋体" w:cs="Times New Roman"/>
                <w:kern w:val="2"/>
                <w:sz w:val="21"/>
                <w:szCs w:val="21"/>
                <w:lang w:val="en-US" w:eastAsia="zh-CN" w:bidi="ar-SA"/>
              </w:rPr>
              <w:t>涉气、涉水</w:t>
            </w:r>
          </w:p>
        </w:tc>
      </w:tr>
      <w:tr w14:paraId="13734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Align w:val="center"/>
          </w:tcPr>
          <w:p w14:paraId="3E8EC88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废气</w:t>
            </w:r>
          </w:p>
        </w:tc>
        <w:tc>
          <w:tcPr>
            <w:tcW w:w="579" w:type="pct"/>
            <w:vAlign w:val="center"/>
          </w:tcPr>
          <w:p w14:paraId="408B525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有组织废气</w:t>
            </w:r>
          </w:p>
        </w:tc>
        <w:tc>
          <w:tcPr>
            <w:tcW w:w="1459" w:type="pct"/>
            <w:vAlign w:val="center"/>
          </w:tcPr>
          <w:p w14:paraId="44C8CA9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颗粒物、</w:t>
            </w:r>
            <w:r>
              <w:rPr>
                <w:rFonts w:hint="eastAsia" w:eastAsia="宋体" w:cs="Times New Roman"/>
                <w:b w:val="0"/>
                <w:bCs/>
                <w:color w:val="auto"/>
                <w:kern w:val="2"/>
                <w:sz w:val="21"/>
                <w:szCs w:val="21"/>
                <w:highlight w:val="none"/>
                <w:lang w:val="en-US" w:eastAsia="zh-CN" w:bidi="ar-SA"/>
              </w:rPr>
              <w:t>挥发性有机物</w:t>
            </w:r>
          </w:p>
        </w:tc>
        <w:tc>
          <w:tcPr>
            <w:tcW w:w="832" w:type="pct"/>
            <w:vAlign w:val="center"/>
          </w:tcPr>
          <w:p w14:paraId="7CA09EEE">
            <w:pPr>
              <w:pStyle w:val="140"/>
              <w:spacing w:before="0"/>
              <w:ind w:left="0" w:right="0"/>
              <w:rPr>
                <w:rFonts w:hint="default" w:ascii="Times New Roman"/>
                <w:sz w:val="21"/>
                <w:lang w:val="en-US" w:eastAsia="zh-CN"/>
              </w:rPr>
            </w:pPr>
            <w:r>
              <w:rPr>
                <w:rFonts w:hint="default" w:ascii="Times New Roman"/>
                <w:sz w:val="21"/>
                <w:lang w:val="en-US" w:eastAsia="zh-CN"/>
              </w:rPr>
              <w:t>/</w:t>
            </w:r>
          </w:p>
        </w:tc>
        <w:tc>
          <w:tcPr>
            <w:tcW w:w="832" w:type="pct"/>
            <w:vAlign w:val="center"/>
          </w:tcPr>
          <w:p w14:paraId="390181C6">
            <w:pPr>
              <w:pStyle w:val="140"/>
              <w:spacing w:before="0"/>
              <w:ind w:left="0" w:right="0"/>
              <w:rPr>
                <w:rFonts w:hint="default" w:ascii="Times New Roman"/>
                <w:sz w:val="21"/>
                <w:lang w:val="zh-CN" w:eastAsia="zh-CN"/>
              </w:rPr>
            </w:pPr>
            <w:r>
              <w:rPr>
                <w:rFonts w:hint="default" w:ascii="Times New Roman"/>
                <w:sz w:val="21"/>
                <w:lang w:val="en-US" w:eastAsia="zh-CN"/>
              </w:rPr>
              <w:t>/</w:t>
            </w:r>
          </w:p>
        </w:tc>
        <w:tc>
          <w:tcPr>
            <w:tcW w:w="406" w:type="pct"/>
            <w:vAlign w:val="center"/>
          </w:tcPr>
          <w:p w14:paraId="241B3948">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322" w:type="pct"/>
            <w:vAlign w:val="center"/>
          </w:tcPr>
          <w:p w14:paraId="1FB9752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339" w:type="pct"/>
            <w:vAlign w:val="center"/>
          </w:tcPr>
          <w:p w14:paraId="225F32A0">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涉气</w:t>
            </w:r>
          </w:p>
        </w:tc>
      </w:tr>
      <w:tr w14:paraId="261DC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Align w:val="center"/>
          </w:tcPr>
          <w:p w14:paraId="68317A7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产品</w:t>
            </w:r>
          </w:p>
        </w:tc>
        <w:tc>
          <w:tcPr>
            <w:tcW w:w="579" w:type="pct"/>
            <w:vAlign w:val="center"/>
          </w:tcPr>
          <w:p w14:paraId="6530507C">
            <w:pPr>
              <w:jc w:val="center"/>
              <w:rPr>
                <w:rFonts w:hint="default" w:ascii="Times New Roman" w:hAnsi="Times New Roman" w:eastAsia="宋体" w:cs="Times New Roman"/>
                <w:kern w:val="2"/>
                <w:sz w:val="24"/>
                <w:szCs w:val="24"/>
                <w:lang w:val="en-US" w:eastAsia="zh-CN" w:bidi="ar-SA"/>
              </w:rPr>
            </w:pPr>
            <w:r>
              <w:rPr>
                <w:rFonts w:hint="eastAsia" w:eastAsia="宋体" w:cs="Times New Roman"/>
                <w:b w:val="0"/>
                <w:bCs/>
                <w:color w:val="auto"/>
                <w:kern w:val="2"/>
                <w:sz w:val="21"/>
                <w:szCs w:val="21"/>
                <w:highlight w:val="none"/>
                <w:lang w:val="en-US" w:eastAsia="zh-CN" w:bidi="ar-SA"/>
              </w:rPr>
              <w:t>家具</w:t>
            </w:r>
          </w:p>
        </w:tc>
        <w:tc>
          <w:tcPr>
            <w:tcW w:w="1459" w:type="pct"/>
            <w:vAlign w:val="center"/>
          </w:tcPr>
          <w:p w14:paraId="51D774FF">
            <w:pPr>
              <w:jc w:val="center"/>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lang w:val="en-US" w:eastAsia="zh-CN"/>
              </w:rPr>
              <w:t>/</w:t>
            </w:r>
          </w:p>
        </w:tc>
        <w:tc>
          <w:tcPr>
            <w:tcW w:w="832" w:type="pct"/>
            <w:vAlign w:val="center"/>
          </w:tcPr>
          <w:p w14:paraId="200134F0">
            <w:pPr>
              <w:spacing w:before="0"/>
              <w:ind w:left="0" w:right="0" w:firstLine="420" w:firstLineChars="200"/>
              <w:rPr>
                <w:rFonts w:hint="default" w:ascii="Times New Roman"/>
                <w:sz w:val="21"/>
                <w:lang w:val="en-US" w:eastAsia="zh-CN"/>
              </w:rPr>
            </w:pPr>
            <w:r>
              <w:rPr>
                <w:rFonts w:hint="eastAsia"/>
                <w:sz w:val="21"/>
                <w:lang w:val="en-US" w:eastAsia="zh-CN"/>
              </w:rPr>
              <w:t>500套</w:t>
            </w:r>
          </w:p>
        </w:tc>
        <w:tc>
          <w:tcPr>
            <w:tcW w:w="832" w:type="pct"/>
            <w:vAlign w:val="center"/>
          </w:tcPr>
          <w:p w14:paraId="62C8B34C">
            <w:pPr>
              <w:spacing w:before="0"/>
              <w:ind w:left="0" w:right="0" w:firstLine="420" w:firstLineChars="200"/>
              <w:rPr>
                <w:rFonts w:hint="default" w:ascii="Times New Roman"/>
                <w:sz w:val="21"/>
                <w:lang w:val="en-US" w:eastAsia="zh-CN"/>
              </w:rPr>
            </w:pPr>
            <w:r>
              <w:rPr>
                <w:rFonts w:hint="eastAsia"/>
                <w:sz w:val="21"/>
                <w:lang w:val="en-US" w:eastAsia="zh-CN"/>
              </w:rPr>
              <w:t>500套</w:t>
            </w:r>
          </w:p>
        </w:tc>
        <w:tc>
          <w:tcPr>
            <w:tcW w:w="406" w:type="pct"/>
            <w:vAlign w:val="center"/>
          </w:tcPr>
          <w:p w14:paraId="7D4FCA4F">
            <w:pPr>
              <w:pStyle w:val="140"/>
              <w:spacing w:before="0"/>
              <w:ind w:left="0" w:leftChars="0"/>
              <w:jc w:val="center"/>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散装</w:t>
            </w:r>
          </w:p>
        </w:tc>
        <w:tc>
          <w:tcPr>
            <w:tcW w:w="322" w:type="pct"/>
            <w:vAlign w:val="center"/>
          </w:tcPr>
          <w:p w14:paraId="781AA286">
            <w:pPr>
              <w:pStyle w:val="140"/>
              <w:spacing w:before="0"/>
              <w:ind w:left="0" w:leftChars="0" w:right="0" w:rightChars="0"/>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成品仓库</w:t>
            </w:r>
          </w:p>
        </w:tc>
        <w:tc>
          <w:tcPr>
            <w:tcW w:w="339" w:type="pct"/>
            <w:vAlign w:val="center"/>
          </w:tcPr>
          <w:p w14:paraId="3C1A9392">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不涉及</w:t>
            </w:r>
          </w:p>
        </w:tc>
      </w:tr>
      <w:tr w14:paraId="07DDB5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Align w:val="center"/>
          </w:tcPr>
          <w:p w14:paraId="388DB13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废水</w:t>
            </w:r>
          </w:p>
        </w:tc>
        <w:tc>
          <w:tcPr>
            <w:tcW w:w="579" w:type="pct"/>
            <w:vAlign w:val="center"/>
          </w:tcPr>
          <w:p w14:paraId="71925557">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水帘</w:t>
            </w:r>
            <w:r>
              <w:rPr>
                <w:rFonts w:hint="default" w:ascii="Times New Roman" w:hAnsi="Times New Roman" w:eastAsia="宋体" w:cs="Times New Roman"/>
                <w:kern w:val="2"/>
                <w:sz w:val="21"/>
                <w:szCs w:val="21"/>
                <w:lang w:val="en-US" w:eastAsia="zh-CN" w:bidi="ar-SA"/>
              </w:rPr>
              <w:t>废水</w:t>
            </w:r>
          </w:p>
        </w:tc>
        <w:tc>
          <w:tcPr>
            <w:tcW w:w="1459" w:type="pct"/>
            <w:vAlign w:val="center"/>
          </w:tcPr>
          <w:p w14:paraId="219126D6">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pH、COD、SS、NH3-N、TP、TN</w:t>
            </w:r>
          </w:p>
        </w:tc>
        <w:tc>
          <w:tcPr>
            <w:tcW w:w="832" w:type="pct"/>
            <w:vAlign w:val="center"/>
          </w:tcPr>
          <w:p w14:paraId="56B9915E">
            <w:pPr>
              <w:pStyle w:val="140"/>
              <w:spacing w:before="0"/>
              <w:ind w:left="0" w:right="0"/>
              <w:rPr>
                <w:rFonts w:hint="default" w:ascii="Times New Roman"/>
                <w:sz w:val="21"/>
                <w:lang w:val="en-US" w:eastAsia="zh-CN"/>
              </w:rPr>
            </w:pPr>
            <w:r>
              <w:rPr>
                <w:rFonts w:hint="default" w:ascii="Times New Roman"/>
                <w:sz w:val="21"/>
                <w:lang w:val="en-US" w:eastAsia="zh-CN"/>
              </w:rPr>
              <w:t>/</w:t>
            </w:r>
          </w:p>
        </w:tc>
        <w:tc>
          <w:tcPr>
            <w:tcW w:w="832" w:type="pct"/>
            <w:vAlign w:val="center"/>
          </w:tcPr>
          <w:p w14:paraId="0C0A7890">
            <w:pPr>
              <w:pStyle w:val="140"/>
              <w:spacing w:before="0"/>
              <w:ind w:left="0" w:right="0"/>
              <w:rPr>
                <w:rFonts w:hint="default" w:ascii="Times New Roman"/>
                <w:sz w:val="21"/>
                <w:lang w:val="en-US" w:eastAsia="zh-CN"/>
              </w:rPr>
            </w:pPr>
            <w:r>
              <w:rPr>
                <w:rFonts w:hint="eastAsia" w:ascii="Times New Roman"/>
                <w:sz w:val="21"/>
                <w:lang w:val="en-US" w:eastAsia="zh-CN"/>
              </w:rPr>
              <w:t>/</w:t>
            </w:r>
          </w:p>
        </w:tc>
        <w:tc>
          <w:tcPr>
            <w:tcW w:w="406" w:type="pct"/>
            <w:vAlign w:val="center"/>
          </w:tcPr>
          <w:p w14:paraId="6505C37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322" w:type="pct"/>
            <w:vAlign w:val="center"/>
          </w:tcPr>
          <w:p w14:paraId="09A93CF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339" w:type="pct"/>
            <w:vAlign w:val="center"/>
          </w:tcPr>
          <w:p w14:paraId="34D7399B">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涉水</w:t>
            </w:r>
          </w:p>
        </w:tc>
      </w:tr>
      <w:tr w14:paraId="5926C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restart"/>
            <w:vAlign w:val="center"/>
          </w:tcPr>
          <w:p w14:paraId="6DF26AE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危废</w:t>
            </w:r>
          </w:p>
        </w:tc>
        <w:tc>
          <w:tcPr>
            <w:tcW w:w="579" w:type="pct"/>
            <w:vAlign w:val="center"/>
          </w:tcPr>
          <w:p w14:paraId="3A5BE9BE">
            <w:pPr>
              <w:pStyle w:val="14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废包装桶</w:t>
            </w:r>
          </w:p>
        </w:tc>
        <w:tc>
          <w:tcPr>
            <w:tcW w:w="1459" w:type="pct"/>
            <w:vAlign w:val="center"/>
          </w:tcPr>
          <w:p w14:paraId="146A486B">
            <w:pPr>
              <w:pStyle w:val="140"/>
              <w:ind w:left="0" w:leftChars="0"/>
              <w:jc w:val="center"/>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塑料桶、有机物</w:t>
            </w:r>
          </w:p>
        </w:tc>
        <w:tc>
          <w:tcPr>
            <w:tcW w:w="832" w:type="pct"/>
            <w:vAlign w:val="center"/>
          </w:tcPr>
          <w:p w14:paraId="24562722">
            <w:pPr>
              <w:pStyle w:val="140"/>
              <w:spacing w:before="0"/>
              <w:ind w:left="0" w:right="0"/>
              <w:rPr>
                <w:rFonts w:hint="default" w:ascii="Times New Roman"/>
                <w:sz w:val="21"/>
                <w:lang w:val="en-US" w:eastAsia="zh-CN"/>
              </w:rPr>
            </w:pPr>
            <w:r>
              <w:rPr>
                <w:rFonts w:hint="eastAsia" w:ascii="Times New Roman"/>
                <w:sz w:val="21"/>
                <w:lang w:val="en-US" w:eastAsia="zh-CN"/>
              </w:rPr>
              <w:t>0.76</w:t>
            </w:r>
          </w:p>
        </w:tc>
        <w:tc>
          <w:tcPr>
            <w:tcW w:w="832" w:type="pct"/>
            <w:vAlign w:val="center"/>
          </w:tcPr>
          <w:p w14:paraId="2918C520">
            <w:pPr>
              <w:pStyle w:val="140"/>
              <w:spacing w:before="0"/>
              <w:ind w:left="0" w:right="0"/>
              <w:rPr>
                <w:rFonts w:hint="default" w:ascii="Times New Roman"/>
                <w:sz w:val="21"/>
                <w:lang w:val="en-US" w:eastAsia="zh-CN"/>
              </w:rPr>
            </w:pPr>
            <w:r>
              <w:rPr>
                <w:rFonts w:hint="eastAsia" w:ascii="Times New Roman"/>
                <w:sz w:val="21"/>
                <w:lang w:val="en-US" w:eastAsia="zh-CN"/>
              </w:rPr>
              <w:t>2</w:t>
            </w:r>
          </w:p>
        </w:tc>
        <w:tc>
          <w:tcPr>
            <w:tcW w:w="406" w:type="pct"/>
            <w:vAlign w:val="center"/>
          </w:tcPr>
          <w:p w14:paraId="3E11210E">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sz w:val="21"/>
                <w:szCs w:val="21"/>
                <w:lang w:val="en-US" w:eastAsia="zh-CN"/>
              </w:rPr>
              <w:t>散</w:t>
            </w:r>
            <w:r>
              <w:rPr>
                <w:rFonts w:hint="default" w:ascii="Times New Roman" w:hAnsi="Times New Roman" w:eastAsia="宋体" w:cs="Times New Roman"/>
                <w:sz w:val="21"/>
                <w:szCs w:val="21"/>
                <w:lang w:val="en-US" w:eastAsia="zh-CN"/>
              </w:rPr>
              <w:t>装</w:t>
            </w:r>
          </w:p>
        </w:tc>
        <w:tc>
          <w:tcPr>
            <w:tcW w:w="322" w:type="pct"/>
            <w:vAlign w:val="center"/>
          </w:tcPr>
          <w:p w14:paraId="38476B8F">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339" w:type="pct"/>
            <w:vAlign w:val="center"/>
          </w:tcPr>
          <w:p w14:paraId="32BF69DC">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涉气、涉水</w:t>
            </w:r>
          </w:p>
        </w:tc>
      </w:tr>
      <w:tr w14:paraId="1C97B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431B80D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vAlign w:val="center"/>
          </w:tcPr>
          <w:p w14:paraId="0ADA00AB">
            <w:pPr>
              <w:widowControl/>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废活性炭</w:t>
            </w:r>
          </w:p>
        </w:tc>
        <w:tc>
          <w:tcPr>
            <w:tcW w:w="1459" w:type="pct"/>
            <w:vAlign w:val="center"/>
          </w:tcPr>
          <w:p w14:paraId="78724BCD">
            <w:pPr>
              <w:pStyle w:val="140"/>
              <w:ind w:left="0" w:leftChars="0"/>
              <w:jc w:val="center"/>
              <w:rPr>
                <w:rFonts w:hint="default" w:ascii="Times New Roman" w:hAnsi="Times New Roman" w:eastAsia="宋体" w:cs="Times New Roman"/>
                <w:color w:val="auto"/>
                <w:kern w:val="0"/>
                <w:sz w:val="21"/>
                <w:szCs w:val="21"/>
                <w:lang w:val="en-US" w:eastAsia="zh-CN" w:bidi="zh-CN"/>
              </w:rPr>
            </w:pPr>
            <w:r>
              <w:rPr>
                <w:rFonts w:hint="eastAsia" w:ascii="Times New Roman" w:hAnsi="Times New Roman" w:eastAsia="宋体" w:cs="Times New Roman"/>
                <w:color w:val="auto"/>
                <w:kern w:val="0"/>
                <w:sz w:val="21"/>
                <w:szCs w:val="21"/>
                <w:lang w:val="en-US" w:eastAsia="zh-CN" w:bidi="zh-CN"/>
              </w:rPr>
              <w:t>有机物</w:t>
            </w:r>
          </w:p>
        </w:tc>
        <w:tc>
          <w:tcPr>
            <w:tcW w:w="832" w:type="pct"/>
            <w:vAlign w:val="center"/>
          </w:tcPr>
          <w:p w14:paraId="36869792">
            <w:pPr>
              <w:pStyle w:val="140"/>
              <w:spacing w:before="0"/>
              <w:ind w:left="0" w:right="0"/>
              <w:rPr>
                <w:rFonts w:hint="default" w:ascii="Times New Roman"/>
                <w:sz w:val="21"/>
                <w:lang w:val="en-US" w:eastAsia="zh-CN"/>
              </w:rPr>
            </w:pPr>
            <w:r>
              <w:rPr>
                <w:rFonts w:hint="eastAsia" w:ascii="Times New Roman"/>
                <w:sz w:val="21"/>
                <w:lang w:val="en-US" w:eastAsia="zh-CN"/>
              </w:rPr>
              <w:t>0.5</w:t>
            </w:r>
          </w:p>
        </w:tc>
        <w:tc>
          <w:tcPr>
            <w:tcW w:w="832" w:type="pct"/>
            <w:vAlign w:val="center"/>
          </w:tcPr>
          <w:p w14:paraId="7A17446A">
            <w:pPr>
              <w:pStyle w:val="140"/>
              <w:spacing w:before="0"/>
              <w:ind w:left="0" w:right="0"/>
              <w:rPr>
                <w:rFonts w:hint="default" w:ascii="Times New Roman"/>
                <w:sz w:val="21"/>
                <w:lang w:val="en-US" w:eastAsia="zh-CN"/>
              </w:rPr>
            </w:pPr>
            <w:r>
              <w:rPr>
                <w:rFonts w:hint="eastAsia" w:ascii="Times New Roman"/>
                <w:sz w:val="21"/>
                <w:lang w:val="en-US" w:eastAsia="zh-CN"/>
              </w:rPr>
              <w:t>2</w:t>
            </w:r>
          </w:p>
        </w:tc>
        <w:tc>
          <w:tcPr>
            <w:tcW w:w="406" w:type="pct"/>
            <w:vAlign w:val="center"/>
          </w:tcPr>
          <w:p w14:paraId="3CED03FF">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袋装</w:t>
            </w:r>
          </w:p>
        </w:tc>
        <w:tc>
          <w:tcPr>
            <w:tcW w:w="322" w:type="pct"/>
            <w:vAlign w:val="center"/>
          </w:tcPr>
          <w:p w14:paraId="13B26303">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339" w:type="pct"/>
            <w:vAlign w:val="center"/>
          </w:tcPr>
          <w:p w14:paraId="65443704">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r w14:paraId="7C0EB9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vAlign w:val="center"/>
          </w:tcPr>
          <w:p w14:paraId="11DEB41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vAlign w:val="center"/>
          </w:tcPr>
          <w:p w14:paraId="319ED38E">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default" w:ascii="宋体" w:hAnsi="宋体" w:eastAsia="宋体" w:cs="Times New Roman"/>
                <w:color w:val="000000"/>
                <w:kern w:val="0"/>
                <w:sz w:val="21"/>
                <w:szCs w:val="21"/>
                <w:lang w:val="en-US" w:eastAsia="zh-CN" w:bidi="ar-SA"/>
              </w:rPr>
              <w:t>漆渣</w:t>
            </w:r>
          </w:p>
        </w:tc>
        <w:tc>
          <w:tcPr>
            <w:tcW w:w="1459" w:type="pct"/>
            <w:vAlign w:val="center"/>
          </w:tcPr>
          <w:p w14:paraId="632C9327">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有机物</w:t>
            </w:r>
          </w:p>
        </w:tc>
        <w:tc>
          <w:tcPr>
            <w:tcW w:w="832" w:type="pct"/>
            <w:vAlign w:val="center"/>
          </w:tcPr>
          <w:p w14:paraId="2BD8CA6B">
            <w:pPr>
              <w:pStyle w:val="140"/>
              <w:spacing w:before="0"/>
              <w:ind w:left="0" w:right="0"/>
              <w:rPr>
                <w:rFonts w:hint="default" w:ascii="Times New Roman"/>
                <w:sz w:val="21"/>
                <w:lang w:val="en-US" w:eastAsia="zh-CN"/>
              </w:rPr>
            </w:pPr>
            <w:r>
              <w:rPr>
                <w:rFonts w:hint="eastAsia" w:ascii="Times New Roman"/>
                <w:sz w:val="21"/>
                <w:lang w:val="en-US" w:eastAsia="zh-CN"/>
              </w:rPr>
              <w:t>2</w:t>
            </w:r>
          </w:p>
        </w:tc>
        <w:tc>
          <w:tcPr>
            <w:tcW w:w="832" w:type="pct"/>
            <w:vAlign w:val="center"/>
          </w:tcPr>
          <w:p w14:paraId="293E8626">
            <w:pPr>
              <w:pStyle w:val="140"/>
              <w:spacing w:before="0"/>
              <w:ind w:left="0" w:right="0"/>
              <w:rPr>
                <w:rFonts w:hint="default" w:ascii="Times New Roman"/>
                <w:sz w:val="21"/>
                <w:lang w:val="en-US" w:eastAsia="zh-CN"/>
              </w:rPr>
            </w:pPr>
            <w:r>
              <w:rPr>
                <w:rFonts w:hint="eastAsia" w:ascii="Times New Roman"/>
                <w:sz w:val="21"/>
                <w:lang w:val="en-US" w:eastAsia="zh-CN"/>
              </w:rPr>
              <w:t>4</w:t>
            </w:r>
          </w:p>
        </w:tc>
        <w:tc>
          <w:tcPr>
            <w:tcW w:w="406" w:type="pct"/>
            <w:vAlign w:val="center"/>
          </w:tcPr>
          <w:p w14:paraId="7B71433C">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sz w:val="21"/>
                <w:szCs w:val="21"/>
                <w:lang w:val="en-US" w:eastAsia="zh-CN"/>
              </w:rPr>
              <w:t>袋</w:t>
            </w:r>
            <w:r>
              <w:rPr>
                <w:rFonts w:hint="default" w:ascii="Times New Roman" w:hAnsi="Times New Roman" w:eastAsia="宋体" w:cs="Times New Roman"/>
                <w:sz w:val="21"/>
                <w:szCs w:val="21"/>
                <w:lang w:val="en-US" w:eastAsia="zh-CN"/>
              </w:rPr>
              <w:t>装</w:t>
            </w:r>
          </w:p>
        </w:tc>
        <w:tc>
          <w:tcPr>
            <w:tcW w:w="322" w:type="pct"/>
            <w:vAlign w:val="center"/>
          </w:tcPr>
          <w:p w14:paraId="4249DA47">
            <w:pPr>
              <w:jc w:val="center"/>
              <w:rPr>
                <w:rFonts w:hint="default"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339" w:type="pct"/>
            <w:vAlign w:val="center"/>
          </w:tcPr>
          <w:p w14:paraId="17CF603A">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r w14:paraId="1574E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tcPr>
          <w:p w14:paraId="329FA716">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bookmarkStart w:id="83" w:name="_Toc32621"/>
            <w:bookmarkStart w:id="84" w:name="_Toc7621"/>
          </w:p>
        </w:tc>
        <w:tc>
          <w:tcPr>
            <w:tcW w:w="579" w:type="pct"/>
            <w:vAlign w:val="center"/>
          </w:tcPr>
          <w:p w14:paraId="4FF2016A">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Times New Roman"/>
                <w:color w:val="000000"/>
                <w:kern w:val="0"/>
                <w:sz w:val="21"/>
                <w:szCs w:val="21"/>
                <w:lang w:val="en-US" w:eastAsia="zh-CN" w:bidi="ar-SA"/>
              </w:rPr>
            </w:pPr>
            <w:r>
              <w:rPr>
                <w:rFonts w:hint="default" w:ascii="Times New Roman" w:hAnsi="Times New Roman" w:eastAsia="宋体" w:cs="Times New Roman"/>
                <w:sz w:val="21"/>
                <w:szCs w:val="21"/>
                <w:lang w:val="en-US" w:eastAsia="zh-CN"/>
              </w:rPr>
              <w:t>废刷子</w:t>
            </w:r>
          </w:p>
        </w:tc>
        <w:tc>
          <w:tcPr>
            <w:tcW w:w="1459" w:type="pct"/>
            <w:vAlign w:val="center"/>
          </w:tcPr>
          <w:p w14:paraId="798D3F2E">
            <w:pPr>
              <w:widowControl w:val="0"/>
              <w:spacing w:line="240" w:lineRule="auto"/>
              <w:ind w:left="0" w:leftChars="0"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有机物</w:t>
            </w:r>
          </w:p>
        </w:tc>
        <w:tc>
          <w:tcPr>
            <w:tcW w:w="832" w:type="pct"/>
            <w:vAlign w:val="center"/>
          </w:tcPr>
          <w:p w14:paraId="4394538C">
            <w:pPr>
              <w:pStyle w:val="140"/>
              <w:spacing w:before="0"/>
              <w:ind w:left="0" w:right="0"/>
              <w:rPr>
                <w:rFonts w:hint="default" w:ascii="Times New Roman"/>
                <w:sz w:val="21"/>
                <w:lang w:val="en-US" w:eastAsia="zh-CN"/>
              </w:rPr>
            </w:pPr>
            <w:r>
              <w:rPr>
                <w:rFonts w:hint="eastAsia" w:ascii="Times New Roman"/>
                <w:sz w:val="21"/>
                <w:lang w:val="en-US" w:eastAsia="zh-CN"/>
              </w:rPr>
              <w:t>0.01</w:t>
            </w:r>
          </w:p>
        </w:tc>
        <w:tc>
          <w:tcPr>
            <w:tcW w:w="832" w:type="pct"/>
            <w:vAlign w:val="center"/>
          </w:tcPr>
          <w:p w14:paraId="61429638">
            <w:pPr>
              <w:pStyle w:val="140"/>
              <w:spacing w:before="0"/>
              <w:ind w:left="0" w:right="0"/>
              <w:rPr>
                <w:rFonts w:hint="default" w:ascii="Times New Roman"/>
                <w:sz w:val="21"/>
                <w:lang w:val="en-US" w:eastAsia="zh-CN"/>
              </w:rPr>
            </w:pPr>
            <w:r>
              <w:rPr>
                <w:rFonts w:hint="eastAsia" w:ascii="Times New Roman"/>
                <w:sz w:val="21"/>
                <w:lang w:val="en-US" w:eastAsia="zh-CN"/>
              </w:rPr>
              <w:t>0.12</w:t>
            </w:r>
          </w:p>
        </w:tc>
        <w:tc>
          <w:tcPr>
            <w:tcW w:w="406" w:type="pct"/>
            <w:vAlign w:val="center"/>
          </w:tcPr>
          <w:p w14:paraId="56EA21CF">
            <w:pPr>
              <w:jc w:val="center"/>
              <w:rPr>
                <w:rFonts w:hint="eastAsia" w:ascii="Times New Roman" w:hAnsi="Times New Roman" w:eastAsia="宋体" w:cs="Times New Roman"/>
                <w:bCs/>
                <w:kern w:val="2"/>
                <w:sz w:val="21"/>
                <w:szCs w:val="21"/>
                <w:lang w:val="en-US" w:eastAsia="zh-CN" w:bidi="ar-SA"/>
              </w:rPr>
            </w:pPr>
            <w:r>
              <w:rPr>
                <w:rFonts w:hint="default" w:ascii="Times New Roman" w:hAnsi="Times New Roman" w:eastAsia="宋体" w:cs="Times New Roman"/>
                <w:sz w:val="21"/>
                <w:szCs w:val="21"/>
                <w:lang w:val="en-US" w:eastAsia="zh-CN"/>
              </w:rPr>
              <w:t>袋装</w:t>
            </w:r>
          </w:p>
        </w:tc>
        <w:tc>
          <w:tcPr>
            <w:tcW w:w="322" w:type="pct"/>
            <w:vAlign w:val="center"/>
          </w:tcPr>
          <w:p w14:paraId="309D8ADB">
            <w:pPr>
              <w:jc w:val="center"/>
              <w:rPr>
                <w:rFonts w:hint="eastAsia" w:ascii="Times New Roman" w:hAnsi="Times New Roman" w:eastAsia="宋体" w:cs="Times New Roman"/>
                <w:bCs/>
                <w:kern w:val="2"/>
                <w:sz w:val="21"/>
                <w:szCs w:val="21"/>
                <w:lang w:val="en-US" w:eastAsia="zh-CN" w:bidi="ar-SA"/>
              </w:rPr>
            </w:pPr>
            <w:r>
              <w:rPr>
                <w:rFonts w:hint="default" w:ascii="Times New Roman" w:hAnsi="Times New Roman" w:eastAsia="宋体" w:cs="Times New Roman"/>
                <w:bCs/>
                <w:sz w:val="21"/>
                <w:szCs w:val="21"/>
              </w:rPr>
              <w:t>危废仓库</w:t>
            </w:r>
          </w:p>
        </w:tc>
        <w:tc>
          <w:tcPr>
            <w:tcW w:w="339" w:type="pct"/>
            <w:vAlign w:val="center"/>
          </w:tcPr>
          <w:p w14:paraId="40C99C02">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r w14:paraId="5A1954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tcPr>
          <w:p w14:paraId="6E1B50C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vAlign w:val="center"/>
          </w:tcPr>
          <w:p w14:paraId="0FA3DD65">
            <w:pPr>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Times New Roman"/>
                <w:color w:val="000000"/>
                <w:kern w:val="0"/>
                <w:sz w:val="21"/>
                <w:szCs w:val="21"/>
                <w:lang w:val="en-US" w:eastAsia="zh-CN" w:bidi="ar-SA"/>
              </w:rPr>
            </w:pPr>
            <w:r>
              <w:rPr>
                <w:rFonts w:hint="default" w:ascii="Times New Roman" w:hAnsi="Times New Roman" w:eastAsia="宋体" w:cs="Times New Roman"/>
                <w:sz w:val="21"/>
                <w:szCs w:val="21"/>
                <w:lang w:val="en-US" w:eastAsia="zh-CN"/>
              </w:rPr>
              <w:t>胶渣</w:t>
            </w:r>
          </w:p>
        </w:tc>
        <w:tc>
          <w:tcPr>
            <w:tcW w:w="1459" w:type="pct"/>
            <w:vAlign w:val="center"/>
          </w:tcPr>
          <w:p w14:paraId="1D53DB77">
            <w:pPr>
              <w:widowControl w:val="0"/>
              <w:spacing w:line="240" w:lineRule="auto"/>
              <w:ind w:left="0" w:leftChars="0"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有机物</w:t>
            </w:r>
          </w:p>
        </w:tc>
        <w:tc>
          <w:tcPr>
            <w:tcW w:w="832" w:type="pct"/>
            <w:vAlign w:val="center"/>
          </w:tcPr>
          <w:p w14:paraId="43A3E04F">
            <w:pPr>
              <w:pStyle w:val="140"/>
              <w:spacing w:before="0"/>
              <w:ind w:left="0" w:right="0"/>
              <w:rPr>
                <w:rFonts w:hint="eastAsia" w:ascii="Times New Roman"/>
                <w:sz w:val="21"/>
                <w:lang w:val="en-US" w:eastAsia="zh-CN"/>
              </w:rPr>
            </w:pPr>
            <w:r>
              <w:rPr>
                <w:rFonts w:hint="eastAsia" w:ascii="Times New Roman"/>
                <w:sz w:val="21"/>
                <w:lang w:val="en-US" w:eastAsia="zh-CN"/>
              </w:rPr>
              <w:t>1</w:t>
            </w:r>
          </w:p>
        </w:tc>
        <w:tc>
          <w:tcPr>
            <w:tcW w:w="832" w:type="pct"/>
            <w:vAlign w:val="center"/>
          </w:tcPr>
          <w:p w14:paraId="6A26D9C1">
            <w:pPr>
              <w:pStyle w:val="140"/>
              <w:spacing w:before="0"/>
              <w:ind w:left="0" w:right="0"/>
              <w:rPr>
                <w:rFonts w:hint="eastAsia" w:ascii="Times New Roman"/>
                <w:sz w:val="21"/>
                <w:lang w:val="en-US" w:eastAsia="zh-CN"/>
              </w:rPr>
            </w:pPr>
            <w:r>
              <w:rPr>
                <w:rFonts w:hint="eastAsia" w:ascii="Times New Roman"/>
                <w:sz w:val="21"/>
                <w:lang w:val="en-US" w:eastAsia="zh-CN"/>
              </w:rPr>
              <w:t>1</w:t>
            </w:r>
          </w:p>
        </w:tc>
        <w:tc>
          <w:tcPr>
            <w:tcW w:w="406" w:type="pct"/>
            <w:vAlign w:val="center"/>
          </w:tcPr>
          <w:p w14:paraId="7D73513B">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袋装</w:t>
            </w:r>
          </w:p>
        </w:tc>
        <w:tc>
          <w:tcPr>
            <w:tcW w:w="322" w:type="pct"/>
            <w:vAlign w:val="center"/>
          </w:tcPr>
          <w:p w14:paraId="503EBFC0">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危废仓库</w:t>
            </w:r>
          </w:p>
        </w:tc>
        <w:tc>
          <w:tcPr>
            <w:tcW w:w="339" w:type="pct"/>
            <w:vAlign w:val="center"/>
          </w:tcPr>
          <w:p w14:paraId="03CBE14D">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r w14:paraId="1FDA74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tcPr>
          <w:p w14:paraId="5E51720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vAlign w:val="center"/>
          </w:tcPr>
          <w:p w14:paraId="4FF2643D">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废过滤棉</w:t>
            </w:r>
          </w:p>
        </w:tc>
        <w:tc>
          <w:tcPr>
            <w:tcW w:w="1459" w:type="pct"/>
            <w:vAlign w:val="center"/>
          </w:tcPr>
          <w:p w14:paraId="1703DCB0">
            <w:pPr>
              <w:widowControl w:val="0"/>
              <w:spacing w:line="240" w:lineRule="auto"/>
              <w:ind w:left="0" w:leftChars="0"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有机物</w:t>
            </w:r>
          </w:p>
        </w:tc>
        <w:tc>
          <w:tcPr>
            <w:tcW w:w="832" w:type="pct"/>
            <w:vAlign w:val="center"/>
          </w:tcPr>
          <w:p w14:paraId="4E1B609E">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832" w:type="pct"/>
            <w:vAlign w:val="center"/>
          </w:tcPr>
          <w:p w14:paraId="5723CB89">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406" w:type="pct"/>
            <w:vAlign w:val="center"/>
          </w:tcPr>
          <w:p w14:paraId="57CC9D0D">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袋装</w:t>
            </w:r>
          </w:p>
        </w:tc>
        <w:tc>
          <w:tcPr>
            <w:tcW w:w="322" w:type="pct"/>
            <w:vAlign w:val="center"/>
          </w:tcPr>
          <w:p w14:paraId="7582225B">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危废仓库</w:t>
            </w:r>
          </w:p>
        </w:tc>
        <w:tc>
          <w:tcPr>
            <w:tcW w:w="339" w:type="pct"/>
            <w:vAlign w:val="center"/>
          </w:tcPr>
          <w:p w14:paraId="0614B2CE">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r w14:paraId="042FC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tcPr>
          <w:p w14:paraId="488FBA7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0436B6E6">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含油废水</w:t>
            </w:r>
          </w:p>
        </w:tc>
        <w:tc>
          <w:tcPr>
            <w:tcW w:w="1459" w:type="pct"/>
            <w:vAlign w:val="center"/>
          </w:tcPr>
          <w:p w14:paraId="2B17DF90">
            <w:pPr>
              <w:widowControl w:val="0"/>
              <w:spacing w:line="240" w:lineRule="auto"/>
              <w:ind w:left="0" w:leftChars="0"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有机物</w:t>
            </w:r>
          </w:p>
        </w:tc>
        <w:tc>
          <w:tcPr>
            <w:tcW w:w="832" w:type="pct"/>
            <w:shd w:val="clear" w:color="auto" w:fill="auto"/>
            <w:vAlign w:val="center"/>
          </w:tcPr>
          <w:p w14:paraId="5DF50673">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0.15</w:t>
            </w:r>
          </w:p>
        </w:tc>
        <w:tc>
          <w:tcPr>
            <w:tcW w:w="832" w:type="pct"/>
            <w:vAlign w:val="center"/>
          </w:tcPr>
          <w:p w14:paraId="0BAD5AF9">
            <w:pPr>
              <w:pStyle w:val="140"/>
              <w:spacing w:before="0"/>
              <w:ind w:left="0" w:right="0"/>
              <w:rPr>
                <w:rFonts w:hint="default" w:ascii="Times New Roman"/>
                <w:sz w:val="21"/>
                <w:lang w:val="en-US" w:eastAsia="zh-CN"/>
              </w:rPr>
            </w:pPr>
            <w:r>
              <w:rPr>
                <w:rFonts w:hint="eastAsia" w:ascii="Times New Roman"/>
                <w:sz w:val="21"/>
                <w:lang w:val="en-US" w:eastAsia="zh-CN"/>
              </w:rPr>
              <w:t>0.015</w:t>
            </w:r>
          </w:p>
        </w:tc>
        <w:tc>
          <w:tcPr>
            <w:tcW w:w="406" w:type="pct"/>
            <w:vAlign w:val="center"/>
          </w:tcPr>
          <w:p w14:paraId="417873BE">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桶装</w:t>
            </w:r>
          </w:p>
        </w:tc>
        <w:tc>
          <w:tcPr>
            <w:tcW w:w="322" w:type="pct"/>
            <w:vAlign w:val="center"/>
          </w:tcPr>
          <w:p w14:paraId="319469B1">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危废仓库</w:t>
            </w:r>
          </w:p>
        </w:tc>
        <w:tc>
          <w:tcPr>
            <w:tcW w:w="339" w:type="pct"/>
            <w:vAlign w:val="center"/>
          </w:tcPr>
          <w:p w14:paraId="3161D3B3">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r w14:paraId="3E57B3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27" w:type="pct"/>
            <w:vMerge w:val="continue"/>
          </w:tcPr>
          <w:p w14:paraId="36A4F6D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79" w:type="pct"/>
            <w:shd w:val="clear" w:color="auto" w:fill="auto"/>
            <w:vAlign w:val="center"/>
          </w:tcPr>
          <w:p w14:paraId="61F87EE0">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废劳保用品</w:t>
            </w:r>
          </w:p>
        </w:tc>
        <w:tc>
          <w:tcPr>
            <w:tcW w:w="1459" w:type="pct"/>
            <w:vAlign w:val="center"/>
          </w:tcPr>
          <w:p w14:paraId="50A45B02">
            <w:pPr>
              <w:widowControl w:val="0"/>
              <w:spacing w:line="240" w:lineRule="auto"/>
              <w:ind w:left="0" w:leftChars="0"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有机物</w:t>
            </w:r>
          </w:p>
        </w:tc>
        <w:tc>
          <w:tcPr>
            <w:tcW w:w="832" w:type="pct"/>
            <w:shd w:val="clear" w:color="auto" w:fill="auto"/>
            <w:vAlign w:val="center"/>
          </w:tcPr>
          <w:p w14:paraId="1FCB189E">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0.7</w:t>
            </w:r>
          </w:p>
        </w:tc>
        <w:tc>
          <w:tcPr>
            <w:tcW w:w="832" w:type="pct"/>
            <w:vAlign w:val="center"/>
          </w:tcPr>
          <w:p w14:paraId="0C064BBD">
            <w:pPr>
              <w:pStyle w:val="140"/>
              <w:spacing w:before="0"/>
              <w:ind w:left="0" w:right="0"/>
              <w:rPr>
                <w:rFonts w:hint="default" w:ascii="Times New Roman"/>
                <w:sz w:val="21"/>
                <w:lang w:val="en-US" w:eastAsia="zh-CN"/>
              </w:rPr>
            </w:pPr>
            <w:r>
              <w:rPr>
                <w:rFonts w:hint="eastAsia" w:ascii="Times New Roman"/>
                <w:sz w:val="21"/>
                <w:lang w:val="en-US" w:eastAsia="zh-CN"/>
              </w:rPr>
              <w:t>0.07</w:t>
            </w:r>
          </w:p>
        </w:tc>
        <w:tc>
          <w:tcPr>
            <w:tcW w:w="406" w:type="pct"/>
            <w:vAlign w:val="center"/>
          </w:tcPr>
          <w:p w14:paraId="49626CF9">
            <w:pPr>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袋装</w:t>
            </w:r>
          </w:p>
        </w:tc>
        <w:tc>
          <w:tcPr>
            <w:tcW w:w="322" w:type="pct"/>
            <w:vAlign w:val="center"/>
          </w:tcPr>
          <w:p w14:paraId="1FA8C3AE">
            <w:pPr>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危废仓库</w:t>
            </w:r>
          </w:p>
        </w:tc>
        <w:tc>
          <w:tcPr>
            <w:tcW w:w="339" w:type="pct"/>
            <w:vAlign w:val="center"/>
          </w:tcPr>
          <w:p w14:paraId="52D5DB66">
            <w:pPr>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涉气</w:t>
            </w:r>
            <w:r>
              <w:rPr>
                <w:rFonts w:hint="eastAsia" w:ascii="Times New Roman" w:hAnsi="Times New Roman" w:eastAsia="宋体" w:cs="Times New Roman"/>
                <w:b w:val="0"/>
                <w:bCs/>
                <w:color w:val="auto"/>
                <w:sz w:val="21"/>
                <w:szCs w:val="21"/>
                <w:highlight w:val="none"/>
                <w:lang w:val="en-US" w:eastAsia="zh-CN"/>
              </w:rPr>
              <w:t>、涉水</w:t>
            </w:r>
          </w:p>
        </w:tc>
      </w:tr>
    </w:tbl>
    <w:p w14:paraId="1E363121">
      <w:pPr>
        <w:widowControl/>
        <w:spacing w:before="120" w:beforeLines="50" w:line="500" w:lineRule="exact"/>
        <w:ind w:firstLine="0" w:firstLineChars="0"/>
        <w:jc w:val="center"/>
        <w:rPr>
          <w:rFonts w:hint="default" w:ascii="Times New Roman" w:hAnsi="Times New Roman" w:cs="Times New Roman" w:eastAsiaTheme="minorEastAsia"/>
          <w:b/>
          <w:bCs/>
          <w:color w:val="auto"/>
          <w:sz w:val="24"/>
          <w:szCs w:val="24"/>
          <w:highlight w:val="none"/>
        </w:rPr>
      </w:pPr>
      <w:r>
        <w:rPr>
          <w:rFonts w:ascii="Times New Roman" w:hAnsi="Times New Roman" w:cs="Times New Roman" w:eastAsiaTheme="minorEastAsia"/>
          <w:b/>
          <w:bCs/>
          <w:color w:val="auto"/>
          <w:sz w:val="24"/>
          <w:szCs w:val="24"/>
          <w:highlight w:val="none"/>
        </w:rPr>
        <w:t>表</w:t>
      </w:r>
      <w:r>
        <w:rPr>
          <w:rFonts w:hint="eastAsia" w:cs="Times New Roman" w:eastAsiaTheme="minorEastAsia"/>
          <w:b/>
          <w:bCs/>
          <w:color w:val="auto"/>
          <w:sz w:val="24"/>
          <w:szCs w:val="24"/>
          <w:highlight w:val="none"/>
          <w:lang w:val="en-US" w:eastAsia="zh-CN"/>
        </w:rPr>
        <w:t>3-8</w:t>
      </w:r>
      <w:r>
        <w:rPr>
          <w:rFonts w:hint="default" w:ascii="Times New Roman" w:hAnsi="Times New Roman" w:cs="Times New Roman" w:eastAsiaTheme="minorEastAsia"/>
          <w:b/>
          <w:bCs/>
          <w:color w:val="auto"/>
          <w:sz w:val="24"/>
          <w:szCs w:val="24"/>
          <w:highlight w:val="none"/>
        </w:rPr>
        <w:t>水性漆主要成分表</w:t>
      </w:r>
    </w:p>
    <w:tbl>
      <w:tblPr>
        <w:tblStyle w:val="37"/>
        <w:tblW w:w="93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7"/>
        <w:gridCol w:w="981"/>
        <w:gridCol w:w="1164"/>
        <w:gridCol w:w="2918"/>
        <w:gridCol w:w="1465"/>
        <w:gridCol w:w="1462"/>
      </w:tblGrid>
      <w:tr w14:paraId="193E5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tcBorders>
              <w:tl2br w:val="nil"/>
              <w:tr2bl w:val="nil"/>
            </w:tcBorders>
            <w:noWrap w:val="0"/>
            <w:vAlign w:val="center"/>
          </w:tcPr>
          <w:p w14:paraId="033B812D">
            <w:pPr>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序号</w:t>
            </w:r>
          </w:p>
        </w:tc>
        <w:tc>
          <w:tcPr>
            <w:tcW w:w="981" w:type="dxa"/>
            <w:tcBorders>
              <w:tl2br w:val="nil"/>
              <w:tr2bl w:val="nil"/>
            </w:tcBorders>
            <w:noWrap w:val="0"/>
            <w:vAlign w:val="center"/>
          </w:tcPr>
          <w:p w14:paraId="65F7F9E1">
            <w:pPr>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名称</w:t>
            </w:r>
          </w:p>
        </w:tc>
        <w:tc>
          <w:tcPr>
            <w:tcW w:w="4082" w:type="dxa"/>
            <w:gridSpan w:val="2"/>
            <w:tcBorders>
              <w:tl2br w:val="nil"/>
              <w:tr2bl w:val="nil"/>
            </w:tcBorders>
            <w:noWrap w:val="0"/>
            <w:vAlign w:val="center"/>
          </w:tcPr>
          <w:p w14:paraId="49505D5D">
            <w:pPr>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组分</w:t>
            </w:r>
          </w:p>
        </w:tc>
        <w:tc>
          <w:tcPr>
            <w:tcW w:w="2927" w:type="dxa"/>
            <w:gridSpan w:val="2"/>
            <w:tcBorders>
              <w:tl2br w:val="nil"/>
              <w:tr2bl w:val="nil"/>
            </w:tcBorders>
            <w:noWrap w:val="0"/>
            <w:vAlign w:val="center"/>
          </w:tcPr>
          <w:p w14:paraId="17B5F095">
            <w:pPr>
              <w:spacing w:line="240" w:lineRule="auto"/>
              <w:ind w:firstLine="0" w:firstLineChars="0"/>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百分含（%）</w:t>
            </w:r>
          </w:p>
        </w:tc>
      </w:tr>
      <w:tr w14:paraId="7364B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restart"/>
            <w:tcBorders>
              <w:tl2br w:val="nil"/>
              <w:tr2bl w:val="nil"/>
            </w:tcBorders>
            <w:noWrap w:val="0"/>
            <w:vAlign w:val="center"/>
          </w:tcPr>
          <w:p w14:paraId="645E3BC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981" w:type="dxa"/>
            <w:vMerge w:val="restart"/>
            <w:tcBorders>
              <w:tl2br w:val="nil"/>
              <w:tr2bl w:val="nil"/>
            </w:tcBorders>
            <w:noWrap w:val="0"/>
            <w:vAlign w:val="center"/>
          </w:tcPr>
          <w:p w14:paraId="7387DDF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底漆</w:t>
            </w:r>
          </w:p>
        </w:tc>
        <w:tc>
          <w:tcPr>
            <w:tcW w:w="1164" w:type="dxa"/>
            <w:vMerge w:val="restart"/>
            <w:tcBorders>
              <w:tl2br w:val="nil"/>
              <w:tr2bl w:val="nil"/>
            </w:tcBorders>
            <w:noWrap w:val="0"/>
            <w:vAlign w:val="center"/>
          </w:tcPr>
          <w:p w14:paraId="2DBFA1B5">
            <w:pPr>
              <w:spacing w:line="240" w:lineRule="auto"/>
              <w:ind w:firstLine="0" w:firstLineChars="0"/>
              <w:jc w:val="center"/>
              <w:rPr>
                <w:rFonts w:hint="default" w:ascii="Times New Roman" w:hAnsi="Times New Roman" w:eastAsia="宋体" w:cs="Times New Roman"/>
                <w:sz w:val="21"/>
                <w:szCs w:val="21"/>
              </w:rPr>
            </w:pPr>
            <w:r>
              <w:rPr>
                <w:rFonts w:hint="eastAsia" w:eastAsia="宋体" w:cs="Times New Roman"/>
                <w:sz w:val="21"/>
                <w:szCs w:val="21"/>
                <w:lang w:eastAsia="zh-CN"/>
              </w:rPr>
              <w:t>固体分</w:t>
            </w:r>
          </w:p>
        </w:tc>
        <w:tc>
          <w:tcPr>
            <w:tcW w:w="2918" w:type="dxa"/>
            <w:tcBorders>
              <w:tl2br w:val="nil"/>
              <w:tr2bl w:val="nil"/>
            </w:tcBorders>
            <w:noWrap w:val="0"/>
            <w:vAlign w:val="center"/>
          </w:tcPr>
          <w:p w14:paraId="43E14B75">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丙烯酸树脂</w:t>
            </w:r>
          </w:p>
        </w:tc>
        <w:tc>
          <w:tcPr>
            <w:tcW w:w="1465" w:type="dxa"/>
            <w:tcBorders>
              <w:tl2br w:val="nil"/>
              <w:tr2bl w:val="nil"/>
            </w:tcBorders>
            <w:noWrap w:val="0"/>
            <w:vAlign w:val="center"/>
          </w:tcPr>
          <w:p w14:paraId="66B5DF53">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30</w:t>
            </w:r>
          </w:p>
        </w:tc>
        <w:tc>
          <w:tcPr>
            <w:tcW w:w="1462" w:type="dxa"/>
            <w:vMerge w:val="restart"/>
            <w:tcBorders>
              <w:tl2br w:val="nil"/>
              <w:tr2bl w:val="nil"/>
            </w:tcBorders>
            <w:noWrap w:val="0"/>
            <w:vAlign w:val="center"/>
          </w:tcPr>
          <w:p w14:paraId="7A44C94C">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64</w:t>
            </w:r>
          </w:p>
        </w:tc>
      </w:tr>
      <w:tr w14:paraId="211A42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59223A86">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6A36FB8F">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14AE6EDA">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106DBC3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聚氨酯树脂</w:t>
            </w:r>
          </w:p>
        </w:tc>
        <w:tc>
          <w:tcPr>
            <w:tcW w:w="1465" w:type="dxa"/>
            <w:tcBorders>
              <w:tl2br w:val="nil"/>
              <w:tr2bl w:val="nil"/>
            </w:tcBorders>
            <w:noWrap w:val="0"/>
            <w:vAlign w:val="center"/>
          </w:tcPr>
          <w:p w14:paraId="536F59C0">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c>
          <w:tcPr>
            <w:tcW w:w="1462" w:type="dxa"/>
            <w:vMerge w:val="continue"/>
            <w:tcBorders>
              <w:tl2br w:val="nil"/>
              <w:tr2bl w:val="nil"/>
            </w:tcBorders>
            <w:noWrap w:val="0"/>
            <w:vAlign w:val="center"/>
          </w:tcPr>
          <w:p w14:paraId="4218A6E5">
            <w:pPr>
              <w:spacing w:line="240" w:lineRule="auto"/>
              <w:ind w:firstLine="0" w:firstLineChars="0"/>
              <w:jc w:val="center"/>
              <w:rPr>
                <w:rFonts w:hint="default" w:ascii="Times New Roman" w:hAnsi="Times New Roman" w:eastAsia="宋体" w:cs="Times New Roman"/>
                <w:sz w:val="21"/>
                <w:szCs w:val="21"/>
              </w:rPr>
            </w:pPr>
          </w:p>
        </w:tc>
      </w:tr>
      <w:tr w14:paraId="33859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108A0AB1">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353D856E">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1F5CD1EE">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7401BBD7">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钛白粉</w:t>
            </w:r>
          </w:p>
        </w:tc>
        <w:tc>
          <w:tcPr>
            <w:tcW w:w="1465" w:type="dxa"/>
            <w:tcBorders>
              <w:tl2br w:val="nil"/>
              <w:tr2bl w:val="nil"/>
            </w:tcBorders>
            <w:noWrap w:val="0"/>
            <w:vAlign w:val="center"/>
          </w:tcPr>
          <w:p w14:paraId="3558400D">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7.5</w:t>
            </w:r>
          </w:p>
        </w:tc>
        <w:tc>
          <w:tcPr>
            <w:tcW w:w="1462" w:type="dxa"/>
            <w:vMerge w:val="continue"/>
            <w:tcBorders>
              <w:tl2br w:val="nil"/>
              <w:tr2bl w:val="nil"/>
            </w:tcBorders>
            <w:noWrap w:val="0"/>
            <w:vAlign w:val="center"/>
          </w:tcPr>
          <w:p w14:paraId="31E59F4D">
            <w:pPr>
              <w:spacing w:line="240" w:lineRule="auto"/>
              <w:ind w:firstLine="0" w:firstLineChars="0"/>
              <w:jc w:val="center"/>
              <w:rPr>
                <w:rFonts w:hint="default" w:ascii="Times New Roman" w:hAnsi="Times New Roman" w:eastAsia="宋体" w:cs="Times New Roman"/>
                <w:sz w:val="21"/>
                <w:szCs w:val="21"/>
              </w:rPr>
            </w:pPr>
          </w:p>
        </w:tc>
      </w:tr>
      <w:tr w14:paraId="6C517E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797" w:type="dxa"/>
            <w:vMerge w:val="continue"/>
            <w:tcBorders>
              <w:tl2br w:val="nil"/>
              <w:tr2bl w:val="nil"/>
            </w:tcBorders>
            <w:noWrap w:val="0"/>
            <w:vAlign w:val="center"/>
          </w:tcPr>
          <w:p w14:paraId="5BDF8895">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5BDCC9E4">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254FA9B9">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1A3B879B">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滑石粉</w:t>
            </w:r>
          </w:p>
        </w:tc>
        <w:tc>
          <w:tcPr>
            <w:tcW w:w="1465" w:type="dxa"/>
            <w:tcBorders>
              <w:tl2br w:val="nil"/>
              <w:tr2bl w:val="nil"/>
            </w:tcBorders>
            <w:noWrap w:val="0"/>
            <w:vAlign w:val="center"/>
          </w:tcPr>
          <w:p w14:paraId="27A22199">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5.3</w:t>
            </w:r>
          </w:p>
        </w:tc>
        <w:tc>
          <w:tcPr>
            <w:tcW w:w="1462" w:type="dxa"/>
            <w:vMerge w:val="continue"/>
            <w:tcBorders>
              <w:tl2br w:val="nil"/>
              <w:tr2bl w:val="nil"/>
            </w:tcBorders>
            <w:noWrap w:val="0"/>
            <w:vAlign w:val="center"/>
          </w:tcPr>
          <w:p w14:paraId="1F423865">
            <w:pPr>
              <w:spacing w:line="240" w:lineRule="auto"/>
              <w:ind w:firstLine="0" w:firstLineChars="0"/>
              <w:jc w:val="center"/>
              <w:rPr>
                <w:rFonts w:hint="default" w:ascii="Times New Roman" w:hAnsi="Times New Roman" w:eastAsia="宋体" w:cs="Times New Roman"/>
                <w:sz w:val="21"/>
                <w:szCs w:val="21"/>
              </w:rPr>
            </w:pPr>
          </w:p>
        </w:tc>
      </w:tr>
      <w:tr w14:paraId="15D14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750F6897">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0836EE4B">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298506CD">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41C3F19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消泡剂（有机硅类化合物）</w:t>
            </w:r>
          </w:p>
        </w:tc>
        <w:tc>
          <w:tcPr>
            <w:tcW w:w="1465" w:type="dxa"/>
            <w:tcBorders>
              <w:tl2br w:val="nil"/>
              <w:tr2bl w:val="nil"/>
            </w:tcBorders>
            <w:noWrap w:val="0"/>
            <w:vAlign w:val="center"/>
          </w:tcPr>
          <w:p w14:paraId="2899D284">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w:t>
            </w:r>
          </w:p>
        </w:tc>
        <w:tc>
          <w:tcPr>
            <w:tcW w:w="1462" w:type="dxa"/>
            <w:vMerge w:val="continue"/>
            <w:tcBorders>
              <w:tl2br w:val="nil"/>
              <w:tr2bl w:val="nil"/>
            </w:tcBorders>
            <w:noWrap w:val="0"/>
            <w:vAlign w:val="center"/>
          </w:tcPr>
          <w:p w14:paraId="201FD0B9">
            <w:pPr>
              <w:spacing w:line="240" w:lineRule="auto"/>
              <w:ind w:firstLine="0" w:firstLineChars="0"/>
              <w:jc w:val="center"/>
              <w:rPr>
                <w:rFonts w:hint="default" w:ascii="Times New Roman" w:hAnsi="Times New Roman" w:eastAsia="宋体" w:cs="Times New Roman"/>
                <w:sz w:val="21"/>
                <w:szCs w:val="21"/>
              </w:rPr>
            </w:pPr>
          </w:p>
        </w:tc>
      </w:tr>
      <w:tr w14:paraId="0B2EF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60A689F6">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3A9457B2">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479B19FF">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7BC43D5F">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润湿剂（有机硅类化合物）</w:t>
            </w:r>
          </w:p>
        </w:tc>
        <w:tc>
          <w:tcPr>
            <w:tcW w:w="1465" w:type="dxa"/>
            <w:tcBorders>
              <w:tl2br w:val="nil"/>
              <w:tr2bl w:val="nil"/>
            </w:tcBorders>
            <w:noWrap w:val="0"/>
            <w:vAlign w:val="center"/>
          </w:tcPr>
          <w:p w14:paraId="2CFB05B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0.7</w:t>
            </w:r>
          </w:p>
        </w:tc>
        <w:tc>
          <w:tcPr>
            <w:tcW w:w="1462" w:type="dxa"/>
            <w:vMerge w:val="continue"/>
            <w:tcBorders>
              <w:tl2br w:val="nil"/>
              <w:tr2bl w:val="nil"/>
            </w:tcBorders>
            <w:noWrap w:val="0"/>
            <w:vAlign w:val="center"/>
          </w:tcPr>
          <w:p w14:paraId="537E5DC2">
            <w:pPr>
              <w:spacing w:line="240" w:lineRule="auto"/>
              <w:ind w:firstLine="0" w:firstLineChars="0"/>
              <w:jc w:val="center"/>
              <w:rPr>
                <w:rFonts w:hint="default" w:ascii="Times New Roman" w:hAnsi="Times New Roman" w:eastAsia="宋体" w:cs="Times New Roman"/>
                <w:sz w:val="21"/>
                <w:szCs w:val="21"/>
              </w:rPr>
            </w:pPr>
          </w:p>
        </w:tc>
      </w:tr>
      <w:tr w14:paraId="75436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302EBEB0">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27D2C750">
            <w:pPr>
              <w:spacing w:line="240" w:lineRule="auto"/>
              <w:ind w:firstLine="0" w:firstLineChars="0"/>
              <w:jc w:val="center"/>
              <w:rPr>
                <w:rFonts w:hint="default" w:ascii="Times New Roman" w:hAnsi="Times New Roman" w:eastAsia="宋体" w:cs="Times New Roman"/>
                <w:sz w:val="21"/>
                <w:szCs w:val="21"/>
              </w:rPr>
            </w:pPr>
          </w:p>
        </w:tc>
        <w:tc>
          <w:tcPr>
            <w:tcW w:w="1164" w:type="dxa"/>
            <w:vMerge w:val="restart"/>
            <w:tcBorders>
              <w:tl2br w:val="nil"/>
              <w:tr2bl w:val="nil"/>
            </w:tcBorders>
            <w:noWrap w:val="0"/>
            <w:vAlign w:val="center"/>
          </w:tcPr>
          <w:p w14:paraId="1038868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挥发份</w:t>
            </w:r>
          </w:p>
        </w:tc>
        <w:tc>
          <w:tcPr>
            <w:tcW w:w="2918" w:type="dxa"/>
            <w:tcBorders>
              <w:tl2br w:val="nil"/>
              <w:tr2bl w:val="nil"/>
            </w:tcBorders>
            <w:noWrap w:val="0"/>
            <w:vAlign w:val="center"/>
          </w:tcPr>
          <w:p w14:paraId="0D7894CE">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二丙二醇甲醚</w:t>
            </w:r>
          </w:p>
        </w:tc>
        <w:tc>
          <w:tcPr>
            <w:tcW w:w="1465" w:type="dxa"/>
            <w:tcBorders>
              <w:tl2br w:val="nil"/>
              <w:tr2bl w:val="nil"/>
            </w:tcBorders>
            <w:noWrap w:val="0"/>
            <w:vAlign w:val="center"/>
          </w:tcPr>
          <w:p w14:paraId="6615BFE8">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462" w:type="dxa"/>
            <w:vMerge w:val="restart"/>
            <w:tcBorders>
              <w:tl2br w:val="nil"/>
              <w:tr2bl w:val="nil"/>
            </w:tcBorders>
            <w:noWrap w:val="0"/>
            <w:vAlign w:val="center"/>
          </w:tcPr>
          <w:p w14:paraId="6494C914">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r>
      <w:tr w14:paraId="6742C8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55D45EB1">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6138EF13">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53984F23">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0982809B">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二丙二醇丁醚</w:t>
            </w:r>
          </w:p>
        </w:tc>
        <w:tc>
          <w:tcPr>
            <w:tcW w:w="1465" w:type="dxa"/>
            <w:tcBorders>
              <w:tl2br w:val="nil"/>
              <w:tr2bl w:val="nil"/>
            </w:tcBorders>
            <w:noWrap w:val="0"/>
            <w:vAlign w:val="center"/>
          </w:tcPr>
          <w:p w14:paraId="02A3F9B2">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462" w:type="dxa"/>
            <w:vMerge w:val="continue"/>
            <w:tcBorders>
              <w:tl2br w:val="nil"/>
              <w:tr2bl w:val="nil"/>
            </w:tcBorders>
            <w:noWrap w:val="0"/>
            <w:vAlign w:val="center"/>
          </w:tcPr>
          <w:p w14:paraId="1E8FDBE6">
            <w:pPr>
              <w:spacing w:line="240" w:lineRule="auto"/>
              <w:ind w:firstLine="0" w:firstLineChars="0"/>
              <w:jc w:val="center"/>
              <w:rPr>
                <w:rFonts w:hint="default" w:ascii="Times New Roman" w:hAnsi="Times New Roman" w:eastAsia="宋体" w:cs="Times New Roman"/>
                <w:sz w:val="21"/>
                <w:szCs w:val="21"/>
              </w:rPr>
            </w:pPr>
          </w:p>
        </w:tc>
      </w:tr>
      <w:tr w14:paraId="31E0CF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4BA86CCF">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198FBBA0">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03AC69B2">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117C37BD">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w:t>
            </w:r>
          </w:p>
        </w:tc>
        <w:tc>
          <w:tcPr>
            <w:tcW w:w="1465" w:type="dxa"/>
            <w:tcBorders>
              <w:tl2br w:val="nil"/>
              <w:tr2bl w:val="nil"/>
            </w:tcBorders>
            <w:noWrap w:val="0"/>
            <w:vAlign w:val="center"/>
          </w:tcPr>
          <w:p w14:paraId="07ED58B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32</w:t>
            </w:r>
          </w:p>
        </w:tc>
        <w:tc>
          <w:tcPr>
            <w:tcW w:w="1462" w:type="dxa"/>
            <w:tcBorders>
              <w:tl2br w:val="nil"/>
              <w:tr2bl w:val="nil"/>
            </w:tcBorders>
            <w:noWrap w:val="0"/>
            <w:vAlign w:val="center"/>
          </w:tcPr>
          <w:p w14:paraId="62F3EB1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32</w:t>
            </w:r>
          </w:p>
        </w:tc>
      </w:tr>
      <w:tr w14:paraId="6658D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restart"/>
            <w:tcBorders>
              <w:tl2br w:val="nil"/>
              <w:tr2bl w:val="nil"/>
            </w:tcBorders>
            <w:noWrap w:val="0"/>
            <w:vAlign w:val="center"/>
          </w:tcPr>
          <w:p w14:paraId="42107C9C">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981" w:type="dxa"/>
            <w:vMerge w:val="restart"/>
            <w:tcBorders>
              <w:tl2br w:val="nil"/>
              <w:tr2bl w:val="nil"/>
            </w:tcBorders>
            <w:noWrap w:val="0"/>
            <w:vAlign w:val="center"/>
          </w:tcPr>
          <w:p w14:paraId="190603CC">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面漆</w:t>
            </w:r>
          </w:p>
        </w:tc>
        <w:tc>
          <w:tcPr>
            <w:tcW w:w="1164" w:type="dxa"/>
            <w:vMerge w:val="restart"/>
            <w:tcBorders>
              <w:tl2br w:val="nil"/>
              <w:tr2bl w:val="nil"/>
            </w:tcBorders>
            <w:noWrap w:val="0"/>
            <w:vAlign w:val="center"/>
          </w:tcPr>
          <w:p w14:paraId="18B6475F">
            <w:pPr>
              <w:spacing w:line="240" w:lineRule="auto"/>
              <w:ind w:firstLine="0" w:firstLineChars="0"/>
              <w:jc w:val="center"/>
              <w:rPr>
                <w:rFonts w:hint="default" w:ascii="Times New Roman" w:hAnsi="Times New Roman" w:eastAsia="宋体" w:cs="Times New Roman"/>
                <w:sz w:val="21"/>
                <w:szCs w:val="21"/>
              </w:rPr>
            </w:pPr>
            <w:r>
              <w:rPr>
                <w:rFonts w:hint="eastAsia" w:eastAsia="宋体" w:cs="Times New Roman"/>
                <w:sz w:val="21"/>
                <w:szCs w:val="21"/>
                <w:lang w:eastAsia="zh-CN"/>
              </w:rPr>
              <w:t>固体分</w:t>
            </w:r>
          </w:p>
        </w:tc>
        <w:tc>
          <w:tcPr>
            <w:tcW w:w="2918" w:type="dxa"/>
            <w:tcBorders>
              <w:tl2br w:val="nil"/>
              <w:tr2bl w:val="nil"/>
            </w:tcBorders>
            <w:noWrap w:val="0"/>
            <w:vAlign w:val="center"/>
          </w:tcPr>
          <w:p w14:paraId="0F9AD929">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丙烯酸树脂</w:t>
            </w:r>
          </w:p>
        </w:tc>
        <w:tc>
          <w:tcPr>
            <w:tcW w:w="1465" w:type="dxa"/>
            <w:tcBorders>
              <w:tl2br w:val="nil"/>
              <w:tr2bl w:val="nil"/>
            </w:tcBorders>
            <w:noWrap w:val="0"/>
            <w:vAlign w:val="center"/>
          </w:tcPr>
          <w:p w14:paraId="3B0804B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25</w:t>
            </w:r>
          </w:p>
        </w:tc>
        <w:tc>
          <w:tcPr>
            <w:tcW w:w="1462" w:type="dxa"/>
            <w:vMerge w:val="restart"/>
            <w:tcBorders>
              <w:tl2br w:val="nil"/>
              <w:tr2bl w:val="nil"/>
            </w:tcBorders>
            <w:noWrap w:val="0"/>
            <w:vAlign w:val="center"/>
          </w:tcPr>
          <w:p w14:paraId="4752734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48</w:t>
            </w:r>
          </w:p>
        </w:tc>
      </w:tr>
      <w:tr w14:paraId="7293A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3B83DBF7">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685F9ED2">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1079B25B">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1B054652">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聚氨酯树脂</w:t>
            </w:r>
          </w:p>
        </w:tc>
        <w:tc>
          <w:tcPr>
            <w:tcW w:w="1465" w:type="dxa"/>
            <w:tcBorders>
              <w:tl2br w:val="nil"/>
              <w:tr2bl w:val="nil"/>
            </w:tcBorders>
            <w:noWrap w:val="0"/>
            <w:vAlign w:val="center"/>
          </w:tcPr>
          <w:p w14:paraId="3A16B46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w:t>
            </w:r>
          </w:p>
        </w:tc>
        <w:tc>
          <w:tcPr>
            <w:tcW w:w="1462" w:type="dxa"/>
            <w:vMerge w:val="continue"/>
            <w:tcBorders>
              <w:tl2br w:val="nil"/>
              <w:tr2bl w:val="nil"/>
            </w:tcBorders>
            <w:noWrap w:val="0"/>
            <w:vAlign w:val="center"/>
          </w:tcPr>
          <w:p w14:paraId="326A6203">
            <w:pPr>
              <w:spacing w:line="240" w:lineRule="auto"/>
              <w:ind w:firstLine="0" w:firstLineChars="0"/>
              <w:jc w:val="center"/>
              <w:rPr>
                <w:rFonts w:hint="default" w:ascii="Times New Roman" w:hAnsi="Times New Roman" w:eastAsia="宋体" w:cs="Times New Roman"/>
                <w:sz w:val="21"/>
                <w:szCs w:val="21"/>
              </w:rPr>
            </w:pPr>
          </w:p>
        </w:tc>
      </w:tr>
      <w:tr w14:paraId="3E2B5B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26FD72B8">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682CED59">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4B6291D4">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325FA12F">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消泡剂（有机硅类化合物）</w:t>
            </w:r>
          </w:p>
        </w:tc>
        <w:tc>
          <w:tcPr>
            <w:tcW w:w="1465" w:type="dxa"/>
            <w:tcBorders>
              <w:tl2br w:val="nil"/>
              <w:tr2bl w:val="nil"/>
            </w:tcBorders>
            <w:noWrap w:val="0"/>
            <w:vAlign w:val="center"/>
          </w:tcPr>
          <w:p w14:paraId="08E6E29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w:t>
            </w:r>
          </w:p>
        </w:tc>
        <w:tc>
          <w:tcPr>
            <w:tcW w:w="1462" w:type="dxa"/>
            <w:vMerge w:val="continue"/>
            <w:tcBorders>
              <w:tl2br w:val="nil"/>
              <w:tr2bl w:val="nil"/>
            </w:tcBorders>
            <w:noWrap w:val="0"/>
            <w:vAlign w:val="center"/>
          </w:tcPr>
          <w:p w14:paraId="3DDFE1A9">
            <w:pPr>
              <w:spacing w:line="240" w:lineRule="auto"/>
              <w:ind w:firstLine="0" w:firstLineChars="0"/>
              <w:jc w:val="center"/>
              <w:rPr>
                <w:rFonts w:hint="default" w:ascii="Times New Roman" w:hAnsi="Times New Roman" w:eastAsia="宋体" w:cs="Times New Roman"/>
                <w:sz w:val="21"/>
                <w:szCs w:val="21"/>
              </w:rPr>
            </w:pPr>
          </w:p>
        </w:tc>
      </w:tr>
      <w:tr w14:paraId="147B5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797" w:type="dxa"/>
            <w:vMerge w:val="continue"/>
            <w:tcBorders>
              <w:tl2br w:val="nil"/>
              <w:tr2bl w:val="nil"/>
            </w:tcBorders>
            <w:noWrap w:val="0"/>
            <w:vAlign w:val="center"/>
          </w:tcPr>
          <w:p w14:paraId="57562E40">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01D3D071">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7F82ACA5">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3DF2DBBE">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润湿剂（有机硅类化合物）</w:t>
            </w:r>
          </w:p>
        </w:tc>
        <w:tc>
          <w:tcPr>
            <w:tcW w:w="1465" w:type="dxa"/>
            <w:tcBorders>
              <w:tl2br w:val="nil"/>
              <w:tr2bl w:val="nil"/>
            </w:tcBorders>
            <w:noWrap w:val="0"/>
            <w:vAlign w:val="center"/>
          </w:tcPr>
          <w:p w14:paraId="1B0BF66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0.7</w:t>
            </w:r>
          </w:p>
        </w:tc>
        <w:tc>
          <w:tcPr>
            <w:tcW w:w="1462" w:type="dxa"/>
            <w:vMerge w:val="continue"/>
            <w:tcBorders>
              <w:tl2br w:val="nil"/>
              <w:tr2bl w:val="nil"/>
            </w:tcBorders>
            <w:noWrap w:val="0"/>
            <w:vAlign w:val="center"/>
          </w:tcPr>
          <w:p w14:paraId="2AFE0722">
            <w:pPr>
              <w:spacing w:line="240" w:lineRule="auto"/>
              <w:ind w:firstLine="0" w:firstLineChars="0"/>
              <w:jc w:val="center"/>
              <w:rPr>
                <w:rFonts w:hint="default" w:ascii="Times New Roman" w:hAnsi="Times New Roman" w:eastAsia="宋体" w:cs="Times New Roman"/>
                <w:sz w:val="21"/>
                <w:szCs w:val="21"/>
              </w:rPr>
            </w:pPr>
          </w:p>
        </w:tc>
      </w:tr>
      <w:tr w14:paraId="42251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1F5B1F7F">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224CEF8D">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68B75ADB">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44FCAE51">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增稠剂（丙烯酸酯类聚合物）</w:t>
            </w:r>
          </w:p>
        </w:tc>
        <w:tc>
          <w:tcPr>
            <w:tcW w:w="1465" w:type="dxa"/>
            <w:tcBorders>
              <w:tl2br w:val="nil"/>
              <w:tr2bl w:val="nil"/>
            </w:tcBorders>
            <w:noWrap w:val="0"/>
            <w:vAlign w:val="center"/>
          </w:tcPr>
          <w:p w14:paraId="0D81AB5F">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w:t>
            </w:r>
          </w:p>
        </w:tc>
        <w:tc>
          <w:tcPr>
            <w:tcW w:w="1462" w:type="dxa"/>
            <w:vMerge w:val="continue"/>
            <w:tcBorders>
              <w:tl2br w:val="nil"/>
              <w:tr2bl w:val="nil"/>
            </w:tcBorders>
            <w:noWrap w:val="0"/>
            <w:vAlign w:val="center"/>
          </w:tcPr>
          <w:p w14:paraId="591DC19E">
            <w:pPr>
              <w:spacing w:line="240" w:lineRule="auto"/>
              <w:ind w:firstLine="0" w:firstLineChars="0"/>
              <w:jc w:val="center"/>
              <w:rPr>
                <w:rFonts w:hint="default" w:ascii="Times New Roman" w:hAnsi="Times New Roman" w:eastAsia="宋体" w:cs="Times New Roman"/>
                <w:sz w:val="21"/>
                <w:szCs w:val="21"/>
              </w:rPr>
            </w:pPr>
          </w:p>
        </w:tc>
      </w:tr>
      <w:tr w14:paraId="390DA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64D2DB8E">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3BB8401B">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41B79210">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208DCB1F">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防腐剂</w:t>
            </w:r>
          </w:p>
        </w:tc>
        <w:tc>
          <w:tcPr>
            <w:tcW w:w="1465" w:type="dxa"/>
            <w:tcBorders>
              <w:tl2br w:val="nil"/>
              <w:tr2bl w:val="nil"/>
            </w:tcBorders>
            <w:noWrap w:val="0"/>
            <w:vAlign w:val="center"/>
          </w:tcPr>
          <w:p w14:paraId="52DC9939">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0.5</w:t>
            </w:r>
          </w:p>
        </w:tc>
        <w:tc>
          <w:tcPr>
            <w:tcW w:w="1462" w:type="dxa"/>
            <w:vMerge w:val="continue"/>
            <w:tcBorders>
              <w:tl2br w:val="nil"/>
              <w:tr2bl w:val="nil"/>
            </w:tcBorders>
            <w:noWrap w:val="0"/>
            <w:vAlign w:val="center"/>
          </w:tcPr>
          <w:p w14:paraId="2A02C3F7">
            <w:pPr>
              <w:spacing w:line="240" w:lineRule="auto"/>
              <w:ind w:firstLine="0" w:firstLineChars="0"/>
              <w:jc w:val="center"/>
              <w:rPr>
                <w:rFonts w:hint="default" w:ascii="Times New Roman" w:hAnsi="Times New Roman" w:eastAsia="宋体" w:cs="Times New Roman"/>
                <w:sz w:val="21"/>
                <w:szCs w:val="21"/>
              </w:rPr>
            </w:pPr>
          </w:p>
        </w:tc>
      </w:tr>
      <w:tr w14:paraId="24A90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228CACF7">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5D189ED1">
            <w:pPr>
              <w:spacing w:line="240" w:lineRule="auto"/>
              <w:ind w:firstLine="0" w:firstLineChars="0"/>
              <w:jc w:val="center"/>
              <w:rPr>
                <w:rFonts w:hint="default" w:ascii="Times New Roman" w:hAnsi="Times New Roman" w:eastAsia="宋体" w:cs="Times New Roman"/>
                <w:sz w:val="21"/>
                <w:szCs w:val="21"/>
              </w:rPr>
            </w:pPr>
          </w:p>
        </w:tc>
        <w:tc>
          <w:tcPr>
            <w:tcW w:w="1164" w:type="dxa"/>
            <w:vMerge w:val="restart"/>
            <w:tcBorders>
              <w:tl2br w:val="nil"/>
              <w:tr2bl w:val="nil"/>
            </w:tcBorders>
            <w:noWrap w:val="0"/>
            <w:vAlign w:val="center"/>
          </w:tcPr>
          <w:p w14:paraId="12C8C3B0">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挥发份</w:t>
            </w:r>
          </w:p>
        </w:tc>
        <w:tc>
          <w:tcPr>
            <w:tcW w:w="2918" w:type="dxa"/>
            <w:tcBorders>
              <w:tl2br w:val="nil"/>
              <w:tr2bl w:val="nil"/>
            </w:tcBorders>
            <w:noWrap w:val="0"/>
            <w:vAlign w:val="center"/>
          </w:tcPr>
          <w:p w14:paraId="2F27549F">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二丙二醇甲醚</w:t>
            </w:r>
          </w:p>
        </w:tc>
        <w:tc>
          <w:tcPr>
            <w:tcW w:w="1465" w:type="dxa"/>
            <w:tcBorders>
              <w:tl2br w:val="nil"/>
              <w:tr2bl w:val="nil"/>
            </w:tcBorders>
            <w:noWrap w:val="0"/>
            <w:vAlign w:val="center"/>
          </w:tcPr>
          <w:p w14:paraId="4E74F8ED">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462" w:type="dxa"/>
            <w:vMerge w:val="restart"/>
            <w:tcBorders>
              <w:tl2br w:val="nil"/>
              <w:tr2bl w:val="nil"/>
            </w:tcBorders>
            <w:noWrap w:val="0"/>
            <w:vAlign w:val="center"/>
          </w:tcPr>
          <w:p w14:paraId="5666BB58">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r>
      <w:tr w14:paraId="43F35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731D0ECA">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72A53757">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39FE222A">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6B0E32FA">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二丙二醇丁醚</w:t>
            </w:r>
          </w:p>
        </w:tc>
        <w:tc>
          <w:tcPr>
            <w:tcW w:w="1465" w:type="dxa"/>
            <w:tcBorders>
              <w:tl2br w:val="nil"/>
              <w:tr2bl w:val="nil"/>
            </w:tcBorders>
            <w:noWrap w:val="0"/>
            <w:vAlign w:val="center"/>
          </w:tcPr>
          <w:p w14:paraId="5937EF9F">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462" w:type="dxa"/>
            <w:vMerge w:val="continue"/>
            <w:tcBorders>
              <w:tl2br w:val="nil"/>
              <w:tr2bl w:val="nil"/>
            </w:tcBorders>
            <w:noWrap w:val="0"/>
            <w:vAlign w:val="center"/>
          </w:tcPr>
          <w:p w14:paraId="2BD80388">
            <w:pPr>
              <w:spacing w:line="240" w:lineRule="auto"/>
              <w:ind w:firstLine="0" w:firstLineChars="0"/>
              <w:jc w:val="center"/>
              <w:rPr>
                <w:rFonts w:hint="default" w:ascii="Times New Roman" w:hAnsi="Times New Roman" w:eastAsia="宋体" w:cs="Times New Roman"/>
                <w:sz w:val="21"/>
                <w:szCs w:val="21"/>
              </w:rPr>
            </w:pPr>
          </w:p>
        </w:tc>
      </w:tr>
      <w:tr w14:paraId="1740D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7" w:type="dxa"/>
            <w:vMerge w:val="continue"/>
            <w:tcBorders>
              <w:tl2br w:val="nil"/>
              <w:tr2bl w:val="nil"/>
            </w:tcBorders>
            <w:noWrap w:val="0"/>
            <w:vAlign w:val="center"/>
          </w:tcPr>
          <w:p w14:paraId="5BE2FA80">
            <w:pPr>
              <w:spacing w:line="240" w:lineRule="auto"/>
              <w:ind w:firstLine="0" w:firstLineChars="0"/>
              <w:jc w:val="center"/>
              <w:rPr>
                <w:rFonts w:hint="default" w:ascii="Times New Roman" w:hAnsi="Times New Roman" w:eastAsia="宋体" w:cs="Times New Roman"/>
                <w:sz w:val="21"/>
                <w:szCs w:val="21"/>
              </w:rPr>
            </w:pPr>
          </w:p>
        </w:tc>
        <w:tc>
          <w:tcPr>
            <w:tcW w:w="981" w:type="dxa"/>
            <w:vMerge w:val="continue"/>
            <w:tcBorders>
              <w:tl2br w:val="nil"/>
              <w:tr2bl w:val="nil"/>
            </w:tcBorders>
            <w:noWrap w:val="0"/>
            <w:vAlign w:val="center"/>
          </w:tcPr>
          <w:p w14:paraId="4DF7D021">
            <w:pPr>
              <w:spacing w:line="240" w:lineRule="auto"/>
              <w:ind w:firstLine="0" w:firstLineChars="0"/>
              <w:jc w:val="center"/>
              <w:rPr>
                <w:rFonts w:hint="default" w:ascii="Times New Roman" w:hAnsi="Times New Roman" w:eastAsia="宋体" w:cs="Times New Roman"/>
                <w:sz w:val="21"/>
                <w:szCs w:val="21"/>
              </w:rPr>
            </w:pPr>
          </w:p>
        </w:tc>
        <w:tc>
          <w:tcPr>
            <w:tcW w:w="1164" w:type="dxa"/>
            <w:vMerge w:val="continue"/>
            <w:tcBorders>
              <w:tl2br w:val="nil"/>
              <w:tr2bl w:val="nil"/>
            </w:tcBorders>
            <w:noWrap w:val="0"/>
            <w:vAlign w:val="center"/>
          </w:tcPr>
          <w:p w14:paraId="70A49584">
            <w:pPr>
              <w:spacing w:line="240" w:lineRule="auto"/>
              <w:ind w:firstLine="0" w:firstLineChars="0"/>
              <w:jc w:val="center"/>
              <w:rPr>
                <w:rFonts w:hint="default" w:ascii="Times New Roman" w:hAnsi="Times New Roman" w:eastAsia="宋体" w:cs="Times New Roman"/>
                <w:sz w:val="21"/>
                <w:szCs w:val="21"/>
              </w:rPr>
            </w:pPr>
          </w:p>
        </w:tc>
        <w:tc>
          <w:tcPr>
            <w:tcW w:w="2918" w:type="dxa"/>
            <w:tcBorders>
              <w:tl2br w:val="nil"/>
              <w:tr2bl w:val="nil"/>
            </w:tcBorders>
            <w:noWrap w:val="0"/>
            <w:vAlign w:val="center"/>
          </w:tcPr>
          <w:p w14:paraId="1C0F15C6">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水</w:t>
            </w:r>
          </w:p>
        </w:tc>
        <w:tc>
          <w:tcPr>
            <w:tcW w:w="1465" w:type="dxa"/>
            <w:tcBorders>
              <w:tl2br w:val="nil"/>
              <w:tr2bl w:val="nil"/>
            </w:tcBorders>
            <w:noWrap w:val="0"/>
            <w:vAlign w:val="center"/>
          </w:tcPr>
          <w:p w14:paraId="55569743">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46</w:t>
            </w:r>
          </w:p>
        </w:tc>
        <w:tc>
          <w:tcPr>
            <w:tcW w:w="1462" w:type="dxa"/>
            <w:tcBorders>
              <w:tl2br w:val="nil"/>
              <w:tr2bl w:val="nil"/>
            </w:tcBorders>
            <w:noWrap w:val="0"/>
            <w:vAlign w:val="center"/>
          </w:tcPr>
          <w:p w14:paraId="51BDE0E7">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46</w:t>
            </w:r>
          </w:p>
        </w:tc>
      </w:tr>
    </w:tbl>
    <w:p w14:paraId="459F0D94">
      <w:pPr>
        <w:pageBreakBefore w:val="0"/>
        <w:widowControl w:val="0"/>
        <w:kinsoku/>
        <w:wordWrap/>
        <w:overflowPunct/>
        <w:topLinePunct w:val="0"/>
        <w:autoSpaceDE/>
        <w:autoSpaceDN/>
        <w:bidi w:val="0"/>
        <w:snapToGrid w:val="0"/>
        <w:spacing w:line="500" w:lineRule="exact"/>
        <w:jc w:val="center"/>
        <w:textAlignment w:val="auto"/>
        <w:rPr>
          <w:rFonts w:ascii="Times New Roman" w:hAnsi="Times New Roman" w:cs="Times New Roman" w:eastAsiaTheme="minorEastAsia"/>
          <w:b/>
          <w:color w:val="auto"/>
          <w:sz w:val="24"/>
          <w:szCs w:val="24"/>
          <w:highlight w:val="none"/>
        </w:rPr>
      </w:pPr>
      <w:r>
        <w:rPr>
          <w:rFonts w:ascii="Times New Roman" w:hAnsi="Times New Roman" w:cs="Times New Roman" w:eastAsiaTheme="minorEastAsia"/>
          <w:b/>
          <w:color w:val="auto"/>
          <w:sz w:val="24"/>
          <w:szCs w:val="24"/>
          <w:highlight w:val="none"/>
        </w:rPr>
        <w:t>表</w:t>
      </w:r>
      <w:r>
        <w:rPr>
          <w:rFonts w:hint="eastAsia" w:cs="Times New Roman" w:eastAsiaTheme="minorEastAsia"/>
          <w:b/>
          <w:color w:val="auto"/>
          <w:sz w:val="24"/>
          <w:szCs w:val="24"/>
          <w:highlight w:val="none"/>
          <w:lang w:val="en-US" w:eastAsia="zh-CN"/>
        </w:rPr>
        <w:t>3-9</w:t>
      </w:r>
      <w:r>
        <w:rPr>
          <w:rFonts w:hint="eastAsia" w:eastAsiaTheme="minorEastAsia"/>
          <w:b/>
          <w:color w:val="000000" w:themeColor="text1"/>
          <w:sz w:val="24"/>
          <w:szCs w:val="24"/>
          <w:lang w:val="en-US" w:eastAsia="zh-CN"/>
          <w14:textFill>
            <w14:solidFill>
              <w14:schemeClr w14:val="tx1"/>
            </w14:solidFill>
          </w14:textFill>
        </w:rPr>
        <w:t>公司原辅料理化性质</w:t>
      </w:r>
    </w:p>
    <w:tbl>
      <w:tblPr>
        <w:tblStyle w:val="37"/>
        <w:tblW w:w="524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08"/>
        <w:gridCol w:w="1689"/>
        <w:gridCol w:w="3393"/>
        <w:gridCol w:w="2229"/>
        <w:gridCol w:w="1828"/>
      </w:tblGrid>
      <w:tr w14:paraId="5A37D8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jc w:val="center"/>
        </w:trPr>
        <w:tc>
          <w:tcPr>
            <w:tcW w:w="263" w:type="pct"/>
            <w:shd w:val="clear" w:color="auto" w:fill="auto"/>
            <w:vAlign w:val="center"/>
          </w:tcPr>
          <w:p w14:paraId="2AD21FEB">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序号</w:t>
            </w:r>
          </w:p>
        </w:tc>
        <w:tc>
          <w:tcPr>
            <w:tcW w:w="875" w:type="pct"/>
            <w:shd w:val="clear" w:color="auto" w:fill="auto"/>
            <w:vAlign w:val="center"/>
          </w:tcPr>
          <w:p w14:paraId="6E40E4F7">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 w:val="21"/>
                <w:szCs w:val="21"/>
                <w:highlight w:val="none"/>
                <w:lang w:val="en-US" w:eastAsia="zh-CN"/>
              </w:rPr>
              <w:t>名称</w:t>
            </w:r>
          </w:p>
        </w:tc>
        <w:tc>
          <w:tcPr>
            <w:tcW w:w="1758" w:type="pct"/>
            <w:shd w:val="clear" w:color="auto" w:fill="auto"/>
            <w:vAlign w:val="center"/>
          </w:tcPr>
          <w:p w14:paraId="11E0B6C2">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b/>
                <w:bCs/>
                <w:color w:val="auto"/>
                <w:sz w:val="21"/>
                <w:szCs w:val="21"/>
                <w:highlight w:val="none"/>
                <w:lang w:val="en-US" w:eastAsia="zh-CN"/>
              </w:rPr>
              <w:t>理化性质</w:t>
            </w:r>
          </w:p>
        </w:tc>
        <w:tc>
          <w:tcPr>
            <w:tcW w:w="1155" w:type="pct"/>
            <w:shd w:val="clear" w:color="auto" w:fill="auto"/>
            <w:vAlign w:val="center"/>
          </w:tcPr>
          <w:p w14:paraId="6E9CF390">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Times New Roman" w:hAnsi="Times New Roman" w:eastAsia="宋体" w:cs="Times New Roman"/>
                <w:b/>
                <w:bCs/>
                <w:color w:val="auto"/>
                <w:sz w:val="21"/>
                <w:szCs w:val="21"/>
                <w:highlight w:val="none"/>
                <w:lang w:val="en-US" w:eastAsia="zh-CN"/>
              </w:rPr>
              <w:t>危险特</w:t>
            </w:r>
            <w:r>
              <w:rPr>
                <w:rFonts w:hint="default" w:ascii="Times New Roman" w:hAnsi="Times New Roman" w:eastAsia="宋体" w:cs="Times New Roman"/>
                <w:b/>
                <w:bCs/>
                <w:color w:val="auto"/>
                <w:sz w:val="21"/>
                <w:szCs w:val="21"/>
                <w:highlight w:val="none"/>
                <w:lang w:val="en-US" w:eastAsia="zh-CN"/>
              </w:rPr>
              <w:t>性</w:t>
            </w:r>
          </w:p>
        </w:tc>
        <w:tc>
          <w:tcPr>
            <w:tcW w:w="947" w:type="pct"/>
            <w:shd w:val="clear" w:color="auto" w:fill="auto"/>
            <w:vAlign w:val="center"/>
          </w:tcPr>
          <w:p w14:paraId="6AA35C10">
            <w:pPr>
              <w:pStyle w:val="140"/>
              <w:keepNext w:val="0"/>
              <w:keepLines w:val="0"/>
              <w:pageBreakBefore w:val="0"/>
              <w:widowControl w:val="0"/>
              <w:kinsoku/>
              <w:wordWrap/>
              <w:overflowPunct/>
              <w:topLinePunct w:val="0"/>
              <w:autoSpaceDE/>
              <w:autoSpaceDN/>
              <w:bidi w:val="0"/>
              <w:adjustRightInd/>
              <w:snapToGrid w:val="0"/>
              <w:contextualSpacing/>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毒理毒性</w:t>
            </w:r>
          </w:p>
        </w:tc>
      </w:tr>
      <w:tr w14:paraId="46E1F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63" w:type="pct"/>
            <w:shd w:val="clear" w:color="auto" w:fill="auto"/>
            <w:vAlign w:val="center"/>
          </w:tcPr>
          <w:p w14:paraId="649CA834">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w:t>
            </w:r>
          </w:p>
        </w:tc>
        <w:tc>
          <w:tcPr>
            <w:tcW w:w="875" w:type="pct"/>
            <w:shd w:val="clear" w:color="auto" w:fill="auto"/>
            <w:vAlign w:val="center"/>
          </w:tcPr>
          <w:p w14:paraId="27AD9F7C">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丙烯酸树脂</w:t>
            </w:r>
          </w:p>
        </w:tc>
        <w:tc>
          <w:tcPr>
            <w:tcW w:w="1758" w:type="pct"/>
            <w:shd w:val="clear" w:color="auto" w:fill="auto"/>
            <w:vAlign w:val="center"/>
          </w:tcPr>
          <w:p w14:paraId="34E41608">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分子式</w:t>
            </w:r>
            <w:r>
              <w:rPr>
                <w:rFonts w:hint="eastAsia" w:eastAsia="宋体" w:cs="Times New Roman"/>
                <w:sz w:val="21"/>
                <w:szCs w:val="21"/>
                <w:lang w:eastAsia="zh-CN"/>
              </w:rPr>
              <w:t>（</w:t>
            </w: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4</w:t>
            </w:r>
            <w:r>
              <w:rPr>
                <w:rFonts w:hint="default" w:ascii="Times New Roman" w:hAnsi="Times New Roman" w:eastAsia="宋体" w:cs="Times New Roman"/>
                <w:sz w:val="21"/>
                <w:szCs w:val="21"/>
              </w:rPr>
              <w:t>O</w:t>
            </w:r>
            <w:r>
              <w:rPr>
                <w:rFonts w:hint="default" w:ascii="Times New Roman" w:hAnsi="Times New Roman" w:eastAsia="宋体" w:cs="Times New Roman"/>
                <w:sz w:val="21"/>
                <w:szCs w:val="21"/>
                <w:vertAlign w:val="subscript"/>
              </w:rPr>
              <w:t>2</w:t>
            </w:r>
            <w:r>
              <w:rPr>
                <w:rFonts w:hint="default" w:ascii="Times New Roman" w:hAnsi="Times New Roman" w:eastAsia="宋体" w:cs="Times New Roman"/>
                <w:sz w:val="21"/>
                <w:szCs w:val="21"/>
              </w:rPr>
              <w:t>)n，无色或有色流体，有特殊芳香味，熔点：-47.9℃，沸点：139℃，相对密度（水＝1）：0.86，相对蒸汽密度（空气＝1）：3.66，闪点25℃，引燃温度：525℃</w:t>
            </w:r>
          </w:p>
        </w:tc>
        <w:tc>
          <w:tcPr>
            <w:tcW w:w="1155" w:type="pct"/>
            <w:shd w:val="clear" w:color="auto" w:fill="auto"/>
            <w:vAlign w:val="center"/>
          </w:tcPr>
          <w:p w14:paraId="160B758C">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不燃</w:t>
            </w:r>
          </w:p>
        </w:tc>
        <w:tc>
          <w:tcPr>
            <w:tcW w:w="947" w:type="pct"/>
            <w:shd w:val="clear" w:color="auto" w:fill="auto"/>
            <w:vAlign w:val="center"/>
          </w:tcPr>
          <w:p w14:paraId="2A6D8A18">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r>
      <w:tr w14:paraId="14A53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63" w:type="pct"/>
            <w:shd w:val="clear" w:color="auto" w:fill="auto"/>
            <w:vAlign w:val="center"/>
          </w:tcPr>
          <w:p w14:paraId="22F4A685">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2</w:t>
            </w:r>
          </w:p>
        </w:tc>
        <w:tc>
          <w:tcPr>
            <w:tcW w:w="875" w:type="pct"/>
            <w:shd w:val="clear" w:color="auto" w:fill="auto"/>
            <w:vAlign w:val="center"/>
          </w:tcPr>
          <w:p w14:paraId="23F01BAB">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聚氨酯树脂</w:t>
            </w:r>
          </w:p>
        </w:tc>
        <w:tc>
          <w:tcPr>
            <w:tcW w:w="1758" w:type="pct"/>
            <w:shd w:val="clear" w:color="auto" w:fill="auto"/>
            <w:vAlign w:val="center"/>
          </w:tcPr>
          <w:p w14:paraId="4936D5EA">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根据分子量大小不同，物态可从无臭无味的黄色透明液体至固体，沸点：155°C，用于涂料、粘合剂、玻璃纤维增强结构材料等</w:t>
            </w:r>
          </w:p>
        </w:tc>
        <w:tc>
          <w:tcPr>
            <w:tcW w:w="1155" w:type="pct"/>
            <w:shd w:val="clear" w:color="auto" w:fill="auto"/>
            <w:vAlign w:val="center"/>
          </w:tcPr>
          <w:p w14:paraId="72C36B71">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可燃</w:t>
            </w:r>
          </w:p>
        </w:tc>
        <w:tc>
          <w:tcPr>
            <w:tcW w:w="947" w:type="pct"/>
            <w:shd w:val="clear" w:color="auto" w:fill="auto"/>
            <w:vAlign w:val="center"/>
          </w:tcPr>
          <w:p w14:paraId="1234164B">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LD50:11400mg/kg（大鼠经口）</w:t>
            </w:r>
          </w:p>
        </w:tc>
      </w:tr>
      <w:tr w14:paraId="6E1149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63" w:type="pct"/>
            <w:shd w:val="clear" w:color="auto" w:fill="auto"/>
            <w:vAlign w:val="center"/>
          </w:tcPr>
          <w:p w14:paraId="0BA2A692">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3</w:t>
            </w:r>
          </w:p>
        </w:tc>
        <w:tc>
          <w:tcPr>
            <w:tcW w:w="875" w:type="pct"/>
            <w:shd w:val="clear" w:color="auto" w:fill="auto"/>
            <w:vAlign w:val="center"/>
          </w:tcPr>
          <w:p w14:paraId="74EEB711">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二丙二醇甲醚</w:t>
            </w:r>
          </w:p>
        </w:tc>
        <w:tc>
          <w:tcPr>
            <w:tcW w:w="1758" w:type="pct"/>
            <w:shd w:val="clear" w:color="auto" w:fill="auto"/>
            <w:vAlign w:val="center"/>
          </w:tcPr>
          <w:p w14:paraId="042085CC">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无色透明</w:t>
            </w:r>
            <w:r>
              <w:rPr>
                <w:rFonts w:hint="eastAsia" w:eastAsia="宋体" w:cs="Times New Roman"/>
                <w:sz w:val="21"/>
                <w:szCs w:val="21"/>
                <w:lang w:eastAsia="zh-CN"/>
              </w:rPr>
              <w:t>黏稠</w:t>
            </w:r>
            <w:r>
              <w:rPr>
                <w:rFonts w:hint="default" w:ascii="Times New Roman" w:hAnsi="Times New Roman" w:eastAsia="宋体" w:cs="Times New Roman"/>
                <w:sz w:val="21"/>
                <w:szCs w:val="21"/>
              </w:rPr>
              <w:t>液体。具有令人愉快的气味；沸点187.2℃，密度0.96g/mL，闪点85℃，与水互溶。</w:t>
            </w:r>
          </w:p>
        </w:tc>
        <w:tc>
          <w:tcPr>
            <w:tcW w:w="1155" w:type="pct"/>
            <w:shd w:val="clear" w:color="auto" w:fill="auto"/>
            <w:vAlign w:val="center"/>
          </w:tcPr>
          <w:p w14:paraId="7965BF1B">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可燃</w:t>
            </w:r>
          </w:p>
        </w:tc>
        <w:tc>
          <w:tcPr>
            <w:tcW w:w="947" w:type="pct"/>
            <w:shd w:val="clear" w:color="auto" w:fill="auto"/>
            <w:vAlign w:val="center"/>
          </w:tcPr>
          <w:p w14:paraId="615CBC92">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r>
      <w:tr w14:paraId="702652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263" w:type="pct"/>
            <w:shd w:val="clear" w:color="auto" w:fill="auto"/>
            <w:vAlign w:val="center"/>
          </w:tcPr>
          <w:p w14:paraId="1AB17446">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4</w:t>
            </w:r>
          </w:p>
        </w:tc>
        <w:tc>
          <w:tcPr>
            <w:tcW w:w="875" w:type="pct"/>
            <w:shd w:val="clear" w:color="auto" w:fill="auto"/>
            <w:vAlign w:val="center"/>
          </w:tcPr>
          <w:p w14:paraId="6B1E26F1">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二丙二醇丁醚</w:t>
            </w:r>
          </w:p>
        </w:tc>
        <w:tc>
          <w:tcPr>
            <w:tcW w:w="1758" w:type="pct"/>
            <w:shd w:val="clear" w:color="auto" w:fill="auto"/>
            <w:vAlign w:val="center"/>
          </w:tcPr>
          <w:p w14:paraId="4D7FD709">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CAS号：29911-28-2，分子式：C</w:t>
            </w:r>
            <w:r>
              <w:rPr>
                <w:rFonts w:hint="default" w:ascii="Times New Roman" w:hAnsi="Times New Roman" w:eastAsia="宋体" w:cs="Times New Roman"/>
                <w:sz w:val="21"/>
                <w:szCs w:val="21"/>
                <w:vertAlign w:val="subscript"/>
              </w:rPr>
              <w:t>10</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22</w:t>
            </w:r>
            <w:r>
              <w:rPr>
                <w:rFonts w:hint="default" w:ascii="Times New Roman" w:hAnsi="Times New Roman" w:eastAsia="宋体" w:cs="Times New Roman"/>
                <w:sz w:val="21"/>
                <w:szCs w:val="21"/>
              </w:rPr>
              <w:t>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rPr>
              <w:t>，沸点：222°C，无色液体，溶于水密度：0.913g/mLat25°C</w:t>
            </w:r>
          </w:p>
        </w:tc>
        <w:tc>
          <w:tcPr>
            <w:tcW w:w="1155" w:type="pct"/>
            <w:shd w:val="clear" w:color="auto" w:fill="auto"/>
            <w:vAlign w:val="center"/>
          </w:tcPr>
          <w:p w14:paraId="45DD4068">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可燃</w:t>
            </w:r>
          </w:p>
        </w:tc>
        <w:tc>
          <w:tcPr>
            <w:tcW w:w="947" w:type="pct"/>
            <w:shd w:val="clear" w:color="auto" w:fill="auto"/>
            <w:vAlign w:val="center"/>
          </w:tcPr>
          <w:p w14:paraId="23F7524F">
            <w:pPr>
              <w:spacing w:line="240" w:lineRule="auto"/>
              <w:ind w:firstLine="0" w:firstLine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p>
        </w:tc>
      </w:tr>
    </w:tbl>
    <w:p w14:paraId="5F9DE2CA">
      <w:pPr>
        <w:pStyle w:val="3"/>
        <w:adjustRightInd w:val="0"/>
        <w:snapToGrid w:val="0"/>
        <w:spacing w:line="480" w:lineRule="exact"/>
        <w:rPr>
          <w:rFonts w:hint="default" w:ascii="Times New Roman" w:hAnsi="Times New Roman" w:eastAsia="宋体" w:cs="Times New Roman"/>
          <w:sz w:val="24"/>
          <w:szCs w:val="24"/>
          <w:lang w:val="en-US" w:eastAsia="zh-CN"/>
        </w:rPr>
      </w:pPr>
      <w:bookmarkStart w:id="85" w:name="_Toc31109"/>
      <w:r>
        <w:rPr>
          <w:rFonts w:hint="default" w:ascii="Times New Roman" w:hAnsi="Times New Roman" w:eastAsia="宋体" w:cs="Times New Roman"/>
          <w:sz w:val="24"/>
          <w:szCs w:val="24"/>
        </w:rPr>
        <w:t>3.4</w:t>
      </w:r>
      <w:r>
        <w:rPr>
          <w:rFonts w:hint="eastAsia" w:eastAsia="宋体" w:cs="Times New Roman"/>
          <w:sz w:val="24"/>
          <w:szCs w:val="24"/>
          <w:lang w:val="en-US" w:eastAsia="zh-CN"/>
        </w:rPr>
        <w:t>环境</w:t>
      </w:r>
      <w:bookmarkEnd w:id="83"/>
      <w:r>
        <w:rPr>
          <w:rFonts w:hint="eastAsia" w:eastAsia="宋体" w:cs="Times New Roman"/>
          <w:sz w:val="24"/>
          <w:szCs w:val="24"/>
          <w:lang w:val="en-US" w:eastAsia="zh-CN"/>
        </w:rPr>
        <w:t>风险单元识别</w:t>
      </w:r>
      <w:bookmarkEnd w:id="85"/>
    </w:p>
    <w:p w14:paraId="4340A775">
      <w:pPr>
        <w:pStyle w:val="13"/>
        <w:spacing w:before="0" w:after="0" w:line="500" w:lineRule="exact"/>
        <w:ind w:left="0" w:right="0" w:firstLine="480" w:firstLineChars="200"/>
        <w:jc w:val="both"/>
        <w:rPr>
          <w:rFonts w:hint="default" w:eastAsia="宋体"/>
        </w:rPr>
      </w:pPr>
      <w:r>
        <w:rPr>
          <w:rFonts w:hint="default" w:eastAsia="宋体"/>
          <w:spacing w:val="0"/>
        </w:rPr>
        <w:t>环境风险单元指长期或短期生产、加工、使用或储存环境风险物质的一个</w:t>
      </w:r>
      <w:r>
        <w:rPr>
          <w:rFonts w:hint="default" w:eastAsia="宋体"/>
        </w:rPr>
        <w:t>（套</w:t>
      </w:r>
      <w:r>
        <w:rPr>
          <w:rFonts w:hint="default" w:eastAsia="宋体"/>
          <w:spacing w:val="0"/>
        </w:rPr>
        <w:t>）生产装置、设施</w:t>
      </w:r>
      <w:r>
        <w:rPr>
          <w:rFonts w:hint="default" w:eastAsia="宋体"/>
        </w:rPr>
        <w:t>（</w:t>
      </w:r>
      <w:r>
        <w:rPr>
          <w:rFonts w:hint="default" w:eastAsia="宋体"/>
          <w:spacing w:val="0"/>
        </w:rPr>
        <w:t>贮存容器、管道等）及环保处理设施或同属一个企业且边缘距离小于</w:t>
      </w:r>
      <w:r>
        <w:rPr>
          <w:rFonts w:hint="default" w:ascii="Times New Roman" w:eastAsia="宋体"/>
          <w:spacing w:val="0"/>
        </w:rPr>
        <w:t>500</w:t>
      </w:r>
      <w:r>
        <w:rPr>
          <w:rFonts w:hint="default" w:eastAsia="宋体"/>
        </w:rPr>
        <w:t>米的几个（套）生产装置、设施或场所。</w:t>
      </w:r>
    </w:p>
    <w:p w14:paraId="3BFFFD1D">
      <w:pPr>
        <w:pStyle w:val="13"/>
        <w:spacing w:after="0" w:line="500" w:lineRule="exact"/>
        <w:ind w:left="0" w:right="0" w:firstLine="480" w:firstLineChars="200"/>
        <w:jc w:val="both"/>
        <w:rPr>
          <w:rFonts w:hint="default" w:ascii="Times New Roman" w:hAnsi="Times New Roman" w:eastAsia="宋体" w:cs="Times New Roman"/>
        </w:rPr>
      </w:pPr>
      <w:r>
        <w:rPr>
          <w:rFonts w:hint="default" w:eastAsia="宋体"/>
          <w:spacing w:val="0"/>
        </w:rPr>
        <w:t>公司环境风险单元有</w:t>
      </w:r>
      <w:r>
        <w:rPr>
          <w:rFonts w:hint="eastAsia" w:eastAsia="宋体" w:cs="Times New Roman"/>
          <w:spacing w:val="0"/>
          <w:lang w:val="en-US" w:eastAsia="zh-CN"/>
        </w:rPr>
        <w:t>油漆</w:t>
      </w:r>
      <w:r>
        <w:rPr>
          <w:rFonts w:hint="eastAsia" w:ascii="Times New Roman" w:hAnsi="Times New Roman" w:eastAsia="宋体" w:cs="Times New Roman"/>
          <w:spacing w:val="0"/>
          <w:lang w:val="en-US" w:eastAsia="zh-CN"/>
        </w:rPr>
        <w:t>仓库</w:t>
      </w:r>
      <w:r>
        <w:rPr>
          <w:rFonts w:hint="default" w:eastAsia="宋体"/>
          <w:spacing w:val="0"/>
        </w:rPr>
        <w:t>、</w:t>
      </w:r>
      <w:r>
        <w:rPr>
          <w:rFonts w:hint="eastAsia" w:eastAsia="宋体"/>
          <w:spacing w:val="0"/>
          <w:lang w:val="en-US" w:eastAsia="zh-CN"/>
        </w:rPr>
        <w:t>生产车间、</w:t>
      </w:r>
      <w:r>
        <w:rPr>
          <w:rFonts w:hint="default" w:eastAsia="宋体"/>
          <w:spacing w:val="0"/>
        </w:rPr>
        <w:t>危废仓库</w:t>
      </w:r>
      <w:r>
        <w:rPr>
          <w:rFonts w:hint="eastAsia" w:eastAsia="宋体"/>
          <w:spacing w:val="0"/>
          <w:lang w:val="en-US" w:eastAsia="zh-CN"/>
        </w:rPr>
        <w:t>等</w:t>
      </w:r>
      <w:r>
        <w:rPr>
          <w:rFonts w:hint="default" w:eastAsia="宋体"/>
          <w:spacing w:val="0"/>
        </w:rPr>
        <w:t>，根据环保部《企业突</w:t>
      </w:r>
      <w:r>
        <w:rPr>
          <w:rFonts w:hint="default" w:eastAsia="宋体"/>
        </w:rPr>
        <w:t>发环境事件风险分级方法》（</w:t>
      </w:r>
      <w:r>
        <w:rPr>
          <w:rFonts w:hint="default" w:ascii="Times New Roman" w:eastAsia="宋体"/>
        </w:rPr>
        <w:t>HJ941-2018</w:t>
      </w:r>
      <w:r>
        <w:rPr>
          <w:rFonts w:hint="default" w:eastAsia="宋体"/>
        </w:rPr>
        <w:t>），</w:t>
      </w:r>
      <w:r>
        <w:rPr>
          <w:rFonts w:hint="default" w:eastAsia="宋体"/>
          <w:spacing w:val="0"/>
        </w:rPr>
        <w:t>重要环境风险单元识别见表</w:t>
      </w:r>
      <w:r>
        <w:rPr>
          <w:rFonts w:hint="default" w:ascii="Times New Roman" w:eastAsia="宋体"/>
        </w:rPr>
        <w:t>3-</w:t>
      </w:r>
      <w:r>
        <w:rPr>
          <w:rFonts w:hint="eastAsia" w:eastAsia="宋体"/>
          <w:lang w:val="en-US" w:eastAsia="zh-CN"/>
        </w:rPr>
        <w:t>10</w:t>
      </w:r>
      <w:r>
        <w:rPr>
          <w:rFonts w:hint="default" w:eastAsia="宋体"/>
        </w:rPr>
        <w:t>。</w:t>
      </w:r>
    </w:p>
    <w:p w14:paraId="5C13964C">
      <w:pPr>
        <w:snapToGrid w:val="0"/>
        <w:spacing w:line="500" w:lineRule="exact"/>
        <w:jc w:val="center"/>
        <w:rPr>
          <w:rFonts w:hint="default"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10</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重要环境风险单元识别表</w:t>
      </w:r>
    </w:p>
    <w:tbl>
      <w:tblPr>
        <w:tblStyle w:val="37"/>
        <w:tblW w:w="0" w:type="auto"/>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73C2BB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14:paraId="3086A63F">
            <w:pPr>
              <w:pStyle w:val="140"/>
              <w:spacing w:before="0"/>
              <w:ind w:left="0" w:right="0"/>
              <w:rPr>
                <w:b/>
                <w:sz w:val="21"/>
              </w:rPr>
            </w:pPr>
            <w:r>
              <w:rPr>
                <w:b/>
                <w:sz w:val="21"/>
              </w:rPr>
              <w:t>环境风险</w:t>
            </w:r>
          </w:p>
          <w:p w14:paraId="18918162">
            <w:pPr>
              <w:pStyle w:val="140"/>
              <w:spacing w:before="0" w:line="240" w:lineRule="auto"/>
              <w:ind w:left="0" w:right="0"/>
              <w:rPr>
                <w:b/>
                <w:sz w:val="21"/>
              </w:rPr>
            </w:pPr>
            <w:r>
              <w:rPr>
                <w:b/>
                <w:sz w:val="21"/>
              </w:rPr>
              <w:t>单元</w:t>
            </w:r>
          </w:p>
        </w:tc>
        <w:tc>
          <w:tcPr>
            <w:tcW w:w="1984" w:type="dxa"/>
            <w:tcBorders>
              <w:tl2br w:val="nil"/>
              <w:tr2bl w:val="nil"/>
            </w:tcBorders>
            <w:vAlign w:val="center"/>
          </w:tcPr>
          <w:p w14:paraId="6546A071">
            <w:pPr>
              <w:pStyle w:val="140"/>
              <w:spacing w:before="0"/>
              <w:ind w:left="0" w:right="0"/>
              <w:rPr>
                <w:b/>
                <w:sz w:val="21"/>
              </w:rPr>
            </w:pPr>
            <w:r>
              <w:rPr>
                <w:b/>
                <w:sz w:val="21"/>
              </w:rPr>
              <w:t>风险物质名称</w:t>
            </w:r>
          </w:p>
        </w:tc>
        <w:tc>
          <w:tcPr>
            <w:tcW w:w="1437" w:type="dxa"/>
            <w:tcBorders>
              <w:tl2br w:val="nil"/>
              <w:tr2bl w:val="nil"/>
            </w:tcBorders>
            <w:vAlign w:val="center"/>
          </w:tcPr>
          <w:p w14:paraId="243CD295">
            <w:pPr>
              <w:pStyle w:val="140"/>
              <w:spacing w:before="0"/>
              <w:ind w:left="0"/>
              <w:jc w:val="center"/>
              <w:rPr>
                <w:b/>
                <w:sz w:val="21"/>
              </w:rPr>
            </w:pPr>
            <w:r>
              <w:rPr>
                <w:b/>
                <w:sz w:val="21"/>
              </w:rPr>
              <w:t>最大存在总</w:t>
            </w:r>
          </w:p>
          <w:p w14:paraId="4F2B2E4B">
            <w:pPr>
              <w:pStyle w:val="140"/>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427B78C7">
            <w:pPr>
              <w:pStyle w:val="140"/>
              <w:spacing w:before="0"/>
              <w:ind w:left="0" w:right="0"/>
              <w:rPr>
                <w:rFonts w:ascii="Times New Roman" w:eastAsia="Times New Roman"/>
                <w:b/>
                <w:sz w:val="21"/>
              </w:rPr>
            </w:pPr>
            <w:r>
              <w:rPr>
                <w:b/>
                <w:sz w:val="21"/>
              </w:rPr>
              <w:t>临界量</w:t>
            </w:r>
            <w:r>
              <w:rPr>
                <w:rFonts w:ascii="Times New Roman" w:eastAsia="Times New Roman"/>
                <w:b/>
                <w:sz w:val="21"/>
              </w:rPr>
              <w:t>Qi</w:t>
            </w:r>
          </w:p>
          <w:p w14:paraId="20C19E2E">
            <w:pPr>
              <w:pStyle w:val="140"/>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67B1F8C6">
            <w:pPr>
              <w:pStyle w:val="140"/>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1A843F4D">
            <w:pPr>
              <w:pStyle w:val="140"/>
              <w:spacing w:before="0"/>
              <w:ind w:left="0" w:right="0"/>
              <w:rPr>
                <w:b/>
                <w:sz w:val="21"/>
              </w:rPr>
            </w:pPr>
            <w:r>
              <w:rPr>
                <w:b/>
                <w:sz w:val="21"/>
              </w:rPr>
              <w:t>是否重要环境</w:t>
            </w:r>
          </w:p>
          <w:p w14:paraId="32776EAC">
            <w:pPr>
              <w:pStyle w:val="140"/>
              <w:spacing w:before="0" w:line="240" w:lineRule="auto"/>
              <w:ind w:left="0" w:right="0"/>
              <w:rPr>
                <w:b/>
                <w:sz w:val="21"/>
              </w:rPr>
            </w:pPr>
            <w:r>
              <w:rPr>
                <w:b/>
                <w:sz w:val="21"/>
              </w:rPr>
              <w:t>风险单元</w:t>
            </w:r>
          </w:p>
        </w:tc>
      </w:tr>
      <w:tr w14:paraId="1E659A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72F47868">
            <w:pPr>
              <w:pStyle w:val="140"/>
              <w:spacing w:before="0"/>
              <w:ind w:left="0" w:right="0"/>
              <w:rPr>
                <w:rFonts w:hint="eastAsia"/>
                <w:sz w:val="21"/>
                <w:lang w:val="en-US" w:eastAsia="zh-CN"/>
              </w:rPr>
            </w:pPr>
            <w:r>
              <w:rPr>
                <w:rFonts w:hint="eastAsia" w:ascii="Times New Roman" w:hAnsi="Times New Roman" w:eastAsia="宋体" w:cs="Times New Roman"/>
                <w:sz w:val="21"/>
                <w:szCs w:val="21"/>
                <w:lang w:val="en-US" w:eastAsia="zh-CN"/>
              </w:rPr>
              <w:t>油漆仓库</w:t>
            </w:r>
          </w:p>
        </w:tc>
        <w:tc>
          <w:tcPr>
            <w:tcW w:w="1984" w:type="dxa"/>
            <w:tcBorders>
              <w:tl2br w:val="nil"/>
              <w:tr2bl w:val="nil"/>
            </w:tcBorders>
            <w:vAlign w:val="center"/>
          </w:tcPr>
          <w:p w14:paraId="2F14CD90">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底漆</w:t>
            </w:r>
          </w:p>
        </w:tc>
        <w:tc>
          <w:tcPr>
            <w:tcW w:w="1437" w:type="dxa"/>
            <w:tcBorders>
              <w:tl2br w:val="nil"/>
              <w:tr2bl w:val="nil"/>
            </w:tcBorders>
            <w:vAlign w:val="center"/>
          </w:tcPr>
          <w:p w14:paraId="3D359FF0">
            <w:pPr>
              <w:pStyle w:val="140"/>
              <w:spacing w:before="0"/>
              <w:ind w:left="0" w:right="0"/>
              <w:rPr>
                <w:rFonts w:hint="default" w:ascii="Times New Roman"/>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4214EEBF">
            <w:pPr>
              <w:pStyle w:val="140"/>
              <w:spacing w:before="0"/>
              <w:ind w:left="0" w:right="0"/>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195DDBF7">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0.02</w:t>
            </w:r>
          </w:p>
        </w:tc>
        <w:tc>
          <w:tcPr>
            <w:tcW w:w="1570" w:type="dxa"/>
            <w:vMerge w:val="restart"/>
            <w:tcBorders>
              <w:tl2br w:val="nil"/>
              <w:tr2bl w:val="nil"/>
            </w:tcBorders>
            <w:vAlign w:val="center"/>
          </w:tcPr>
          <w:p w14:paraId="6AA79359">
            <w:pPr>
              <w:pStyle w:val="140"/>
              <w:ind w:left="0"/>
              <w:rPr>
                <w:rFonts w:hint="eastAsia" w:eastAsia="宋体"/>
                <w:w w:val="100"/>
                <w:sz w:val="21"/>
                <w:lang w:val="en-US" w:eastAsia="zh-CN"/>
              </w:rPr>
            </w:pPr>
            <w:r>
              <w:rPr>
                <w:rFonts w:hint="eastAsia"/>
                <w:w w:val="100"/>
                <w:sz w:val="21"/>
                <w:lang w:val="en-US" w:eastAsia="zh-CN"/>
              </w:rPr>
              <w:t>否</w:t>
            </w:r>
          </w:p>
        </w:tc>
      </w:tr>
      <w:tr w14:paraId="035C6E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12B7AA94">
            <w:pPr>
              <w:pStyle w:val="140"/>
              <w:spacing w:before="0"/>
              <w:ind w:left="0" w:right="0"/>
              <w:rPr>
                <w:rFonts w:hint="eastAsia"/>
                <w:sz w:val="21"/>
                <w:lang w:val="en-US" w:eastAsia="zh-CN"/>
              </w:rPr>
            </w:pPr>
          </w:p>
        </w:tc>
        <w:tc>
          <w:tcPr>
            <w:tcW w:w="1984" w:type="dxa"/>
            <w:tcBorders>
              <w:tl2br w:val="nil"/>
              <w:tr2bl w:val="nil"/>
            </w:tcBorders>
            <w:vAlign w:val="center"/>
          </w:tcPr>
          <w:p w14:paraId="5B3D8EDF">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面漆</w:t>
            </w:r>
          </w:p>
        </w:tc>
        <w:tc>
          <w:tcPr>
            <w:tcW w:w="1437" w:type="dxa"/>
            <w:tcBorders>
              <w:tl2br w:val="nil"/>
              <w:tr2bl w:val="nil"/>
            </w:tcBorders>
            <w:vAlign w:val="center"/>
          </w:tcPr>
          <w:p w14:paraId="5D25714C">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20B5752C">
            <w:pPr>
              <w:pStyle w:val="140"/>
              <w:spacing w:before="0"/>
              <w:ind w:left="0" w:right="0"/>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7D570107">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73DE8AFA">
            <w:pPr>
              <w:pStyle w:val="140"/>
              <w:ind w:left="0"/>
              <w:rPr>
                <w:rFonts w:hint="eastAsia"/>
                <w:w w:val="100"/>
                <w:sz w:val="21"/>
              </w:rPr>
            </w:pPr>
          </w:p>
        </w:tc>
      </w:tr>
      <w:tr w14:paraId="0893D9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37E3E8AC">
            <w:pPr>
              <w:pStyle w:val="140"/>
              <w:spacing w:before="0"/>
              <w:ind w:left="0" w:right="0"/>
              <w:rPr>
                <w:rFonts w:hint="eastAsia"/>
                <w:sz w:val="21"/>
                <w:lang w:val="en-US" w:eastAsia="zh-CN"/>
              </w:rPr>
            </w:pPr>
          </w:p>
        </w:tc>
        <w:tc>
          <w:tcPr>
            <w:tcW w:w="1984" w:type="dxa"/>
            <w:tcBorders>
              <w:tl2br w:val="nil"/>
              <w:tr2bl w:val="nil"/>
            </w:tcBorders>
            <w:vAlign w:val="center"/>
          </w:tcPr>
          <w:p w14:paraId="556D6CEA">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白乳胶</w:t>
            </w:r>
          </w:p>
        </w:tc>
        <w:tc>
          <w:tcPr>
            <w:tcW w:w="1437" w:type="dxa"/>
            <w:tcBorders>
              <w:tl2br w:val="nil"/>
              <w:tr2bl w:val="nil"/>
            </w:tcBorders>
            <w:vAlign w:val="center"/>
          </w:tcPr>
          <w:p w14:paraId="1D95DE64">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219E6782">
            <w:pPr>
              <w:spacing w:before="0"/>
              <w:ind w:left="0" w:right="0"/>
              <w:jc w:val="center"/>
              <w:rPr>
                <w:rFonts w:hint="eastAsia"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7982875E">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52995547">
            <w:pPr>
              <w:pStyle w:val="140"/>
              <w:ind w:left="0"/>
              <w:rPr>
                <w:rFonts w:hint="eastAsia"/>
                <w:w w:val="100"/>
                <w:sz w:val="21"/>
              </w:rPr>
            </w:pPr>
          </w:p>
        </w:tc>
      </w:tr>
      <w:tr w14:paraId="725C40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718D5244">
            <w:pPr>
              <w:pStyle w:val="140"/>
              <w:spacing w:before="0"/>
              <w:ind w:left="0" w:right="0"/>
              <w:rPr>
                <w:rFonts w:hint="eastAsia"/>
                <w:sz w:val="21"/>
                <w:lang w:val="en-US" w:eastAsia="zh-CN"/>
              </w:rPr>
            </w:pPr>
          </w:p>
        </w:tc>
        <w:tc>
          <w:tcPr>
            <w:tcW w:w="1984" w:type="dxa"/>
            <w:tcBorders>
              <w:tl2br w:val="nil"/>
              <w:tr2bl w:val="nil"/>
            </w:tcBorders>
            <w:vAlign w:val="center"/>
          </w:tcPr>
          <w:p w14:paraId="65B70F5A">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木蜡油</w:t>
            </w:r>
          </w:p>
        </w:tc>
        <w:tc>
          <w:tcPr>
            <w:tcW w:w="1437" w:type="dxa"/>
            <w:tcBorders>
              <w:tl2br w:val="nil"/>
              <w:tr2bl w:val="nil"/>
            </w:tcBorders>
            <w:vAlign w:val="center"/>
          </w:tcPr>
          <w:p w14:paraId="4B99C9E1">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23D8A483">
            <w:pPr>
              <w:spacing w:before="0"/>
              <w:ind w:left="0" w:right="0"/>
              <w:jc w:val="center"/>
              <w:rPr>
                <w:rFonts w:hint="eastAsia"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56F9B8BE">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210B74FA">
            <w:pPr>
              <w:pStyle w:val="140"/>
              <w:ind w:left="0"/>
              <w:rPr>
                <w:rFonts w:hint="eastAsia"/>
                <w:w w:val="100"/>
                <w:sz w:val="21"/>
              </w:rPr>
            </w:pPr>
          </w:p>
        </w:tc>
      </w:tr>
      <w:tr w14:paraId="5A00DD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1EDACB11">
            <w:pPr>
              <w:pStyle w:val="140"/>
              <w:spacing w:before="0"/>
              <w:ind w:left="0" w:right="0"/>
              <w:rPr>
                <w:rFonts w:hint="eastAsia"/>
                <w:sz w:val="21"/>
                <w:lang w:val="en-US" w:eastAsia="zh-CN"/>
              </w:rPr>
            </w:pPr>
          </w:p>
        </w:tc>
        <w:tc>
          <w:tcPr>
            <w:tcW w:w="1984" w:type="dxa"/>
            <w:tcBorders>
              <w:tl2br w:val="nil"/>
              <w:tr2bl w:val="nil"/>
            </w:tcBorders>
            <w:vAlign w:val="center"/>
          </w:tcPr>
          <w:p w14:paraId="39324A64">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固化剂</w:t>
            </w:r>
          </w:p>
        </w:tc>
        <w:tc>
          <w:tcPr>
            <w:tcW w:w="1437" w:type="dxa"/>
            <w:tcBorders>
              <w:tl2br w:val="nil"/>
              <w:tr2bl w:val="nil"/>
            </w:tcBorders>
            <w:vAlign w:val="center"/>
          </w:tcPr>
          <w:p w14:paraId="0D776EE5">
            <w:pPr>
              <w:pStyle w:val="140"/>
              <w:spacing w:before="0"/>
              <w:ind w:left="0" w:right="0"/>
              <w:rPr>
                <w:rFonts w:hint="default" w:ascii="Times New Roman"/>
                <w:sz w:val="21"/>
                <w:lang w:val="en-US" w:eastAsia="zh-CN"/>
              </w:rPr>
            </w:pPr>
            <w:r>
              <w:rPr>
                <w:rFonts w:hint="eastAsia" w:ascii="Times New Roman"/>
                <w:sz w:val="21"/>
                <w:lang w:val="en-US" w:eastAsia="zh-CN"/>
              </w:rPr>
              <w:t>0.5</w:t>
            </w:r>
          </w:p>
        </w:tc>
        <w:tc>
          <w:tcPr>
            <w:tcW w:w="1300" w:type="dxa"/>
            <w:tcBorders>
              <w:tl2br w:val="nil"/>
              <w:tr2bl w:val="nil"/>
            </w:tcBorders>
            <w:vAlign w:val="center"/>
          </w:tcPr>
          <w:p w14:paraId="5DFFBFAB">
            <w:pPr>
              <w:spacing w:before="0"/>
              <w:ind w:left="0" w:right="0"/>
              <w:jc w:val="center"/>
              <w:rPr>
                <w:rFonts w:hint="eastAsia"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13858D2D">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7CA3E7EC">
            <w:pPr>
              <w:pStyle w:val="140"/>
              <w:ind w:left="0"/>
              <w:rPr>
                <w:rFonts w:hint="eastAsia"/>
                <w:w w:val="100"/>
                <w:sz w:val="21"/>
              </w:rPr>
            </w:pPr>
          </w:p>
        </w:tc>
      </w:tr>
      <w:tr w14:paraId="597C6B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7803FB7F">
            <w:pPr>
              <w:pStyle w:val="140"/>
              <w:spacing w:before="0"/>
              <w:ind w:left="0" w:right="0"/>
              <w:rPr>
                <w:rFonts w:hint="eastAsia"/>
                <w:sz w:val="21"/>
                <w:lang w:val="en-US" w:eastAsia="zh-CN"/>
              </w:rPr>
            </w:pPr>
          </w:p>
        </w:tc>
        <w:tc>
          <w:tcPr>
            <w:tcW w:w="1984" w:type="dxa"/>
            <w:tcBorders>
              <w:tl2br w:val="nil"/>
              <w:tr2bl w:val="nil"/>
            </w:tcBorders>
            <w:vAlign w:val="center"/>
          </w:tcPr>
          <w:p w14:paraId="577B6992">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拼板胶</w:t>
            </w:r>
          </w:p>
        </w:tc>
        <w:tc>
          <w:tcPr>
            <w:tcW w:w="1437" w:type="dxa"/>
            <w:tcBorders>
              <w:tl2br w:val="nil"/>
              <w:tr2bl w:val="nil"/>
            </w:tcBorders>
            <w:vAlign w:val="center"/>
          </w:tcPr>
          <w:p w14:paraId="14B6FB29">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764C369A">
            <w:pPr>
              <w:spacing w:before="0"/>
              <w:ind w:left="0" w:right="0"/>
              <w:jc w:val="center"/>
              <w:rPr>
                <w:rFonts w:hint="default" w:ascii="Times New Roman"/>
                <w:sz w:val="21"/>
                <w:lang w:val="en-US" w:eastAsia="zh-CN"/>
              </w:rPr>
            </w:pPr>
            <w:r>
              <w:rPr>
                <w:rFonts w:hint="eastAsia"/>
                <w:sz w:val="21"/>
                <w:lang w:val="en-US" w:eastAsia="zh-CN"/>
              </w:rPr>
              <w:t>10</w:t>
            </w:r>
          </w:p>
        </w:tc>
        <w:tc>
          <w:tcPr>
            <w:tcW w:w="1232" w:type="dxa"/>
            <w:tcBorders>
              <w:tl2br w:val="nil"/>
              <w:tr2bl w:val="nil"/>
            </w:tcBorders>
            <w:vAlign w:val="center"/>
          </w:tcPr>
          <w:p w14:paraId="7AEB62C7">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0.1</w:t>
            </w:r>
          </w:p>
        </w:tc>
        <w:tc>
          <w:tcPr>
            <w:tcW w:w="1570" w:type="dxa"/>
            <w:vMerge w:val="continue"/>
            <w:tcBorders>
              <w:tl2br w:val="nil"/>
              <w:tr2bl w:val="nil"/>
            </w:tcBorders>
            <w:vAlign w:val="center"/>
          </w:tcPr>
          <w:p w14:paraId="7153D1F9">
            <w:pPr>
              <w:pStyle w:val="140"/>
              <w:ind w:left="0"/>
              <w:rPr>
                <w:rFonts w:hint="eastAsia"/>
                <w:w w:val="100"/>
                <w:sz w:val="21"/>
              </w:rPr>
            </w:pPr>
          </w:p>
        </w:tc>
      </w:tr>
      <w:tr w14:paraId="2A7229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1E4EBDC1">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4DE31A2D">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0.605</w:t>
            </w:r>
          </w:p>
        </w:tc>
        <w:tc>
          <w:tcPr>
            <w:tcW w:w="1570" w:type="dxa"/>
            <w:vMerge w:val="continue"/>
            <w:tcBorders>
              <w:tl2br w:val="nil"/>
              <w:tr2bl w:val="nil"/>
            </w:tcBorders>
            <w:vAlign w:val="center"/>
          </w:tcPr>
          <w:p w14:paraId="019E1DD9">
            <w:pPr>
              <w:jc w:val="center"/>
              <w:rPr>
                <w:rFonts w:hint="eastAsia" w:ascii="宋体" w:hAnsi="宋体" w:eastAsia="宋体" w:cs="宋体"/>
                <w:sz w:val="21"/>
                <w:szCs w:val="24"/>
              </w:rPr>
            </w:pPr>
          </w:p>
        </w:tc>
      </w:tr>
      <w:tr w14:paraId="79B356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restart"/>
            <w:tcBorders>
              <w:tl2br w:val="nil"/>
              <w:tr2bl w:val="nil"/>
            </w:tcBorders>
            <w:vAlign w:val="center"/>
          </w:tcPr>
          <w:p w14:paraId="04D7181B">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生产车间</w:t>
            </w:r>
          </w:p>
        </w:tc>
        <w:tc>
          <w:tcPr>
            <w:tcW w:w="1984" w:type="dxa"/>
            <w:tcBorders>
              <w:tl2br w:val="nil"/>
              <w:tr2bl w:val="nil"/>
            </w:tcBorders>
            <w:vAlign w:val="center"/>
          </w:tcPr>
          <w:p w14:paraId="0737C905">
            <w:pPr>
              <w:keepNext w:val="0"/>
              <w:keepLines w:val="0"/>
              <w:widowControl/>
              <w:suppressLineNumbers w:val="0"/>
              <w:jc w:val="center"/>
              <w:rPr>
                <w:rFonts w:hint="eastAsia"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底漆</w:t>
            </w:r>
          </w:p>
        </w:tc>
        <w:tc>
          <w:tcPr>
            <w:tcW w:w="1437" w:type="dxa"/>
            <w:tcBorders>
              <w:tl2br w:val="nil"/>
              <w:tr2bl w:val="nil"/>
            </w:tcBorders>
            <w:vAlign w:val="center"/>
          </w:tcPr>
          <w:p w14:paraId="561312D5">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6EC7E1F5">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7668FF60">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restart"/>
            <w:tcBorders>
              <w:tl2br w:val="nil"/>
              <w:tr2bl w:val="nil"/>
            </w:tcBorders>
            <w:vAlign w:val="center"/>
          </w:tcPr>
          <w:p w14:paraId="289EEBE4">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76199D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0D6247A7">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10B27560">
            <w:pPr>
              <w:keepNext w:val="0"/>
              <w:keepLines w:val="0"/>
              <w:widowControl/>
              <w:suppressLineNumbers w:val="0"/>
              <w:jc w:val="center"/>
              <w:rPr>
                <w:rFonts w:hint="eastAsia"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面漆</w:t>
            </w:r>
          </w:p>
        </w:tc>
        <w:tc>
          <w:tcPr>
            <w:tcW w:w="1437" w:type="dxa"/>
            <w:tcBorders>
              <w:tl2br w:val="nil"/>
              <w:tr2bl w:val="nil"/>
            </w:tcBorders>
            <w:vAlign w:val="center"/>
          </w:tcPr>
          <w:p w14:paraId="3172B0CA">
            <w:pPr>
              <w:spacing w:before="0"/>
              <w:ind w:left="0" w:right="0"/>
              <w:jc w:val="center"/>
              <w:rPr>
                <w:rFonts w:hint="default"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7B5DAEFF">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5A22CB1C">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5BB77A55">
            <w:pPr>
              <w:jc w:val="center"/>
              <w:rPr>
                <w:rFonts w:hint="eastAsia" w:ascii="宋体" w:hAnsi="宋体" w:eastAsia="宋体" w:cs="宋体"/>
                <w:sz w:val="21"/>
                <w:szCs w:val="24"/>
                <w:lang w:val="en-US" w:eastAsia="zh-CN"/>
              </w:rPr>
            </w:pPr>
          </w:p>
        </w:tc>
      </w:tr>
      <w:tr w14:paraId="35AC47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05D87AEA">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5ED8ED11">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白乳胶</w:t>
            </w:r>
          </w:p>
        </w:tc>
        <w:tc>
          <w:tcPr>
            <w:tcW w:w="1437" w:type="dxa"/>
            <w:tcBorders>
              <w:tl2br w:val="nil"/>
              <w:tr2bl w:val="nil"/>
            </w:tcBorders>
            <w:vAlign w:val="center"/>
          </w:tcPr>
          <w:p w14:paraId="428F1F50">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5FF331A5">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4836227D">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1D2355A4">
            <w:pPr>
              <w:jc w:val="center"/>
              <w:rPr>
                <w:rFonts w:hint="eastAsia" w:ascii="宋体" w:hAnsi="宋体" w:eastAsia="宋体" w:cs="宋体"/>
                <w:sz w:val="21"/>
                <w:szCs w:val="24"/>
                <w:lang w:val="en-US" w:eastAsia="zh-CN"/>
              </w:rPr>
            </w:pPr>
          </w:p>
        </w:tc>
      </w:tr>
      <w:tr w14:paraId="499DDA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713CD4A0">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5D65E713">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木蜡油</w:t>
            </w:r>
          </w:p>
        </w:tc>
        <w:tc>
          <w:tcPr>
            <w:tcW w:w="1437" w:type="dxa"/>
            <w:tcBorders>
              <w:tl2br w:val="nil"/>
              <w:tr2bl w:val="nil"/>
            </w:tcBorders>
            <w:vAlign w:val="center"/>
          </w:tcPr>
          <w:p w14:paraId="1954B3C7">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2EB8D91F">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0EEFFD0A">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06F4F296">
            <w:pPr>
              <w:jc w:val="center"/>
              <w:rPr>
                <w:rFonts w:hint="eastAsia" w:ascii="宋体" w:hAnsi="宋体" w:eastAsia="宋体" w:cs="宋体"/>
                <w:sz w:val="21"/>
                <w:szCs w:val="24"/>
                <w:lang w:val="en-US" w:eastAsia="zh-CN"/>
              </w:rPr>
            </w:pPr>
          </w:p>
        </w:tc>
      </w:tr>
      <w:tr w14:paraId="4836D2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2EF37532">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13012781">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固化剂</w:t>
            </w:r>
          </w:p>
        </w:tc>
        <w:tc>
          <w:tcPr>
            <w:tcW w:w="1437" w:type="dxa"/>
            <w:tcBorders>
              <w:tl2br w:val="nil"/>
              <w:tr2bl w:val="nil"/>
            </w:tcBorders>
            <w:vAlign w:val="center"/>
          </w:tcPr>
          <w:p w14:paraId="5A00189E">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0852865D">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3433DD8D">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7A92ED79">
            <w:pPr>
              <w:jc w:val="center"/>
              <w:rPr>
                <w:rFonts w:hint="eastAsia" w:ascii="宋体" w:hAnsi="宋体" w:eastAsia="宋体" w:cs="宋体"/>
                <w:sz w:val="21"/>
                <w:szCs w:val="24"/>
                <w:lang w:val="en-US" w:eastAsia="zh-CN"/>
              </w:rPr>
            </w:pPr>
          </w:p>
        </w:tc>
      </w:tr>
      <w:tr w14:paraId="1BA3BA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30CB13BE">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1D7B2B1A">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拼板胶</w:t>
            </w:r>
          </w:p>
        </w:tc>
        <w:tc>
          <w:tcPr>
            <w:tcW w:w="1437" w:type="dxa"/>
            <w:tcBorders>
              <w:tl2br w:val="nil"/>
              <w:tr2bl w:val="nil"/>
            </w:tcBorders>
            <w:vAlign w:val="center"/>
          </w:tcPr>
          <w:p w14:paraId="74DB5C4E">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787E41CA">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10</w:t>
            </w:r>
          </w:p>
        </w:tc>
        <w:tc>
          <w:tcPr>
            <w:tcW w:w="1232" w:type="dxa"/>
            <w:tcBorders>
              <w:tl2br w:val="nil"/>
              <w:tr2bl w:val="nil"/>
            </w:tcBorders>
            <w:vAlign w:val="center"/>
          </w:tcPr>
          <w:p w14:paraId="06F73E70">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0A51DF17">
            <w:pPr>
              <w:jc w:val="center"/>
              <w:rPr>
                <w:rFonts w:hint="eastAsia" w:ascii="宋体" w:hAnsi="宋体" w:eastAsia="宋体" w:cs="宋体"/>
                <w:sz w:val="21"/>
                <w:szCs w:val="24"/>
                <w:lang w:val="en-US" w:eastAsia="zh-CN"/>
              </w:rPr>
            </w:pPr>
          </w:p>
        </w:tc>
      </w:tr>
      <w:tr w14:paraId="38390A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468AACFB">
            <w:pPr>
              <w:pStyle w:val="140"/>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14:paraId="20451BF8">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77A20AA9">
            <w:pPr>
              <w:jc w:val="center"/>
              <w:rPr>
                <w:rFonts w:hint="eastAsia" w:ascii="宋体" w:hAnsi="宋体" w:eastAsia="宋体" w:cs="宋体"/>
                <w:sz w:val="21"/>
                <w:szCs w:val="24"/>
                <w:lang w:val="en-US" w:eastAsia="zh-CN"/>
              </w:rPr>
            </w:pPr>
          </w:p>
        </w:tc>
      </w:tr>
      <w:tr w14:paraId="5D7A5F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tcBorders>
              <w:tl2br w:val="nil"/>
              <w:tr2bl w:val="nil"/>
            </w:tcBorders>
            <w:vAlign w:val="center"/>
          </w:tcPr>
          <w:p w14:paraId="7D6BC29C">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污水处理设施</w:t>
            </w:r>
          </w:p>
        </w:tc>
        <w:tc>
          <w:tcPr>
            <w:tcW w:w="1984" w:type="dxa"/>
            <w:tcBorders>
              <w:tl2br w:val="nil"/>
              <w:tr2bl w:val="nil"/>
            </w:tcBorders>
            <w:vAlign w:val="center"/>
          </w:tcPr>
          <w:p w14:paraId="7CAC8E68">
            <w:pPr>
              <w:pStyle w:val="140"/>
              <w:spacing w:before="0"/>
              <w:ind w:left="0" w:right="0"/>
              <w:rPr>
                <w:rFonts w:hint="eastAsia" w:ascii="Times New Roman" w:hAnsi="Times New Roman" w:eastAsia="宋体"/>
                <w:b w:val="0"/>
                <w:bCs/>
                <w:sz w:val="21"/>
                <w:lang w:val="en-US" w:eastAsia="zh-CN"/>
              </w:rPr>
            </w:pPr>
            <w:r>
              <w:rPr>
                <w:rFonts w:hint="eastAsia" w:ascii="Times New Roman" w:hAnsi="Times New Roman"/>
                <w:b w:val="0"/>
                <w:bCs/>
                <w:sz w:val="21"/>
                <w:lang w:val="en-US" w:eastAsia="zh-CN"/>
              </w:rPr>
              <w:t>水帘废水</w:t>
            </w:r>
          </w:p>
        </w:tc>
        <w:tc>
          <w:tcPr>
            <w:tcW w:w="1437" w:type="dxa"/>
            <w:tcBorders>
              <w:tl2br w:val="nil"/>
              <w:tr2bl w:val="nil"/>
            </w:tcBorders>
            <w:vAlign w:val="center"/>
          </w:tcPr>
          <w:p w14:paraId="4C697161">
            <w:pPr>
              <w:pStyle w:val="140"/>
              <w:spacing w:before="0"/>
              <w:ind w:left="0" w:right="0"/>
              <w:rPr>
                <w:rFonts w:hint="default" w:ascii="Times New Roman" w:hAnsi="Times New Roman" w:eastAsia="宋体"/>
                <w:b w:val="0"/>
                <w:bCs/>
                <w:sz w:val="21"/>
                <w:lang w:val="en-US" w:eastAsia="zh-CN"/>
              </w:rPr>
            </w:pPr>
            <w:r>
              <w:rPr>
                <w:rFonts w:hint="eastAsia" w:ascii="Times New Roman" w:hAnsi="Times New Roman"/>
                <w:b w:val="0"/>
                <w:bCs/>
                <w:sz w:val="21"/>
                <w:lang w:val="en-US" w:eastAsia="zh-CN"/>
              </w:rPr>
              <w:t>4</w:t>
            </w:r>
          </w:p>
        </w:tc>
        <w:tc>
          <w:tcPr>
            <w:tcW w:w="1300" w:type="dxa"/>
            <w:tcBorders>
              <w:tl2br w:val="nil"/>
              <w:tr2bl w:val="nil"/>
            </w:tcBorders>
            <w:vAlign w:val="center"/>
          </w:tcPr>
          <w:p w14:paraId="1F55E0CD">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100</w:t>
            </w:r>
          </w:p>
        </w:tc>
        <w:tc>
          <w:tcPr>
            <w:tcW w:w="1232" w:type="dxa"/>
            <w:tcBorders>
              <w:tl2br w:val="nil"/>
              <w:tr2bl w:val="nil"/>
            </w:tcBorders>
            <w:vAlign w:val="center"/>
          </w:tcPr>
          <w:p w14:paraId="261B6B4F">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0.04</w:t>
            </w:r>
          </w:p>
        </w:tc>
        <w:tc>
          <w:tcPr>
            <w:tcW w:w="1570" w:type="dxa"/>
            <w:vMerge w:val="restart"/>
            <w:tcBorders>
              <w:tl2br w:val="nil"/>
              <w:tr2bl w:val="nil"/>
            </w:tcBorders>
            <w:vAlign w:val="center"/>
          </w:tcPr>
          <w:p w14:paraId="53C9BBA2">
            <w:pPr>
              <w:jc w:val="cente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74D6C1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74D51A82">
            <w:pPr>
              <w:pStyle w:val="140"/>
              <w:spacing w:before="0"/>
              <w:ind w:left="0" w:leftChars="0" w:right="0" w:rightChars="0"/>
              <w:rPr>
                <w:rFonts w:ascii="Times New Roman" w:hAnsi="Times New Roman" w:eastAsia="宋体" w:cs="宋体"/>
                <w:b/>
                <w:kern w:val="2"/>
                <w:sz w:val="21"/>
                <w:szCs w:val="24"/>
                <w:lang w:val="en-US" w:eastAsia="zh-CN" w:bidi="ar-SA"/>
              </w:rPr>
            </w:pPr>
            <w:r>
              <w:rPr>
                <w:rFonts w:ascii="Times New Roman" w:hAnsi="Times New Roman"/>
                <w:b/>
                <w:sz w:val="21"/>
              </w:rPr>
              <w:t>ΣQi/qi</w:t>
            </w:r>
          </w:p>
        </w:tc>
        <w:tc>
          <w:tcPr>
            <w:tcW w:w="1232" w:type="dxa"/>
            <w:tcBorders>
              <w:tl2br w:val="nil"/>
              <w:tr2bl w:val="nil"/>
            </w:tcBorders>
            <w:vAlign w:val="center"/>
          </w:tcPr>
          <w:p w14:paraId="11D39EEB">
            <w:pPr>
              <w:pStyle w:val="140"/>
              <w:spacing w:before="0"/>
              <w:ind w:right="0" w:rightChars="0"/>
              <w:jc w:val="center"/>
              <w:rPr>
                <w:rFonts w:hint="default" w:ascii="Times New Roman" w:hAnsi="宋体" w:eastAsia="宋体" w:cs="宋体"/>
                <w:kern w:val="2"/>
                <w:sz w:val="21"/>
                <w:szCs w:val="24"/>
                <w:lang w:val="en-US" w:eastAsia="zh-CN" w:bidi="ar-SA"/>
              </w:rPr>
            </w:pPr>
            <w:r>
              <w:rPr>
                <w:rFonts w:hint="eastAsia" w:ascii="Times New Roman"/>
                <w:w w:val="100"/>
                <w:sz w:val="21"/>
                <w:lang w:val="en-US" w:eastAsia="zh-CN"/>
              </w:rPr>
              <w:t>0.04</w:t>
            </w:r>
          </w:p>
        </w:tc>
        <w:tc>
          <w:tcPr>
            <w:tcW w:w="1570" w:type="dxa"/>
            <w:vMerge w:val="continue"/>
            <w:tcBorders>
              <w:tl2br w:val="nil"/>
              <w:tr2bl w:val="nil"/>
            </w:tcBorders>
            <w:vAlign w:val="center"/>
          </w:tcPr>
          <w:p w14:paraId="1FE1EBB1">
            <w:pPr>
              <w:jc w:val="center"/>
              <w:rPr>
                <w:rFonts w:hint="eastAsia" w:ascii="宋体" w:hAnsi="宋体" w:eastAsia="宋体" w:cs="宋体"/>
                <w:sz w:val="21"/>
                <w:szCs w:val="24"/>
              </w:rPr>
            </w:pPr>
          </w:p>
        </w:tc>
      </w:tr>
      <w:tr w14:paraId="3EF63F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7BD42D89">
            <w:pPr>
              <w:jc w:val="center"/>
              <w:rPr>
                <w:sz w:val="2"/>
                <w:szCs w:val="2"/>
              </w:rPr>
            </w:pPr>
            <w:r>
              <w:rPr>
                <w:rFonts w:hint="eastAsia" w:ascii="Times New Roman" w:eastAsia="宋体"/>
                <w:sz w:val="21"/>
                <w:lang w:val="en-US" w:eastAsia="zh-CN"/>
              </w:rPr>
              <w:t>危废仓库</w:t>
            </w:r>
          </w:p>
        </w:tc>
        <w:tc>
          <w:tcPr>
            <w:tcW w:w="1984" w:type="dxa"/>
            <w:tcBorders>
              <w:tl2br w:val="nil"/>
              <w:tr2bl w:val="nil"/>
            </w:tcBorders>
            <w:vAlign w:val="center"/>
          </w:tcPr>
          <w:p w14:paraId="68AED53D">
            <w:pPr>
              <w:pStyle w:val="14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kern w:val="0"/>
                <w:sz w:val="21"/>
                <w:szCs w:val="21"/>
                <w:lang w:val="en-US" w:eastAsia="zh-CN" w:bidi="zh-CN"/>
              </w:rPr>
            </w:pPr>
            <w:r>
              <w:rPr>
                <w:rFonts w:hint="eastAsia" w:ascii="Times New Roman" w:hAnsi="Times New Roman" w:cs="Times New Roman"/>
                <w:kern w:val="2"/>
                <w:sz w:val="21"/>
                <w:szCs w:val="21"/>
                <w:lang w:val="en-US" w:eastAsia="zh-CN" w:bidi="ar-SA"/>
              </w:rPr>
              <w:t>废包装桶</w:t>
            </w:r>
          </w:p>
        </w:tc>
        <w:tc>
          <w:tcPr>
            <w:tcW w:w="1437" w:type="dxa"/>
            <w:tcBorders>
              <w:tl2br w:val="nil"/>
              <w:tr2bl w:val="nil"/>
            </w:tcBorders>
            <w:vAlign w:val="center"/>
          </w:tcPr>
          <w:p w14:paraId="2A04F98C">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0.5</w:t>
            </w:r>
          </w:p>
        </w:tc>
        <w:tc>
          <w:tcPr>
            <w:tcW w:w="1300" w:type="dxa"/>
            <w:tcBorders>
              <w:tl2br w:val="nil"/>
              <w:tr2bl w:val="nil"/>
            </w:tcBorders>
            <w:vAlign w:val="center"/>
          </w:tcPr>
          <w:p w14:paraId="647E4248">
            <w:pPr>
              <w:pStyle w:val="140"/>
              <w:spacing w:before="0"/>
              <w:ind w:left="0" w:right="0"/>
              <w:rPr>
                <w:rFonts w:hint="default" w:ascii="Times New Roman" w:eastAsia="宋体"/>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1430FECB">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0.01</w:t>
            </w:r>
          </w:p>
        </w:tc>
        <w:tc>
          <w:tcPr>
            <w:tcW w:w="1570" w:type="dxa"/>
            <w:vMerge w:val="continue"/>
            <w:tcBorders>
              <w:tl2br w:val="nil"/>
              <w:tr2bl w:val="nil"/>
            </w:tcBorders>
            <w:vAlign w:val="center"/>
          </w:tcPr>
          <w:p w14:paraId="4E8419D0">
            <w:pPr>
              <w:jc w:val="center"/>
              <w:rPr>
                <w:sz w:val="2"/>
                <w:szCs w:val="2"/>
              </w:rPr>
            </w:pPr>
          </w:p>
        </w:tc>
      </w:tr>
      <w:tr w14:paraId="587029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55BBA0C0">
            <w:pPr>
              <w:jc w:val="center"/>
              <w:rPr>
                <w:sz w:val="2"/>
                <w:szCs w:val="2"/>
              </w:rPr>
            </w:pPr>
          </w:p>
        </w:tc>
        <w:tc>
          <w:tcPr>
            <w:tcW w:w="1984" w:type="dxa"/>
            <w:tcBorders>
              <w:tl2br w:val="nil"/>
              <w:tr2bl w:val="nil"/>
            </w:tcBorders>
            <w:vAlign w:val="center"/>
          </w:tcPr>
          <w:p w14:paraId="59D0288B">
            <w:pPr>
              <w:widowControl/>
              <w:jc w:val="center"/>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2"/>
                <w:sz w:val="21"/>
                <w:szCs w:val="21"/>
                <w:lang w:val="en-US" w:eastAsia="zh-CN" w:bidi="ar-SA"/>
              </w:rPr>
              <w:t>废活性炭</w:t>
            </w:r>
          </w:p>
        </w:tc>
        <w:tc>
          <w:tcPr>
            <w:tcW w:w="1437" w:type="dxa"/>
            <w:tcBorders>
              <w:tl2br w:val="nil"/>
              <w:tr2bl w:val="nil"/>
            </w:tcBorders>
            <w:vAlign w:val="center"/>
          </w:tcPr>
          <w:p w14:paraId="0A382D3A">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4212D247">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247C127A">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0.04</w:t>
            </w:r>
          </w:p>
        </w:tc>
        <w:tc>
          <w:tcPr>
            <w:tcW w:w="1570" w:type="dxa"/>
            <w:vMerge w:val="continue"/>
            <w:tcBorders>
              <w:tl2br w:val="nil"/>
              <w:tr2bl w:val="nil"/>
            </w:tcBorders>
            <w:vAlign w:val="center"/>
          </w:tcPr>
          <w:p w14:paraId="488F4D7F">
            <w:pPr>
              <w:jc w:val="center"/>
              <w:rPr>
                <w:sz w:val="2"/>
                <w:szCs w:val="2"/>
              </w:rPr>
            </w:pPr>
          </w:p>
        </w:tc>
      </w:tr>
      <w:tr w14:paraId="4944AE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00D16DAC">
            <w:pPr>
              <w:jc w:val="center"/>
              <w:rPr>
                <w:sz w:val="2"/>
                <w:szCs w:val="2"/>
              </w:rPr>
            </w:pPr>
          </w:p>
        </w:tc>
        <w:tc>
          <w:tcPr>
            <w:tcW w:w="1984" w:type="dxa"/>
            <w:tcBorders>
              <w:tl2br w:val="nil"/>
              <w:tr2bl w:val="nil"/>
            </w:tcBorders>
            <w:vAlign w:val="center"/>
          </w:tcPr>
          <w:p w14:paraId="1302909E">
            <w:pPr>
              <w:widowControl w:val="0"/>
              <w:spacing w:line="240" w:lineRule="auto"/>
              <w:ind w:left="0" w:leftChars="0" w:firstLine="0" w:firstLineChars="0"/>
              <w:jc w:val="center"/>
              <w:rPr>
                <w:rFonts w:hint="eastAsia" w:ascii="Times New Roman" w:hAnsi="Times New Roman" w:eastAsia="宋体" w:cs="Times New Roman"/>
                <w:kern w:val="0"/>
                <w:sz w:val="21"/>
                <w:szCs w:val="21"/>
                <w:lang w:val="en-US" w:eastAsia="zh-CN" w:bidi="zh-CN"/>
              </w:rPr>
            </w:pPr>
            <w:r>
              <w:rPr>
                <w:rFonts w:hint="default" w:ascii="宋体" w:hAnsi="宋体" w:eastAsia="宋体" w:cs="Times New Roman"/>
                <w:color w:val="000000"/>
                <w:kern w:val="0"/>
                <w:sz w:val="21"/>
                <w:szCs w:val="21"/>
                <w:lang w:val="en-US" w:eastAsia="zh-CN" w:bidi="ar-SA"/>
              </w:rPr>
              <w:t>漆渣</w:t>
            </w:r>
          </w:p>
        </w:tc>
        <w:tc>
          <w:tcPr>
            <w:tcW w:w="1437" w:type="dxa"/>
            <w:tcBorders>
              <w:tl2br w:val="nil"/>
              <w:tr2bl w:val="nil"/>
            </w:tcBorders>
            <w:vAlign w:val="center"/>
          </w:tcPr>
          <w:p w14:paraId="58B5B0B2">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4</w:t>
            </w:r>
          </w:p>
        </w:tc>
        <w:tc>
          <w:tcPr>
            <w:tcW w:w="1300" w:type="dxa"/>
            <w:tcBorders>
              <w:tl2br w:val="nil"/>
              <w:tr2bl w:val="nil"/>
            </w:tcBorders>
            <w:vAlign w:val="center"/>
          </w:tcPr>
          <w:p w14:paraId="55C8D8C5">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15B48E56">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0.08</w:t>
            </w:r>
          </w:p>
        </w:tc>
        <w:tc>
          <w:tcPr>
            <w:tcW w:w="1570" w:type="dxa"/>
            <w:vMerge w:val="continue"/>
            <w:tcBorders>
              <w:tl2br w:val="nil"/>
              <w:tr2bl w:val="nil"/>
            </w:tcBorders>
            <w:vAlign w:val="center"/>
          </w:tcPr>
          <w:p w14:paraId="16E7D609">
            <w:pPr>
              <w:jc w:val="center"/>
              <w:rPr>
                <w:sz w:val="2"/>
                <w:szCs w:val="2"/>
              </w:rPr>
            </w:pPr>
          </w:p>
        </w:tc>
      </w:tr>
      <w:tr w14:paraId="35DBA0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27FE40CE">
            <w:pPr>
              <w:jc w:val="center"/>
              <w:rPr>
                <w:sz w:val="2"/>
                <w:szCs w:val="2"/>
              </w:rPr>
            </w:pPr>
          </w:p>
        </w:tc>
        <w:tc>
          <w:tcPr>
            <w:tcW w:w="1984" w:type="dxa"/>
            <w:tcBorders>
              <w:tl2br w:val="nil"/>
              <w:tr2bl w:val="nil"/>
            </w:tcBorders>
            <w:vAlign w:val="center"/>
          </w:tcPr>
          <w:p w14:paraId="5238C5EA">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废刷子</w:t>
            </w:r>
          </w:p>
        </w:tc>
        <w:tc>
          <w:tcPr>
            <w:tcW w:w="1437" w:type="dxa"/>
            <w:tcBorders>
              <w:tl2br w:val="nil"/>
              <w:tr2bl w:val="nil"/>
            </w:tcBorders>
            <w:vAlign w:val="center"/>
          </w:tcPr>
          <w:p w14:paraId="5BD2CCC5">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35DFFE2F">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2D82629F">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0.002</w:t>
            </w:r>
          </w:p>
        </w:tc>
        <w:tc>
          <w:tcPr>
            <w:tcW w:w="1570" w:type="dxa"/>
            <w:vMerge w:val="continue"/>
            <w:tcBorders>
              <w:tl2br w:val="nil"/>
              <w:tr2bl w:val="nil"/>
            </w:tcBorders>
            <w:vAlign w:val="center"/>
          </w:tcPr>
          <w:p w14:paraId="3EDA92D7">
            <w:pPr>
              <w:jc w:val="center"/>
              <w:rPr>
                <w:sz w:val="2"/>
                <w:szCs w:val="2"/>
              </w:rPr>
            </w:pPr>
          </w:p>
        </w:tc>
      </w:tr>
      <w:tr w14:paraId="31417D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0C319359">
            <w:pPr>
              <w:jc w:val="center"/>
              <w:rPr>
                <w:sz w:val="2"/>
                <w:szCs w:val="2"/>
              </w:rPr>
            </w:pPr>
          </w:p>
        </w:tc>
        <w:tc>
          <w:tcPr>
            <w:tcW w:w="1984" w:type="dxa"/>
            <w:tcBorders>
              <w:tl2br w:val="nil"/>
              <w:tr2bl w:val="nil"/>
            </w:tcBorders>
            <w:vAlign w:val="center"/>
          </w:tcPr>
          <w:p w14:paraId="2A949E8F">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胶渣</w:t>
            </w:r>
          </w:p>
        </w:tc>
        <w:tc>
          <w:tcPr>
            <w:tcW w:w="1437" w:type="dxa"/>
            <w:tcBorders>
              <w:tl2br w:val="nil"/>
              <w:tr2bl w:val="nil"/>
            </w:tcBorders>
            <w:vAlign w:val="center"/>
          </w:tcPr>
          <w:p w14:paraId="6F5077D5">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794683B5">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07FFCAFA">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0.002</w:t>
            </w:r>
          </w:p>
        </w:tc>
        <w:tc>
          <w:tcPr>
            <w:tcW w:w="1570" w:type="dxa"/>
            <w:vMerge w:val="continue"/>
            <w:tcBorders>
              <w:tl2br w:val="nil"/>
              <w:tr2bl w:val="nil"/>
            </w:tcBorders>
            <w:vAlign w:val="center"/>
          </w:tcPr>
          <w:p w14:paraId="02C0FAD5">
            <w:pPr>
              <w:jc w:val="center"/>
              <w:rPr>
                <w:sz w:val="2"/>
                <w:szCs w:val="2"/>
              </w:rPr>
            </w:pPr>
          </w:p>
        </w:tc>
      </w:tr>
      <w:tr w14:paraId="559C83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38B689A2">
            <w:pPr>
              <w:jc w:val="center"/>
              <w:rPr>
                <w:sz w:val="2"/>
                <w:szCs w:val="2"/>
              </w:rPr>
            </w:pPr>
          </w:p>
        </w:tc>
        <w:tc>
          <w:tcPr>
            <w:tcW w:w="1984" w:type="dxa"/>
            <w:tcBorders>
              <w:tl2br w:val="nil"/>
              <w:tr2bl w:val="nil"/>
            </w:tcBorders>
            <w:vAlign w:val="center"/>
          </w:tcPr>
          <w:p w14:paraId="4B5E08EE">
            <w:pPr>
              <w:widowControl w:val="0"/>
              <w:spacing w:line="240" w:lineRule="auto"/>
              <w:ind w:left="0" w:leftChars="0"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废过滤棉</w:t>
            </w:r>
          </w:p>
        </w:tc>
        <w:tc>
          <w:tcPr>
            <w:tcW w:w="1437" w:type="dxa"/>
            <w:tcBorders>
              <w:tl2br w:val="nil"/>
              <w:tr2bl w:val="nil"/>
            </w:tcBorders>
            <w:vAlign w:val="center"/>
          </w:tcPr>
          <w:p w14:paraId="6E13C0FB">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48A4584B">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6F4364D9">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0.002</w:t>
            </w:r>
          </w:p>
        </w:tc>
        <w:tc>
          <w:tcPr>
            <w:tcW w:w="1570" w:type="dxa"/>
            <w:vMerge w:val="continue"/>
            <w:tcBorders>
              <w:tl2br w:val="nil"/>
              <w:tr2bl w:val="nil"/>
            </w:tcBorders>
            <w:vAlign w:val="center"/>
          </w:tcPr>
          <w:p w14:paraId="461CC323">
            <w:pPr>
              <w:jc w:val="center"/>
              <w:rPr>
                <w:sz w:val="2"/>
                <w:szCs w:val="2"/>
              </w:rPr>
            </w:pPr>
          </w:p>
        </w:tc>
      </w:tr>
      <w:tr w14:paraId="7D2F27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6CCA5AD5">
            <w:pPr>
              <w:jc w:val="center"/>
              <w:rPr>
                <w:sz w:val="2"/>
                <w:szCs w:val="2"/>
              </w:rPr>
            </w:pPr>
          </w:p>
        </w:tc>
        <w:tc>
          <w:tcPr>
            <w:tcW w:w="1984" w:type="dxa"/>
            <w:tcBorders>
              <w:tl2br w:val="nil"/>
              <w:tr2bl w:val="nil"/>
            </w:tcBorders>
            <w:vAlign w:val="center"/>
          </w:tcPr>
          <w:p w14:paraId="2377D47D">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含油废水</w:t>
            </w:r>
          </w:p>
        </w:tc>
        <w:tc>
          <w:tcPr>
            <w:tcW w:w="1437" w:type="dxa"/>
            <w:tcBorders>
              <w:tl2br w:val="nil"/>
              <w:tr2bl w:val="nil"/>
            </w:tcBorders>
            <w:vAlign w:val="center"/>
          </w:tcPr>
          <w:p w14:paraId="50E837D5">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0.015</w:t>
            </w:r>
          </w:p>
        </w:tc>
        <w:tc>
          <w:tcPr>
            <w:tcW w:w="1300" w:type="dxa"/>
            <w:tcBorders>
              <w:tl2br w:val="nil"/>
              <w:tr2bl w:val="nil"/>
            </w:tcBorders>
            <w:vAlign w:val="center"/>
          </w:tcPr>
          <w:p w14:paraId="6CA06D0F">
            <w:pPr>
              <w:spacing w:before="0"/>
              <w:ind w:left="0" w:right="0"/>
              <w:jc w:val="center"/>
              <w:rPr>
                <w:rFonts w:hint="default" w:ascii="Times New Roman"/>
                <w:sz w:val="21"/>
                <w:lang w:val="en-US" w:eastAsia="zh-CN"/>
              </w:rPr>
            </w:pPr>
            <w:r>
              <w:rPr>
                <w:rFonts w:hint="eastAsia"/>
                <w:sz w:val="21"/>
                <w:lang w:val="en-US" w:eastAsia="zh-CN"/>
              </w:rPr>
              <w:t>50</w:t>
            </w:r>
          </w:p>
        </w:tc>
        <w:tc>
          <w:tcPr>
            <w:tcW w:w="1232" w:type="dxa"/>
            <w:tcBorders>
              <w:tl2br w:val="nil"/>
              <w:tr2bl w:val="nil"/>
            </w:tcBorders>
            <w:vAlign w:val="center"/>
          </w:tcPr>
          <w:p w14:paraId="1260D37C">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0.0003</w:t>
            </w:r>
          </w:p>
        </w:tc>
        <w:tc>
          <w:tcPr>
            <w:tcW w:w="1570" w:type="dxa"/>
            <w:vMerge w:val="continue"/>
            <w:tcBorders>
              <w:tl2br w:val="nil"/>
              <w:tr2bl w:val="nil"/>
            </w:tcBorders>
            <w:vAlign w:val="center"/>
          </w:tcPr>
          <w:p w14:paraId="01C5FB0D">
            <w:pPr>
              <w:jc w:val="center"/>
              <w:rPr>
                <w:sz w:val="2"/>
                <w:szCs w:val="2"/>
              </w:rPr>
            </w:pPr>
          </w:p>
        </w:tc>
      </w:tr>
      <w:tr w14:paraId="212E24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464495CD">
            <w:pPr>
              <w:jc w:val="center"/>
              <w:rPr>
                <w:sz w:val="2"/>
                <w:szCs w:val="2"/>
              </w:rPr>
            </w:pPr>
          </w:p>
        </w:tc>
        <w:tc>
          <w:tcPr>
            <w:tcW w:w="1984" w:type="dxa"/>
            <w:tcBorders>
              <w:tl2br w:val="nil"/>
              <w:tr2bl w:val="nil"/>
            </w:tcBorders>
            <w:vAlign w:val="center"/>
          </w:tcPr>
          <w:p w14:paraId="7D13A67A">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废劳保用品</w:t>
            </w:r>
          </w:p>
        </w:tc>
        <w:tc>
          <w:tcPr>
            <w:tcW w:w="1437" w:type="dxa"/>
            <w:tcBorders>
              <w:tl2br w:val="nil"/>
              <w:tr2bl w:val="nil"/>
            </w:tcBorders>
            <w:vAlign w:val="center"/>
          </w:tcPr>
          <w:p w14:paraId="12011467">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0.07</w:t>
            </w:r>
          </w:p>
        </w:tc>
        <w:tc>
          <w:tcPr>
            <w:tcW w:w="1300" w:type="dxa"/>
            <w:tcBorders>
              <w:tl2br w:val="nil"/>
              <w:tr2bl w:val="nil"/>
            </w:tcBorders>
            <w:vAlign w:val="center"/>
          </w:tcPr>
          <w:p w14:paraId="6AC8BDB5">
            <w:pPr>
              <w:spacing w:before="0"/>
              <w:ind w:left="0" w:right="0"/>
              <w:jc w:val="center"/>
              <w:rPr>
                <w:rFonts w:hint="default" w:ascii="Times New Roman"/>
                <w:sz w:val="21"/>
                <w:lang w:val="en-US" w:eastAsia="zh-CN"/>
              </w:rPr>
            </w:pPr>
            <w:r>
              <w:rPr>
                <w:rFonts w:hint="eastAsia"/>
                <w:sz w:val="21"/>
                <w:lang w:val="en-US" w:eastAsia="zh-CN"/>
              </w:rPr>
              <w:t>50</w:t>
            </w:r>
          </w:p>
        </w:tc>
        <w:tc>
          <w:tcPr>
            <w:tcW w:w="1232" w:type="dxa"/>
            <w:tcBorders>
              <w:tl2br w:val="nil"/>
              <w:tr2bl w:val="nil"/>
            </w:tcBorders>
            <w:vAlign w:val="center"/>
          </w:tcPr>
          <w:p w14:paraId="0FAB20D0">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0.00014</w:t>
            </w:r>
          </w:p>
        </w:tc>
        <w:tc>
          <w:tcPr>
            <w:tcW w:w="1570" w:type="dxa"/>
            <w:vMerge w:val="continue"/>
            <w:tcBorders>
              <w:tl2br w:val="nil"/>
              <w:tr2bl w:val="nil"/>
            </w:tcBorders>
            <w:vAlign w:val="center"/>
          </w:tcPr>
          <w:p w14:paraId="75804316">
            <w:pPr>
              <w:jc w:val="center"/>
              <w:rPr>
                <w:sz w:val="2"/>
                <w:szCs w:val="2"/>
              </w:rPr>
            </w:pPr>
          </w:p>
        </w:tc>
      </w:tr>
      <w:tr w14:paraId="379459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918" w:type="dxa"/>
            <w:gridSpan w:val="4"/>
            <w:tcBorders>
              <w:tl2br w:val="nil"/>
              <w:tr2bl w:val="nil"/>
            </w:tcBorders>
            <w:vAlign w:val="center"/>
          </w:tcPr>
          <w:p w14:paraId="7AD68752">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48FE391E">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0.79144</w:t>
            </w:r>
          </w:p>
        </w:tc>
        <w:tc>
          <w:tcPr>
            <w:tcW w:w="1570" w:type="dxa"/>
            <w:vMerge w:val="continue"/>
            <w:tcBorders>
              <w:tl2br w:val="nil"/>
              <w:tr2bl w:val="nil"/>
            </w:tcBorders>
            <w:vAlign w:val="center"/>
          </w:tcPr>
          <w:p w14:paraId="1AC04948">
            <w:pPr>
              <w:jc w:val="center"/>
              <w:rPr>
                <w:sz w:val="2"/>
                <w:szCs w:val="2"/>
              </w:rPr>
            </w:pPr>
          </w:p>
        </w:tc>
      </w:tr>
    </w:tbl>
    <w:p w14:paraId="3B0E967A">
      <w:pPr>
        <w:pStyle w:val="13"/>
        <w:spacing w:before="0" w:after="0" w:line="500" w:lineRule="exact"/>
        <w:ind w:left="0" w:right="0" w:firstLine="480" w:firstLineChars="200"/>
        <w:jc w:val="both"/>
        <w:rPr>
          <w:rFonts w:eastAsia="宋体"/>
        </w:rPr>
      </w:pPr>
      <w:r>
        <w:rPr>
          <w:rFonts w:eastAsia="宋体"/>
          <w:spacing w:val="0"/>
        </w:rPr>
        <w:t>根据《企业事业单位突发环境事件应急预案评审工作指南》对于数量大于临界量的，应辨识重要环境风险单元。表</w:t>
      </w:r>
      <w:r>
        <w:rPr>
          <w:rFonts w:ascii="Times New Roman" w:eastAsia="宋体"/>
        </w:rPr>
        <w:t>3-</w:t>
      </w:r>
      <w:r>
        <w:rPr>
          <w:rFonts w:hint="eastAsia" w:eastAsia="宋体"/>
          <w:lang w:val="en-US" w:eastAsia="zh-CN"/>
        </w:rPr>
        <w:t>10</w:t>
      </w:r>
      <w:r>
        <w:rPr>
          <w:rFonts w:eastAsia="宋体"/>
          <w:spacing w:val="0"/>
        </w:rPr>
        <w:t>中企业存在环境风险的</w:t>
      </w:r>
      <w:r>
        <w:rPr>
          <w:rFonts w:hint="eastAsia" w:eastAsia="宋体"/>
          <w:spacing w:val="0"/>
          <w:lang w:val="en-US" w:eastAsia="zh-CN"/>
        </w:rPr>
        <w:t>油漆仓库、</w:t>
      </w:r>
      <w:r>
        <w:rPr>
          <w:rFonts w:hint="eastAsia" w:eastAsia="宋体" w:cs="Times New Roman"/>
          <w:spacing w:val="0"/>
          <w:lang w:val="en-US" w:eastAsia="zh-CN"/>
        </w:rPr>
        <w:t>生产车间</w:t>
      </w:r>
      <w:r>
        <w:rPr>
          <w:rFonts w:eastAsia="宋体"/>
          <w:spacing w:val="0"/>
        </w:rPr>
        <w:t>、</w:t>
      </w:r>
      <w:r>
        <w:rPr>
          <w:rFonts w:hint="eastAsia" w:eastAsia="宋体"/>
          <w:spacing w:val="0"/>
          <w:lang w:val="en-US" w:eastAsia="zh-CN"/>
        </w:rPr>
        <w:t>污水处理站、</w:t>
      </w:r>
      <w:r>
        <w:rPr>
          <w:rFonts w:eastAsia="宋体"/>
          <w:spacing w:val="0"/>
        </w:rPr>
        <w:t>危废仓库</w:t>
      </w:r>
      <w:r>
        <w:rPr>
          <w:rFonts w:ascii="Times New Roman" w:eastAsia="宋体"/>
        </w:rPr>
        <w:t>Q</w:t>
      </w:r>
      <w:r>
        <w:rPr>
          <w:rFonts w:eastAsia="宋体"/>
          <w:spacing w:val="0"/>
        </w:rPr>
        <w:t>值均小于</w:t>
      </w:r>
      <w:r>
        <w:rPr>
          <w:rFonts w:ascii="Times New Roman" w:eastAsia="宋体"/>
        </w:rPr>
        <w:t>1</w:t>
      </w:r>
      <w:r>
        <w:rPr>
          <w:rFonts w:eastAsia="宋体"/>
        </w:rPr>
        <w:t>，企业不存在重要环境风险单元。</w:t>
      </w:r>
    </w:p>
    <w:p w14:paraId="2CCDF869">
      <w:pPr>
        <w:snapToGrid w:val="0"/>
        <w:spacing w:line="500" w:lineRule="exact"/>
        <w:jc w:val="center"/>
        <w:rPr>
          <w:rFonts w:hint="eastAsia"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11</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公司环境风险辨识清单</w:t>
      </w:r>
    </w:p>
    <w:tbl>
      <w:tblPr>
        <w:tblStyle w:val="37"/>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083"/>
        <w:gridCol w:w="2376"/>
        <w:gridCol w:w="2099"/>
        <w:gridCol w:w="2323"/>
      </w:tblGrid>
      <w:tr w14:paraId="62F87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4FD35A72">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065" w:type="pct"/>
            <w:vAlign w:val="center"/>
          </w:tcPr>
          <w:p w14:paraId="37F0CB6A">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风险单元</w:t>
            </w:r>
          </w:p>
        </w:tc>
        <w:tc>
          <w:tcPr>
            <w:tcW w:w="1215" w:type="pct"/>
            <w:vAlign w:val="center"/>
          </w:tcPr>
          <w:p w14:paraId="1CAE3D78">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涉及风险工艺或设备</w:t>
            </w:r>
          </w:p>
        </w:tc>
        <w:tc>
          <w:tcPr>
            <w:tcW w:w="1073" w:type="pct"/>
            <w:vAlign w:val="center"/>
          </w:tcPr>
          <w:p w14:paraId="6054FC26">
            <w:pPr>
              <w:spacing w:beforeLines="30" w:afterLines="3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典型事件情景</w:t>
            </w:r>
          </w:p>
        </w:tc>
        <w:tc>
          <w:tcPr>
            <w:tcW w:w="1188" w:type="pct"/>
            <w:vAlign w:val="center"/>
          </w:tcPr>
          <w:p w14:paraId="249977F6">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事件级别</w:t>
            </w:r>
          </w:p>
        </w:tc>
      </w:tr>
      <w:tr w14:paraId="2D398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2A915020">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065" w:type="pct"/>
            <w:vAlign w:val="center"/>
          </w:tcPr>
          <w:p w14:paraId="3D3E00E5">
            <w:pPr>
              <w:pStyle w:val="247"/>
              <w:keepNext w:val="0"/>
              <w:keepLines w:val="0"/>
              <w:pageBreakBefore w:val="0"/>
              <w:widowControl w:val="0"/>
              <w:kinsoku/>
              <w:wordWrap/>
              <w:overflowPunct/>
              <w:topLinePunct w:val="0"/>
              <w:bidi w:val="0"/>
              <w:snapToGrid/>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危废暂存点</w:t>
            </w:r>
          </w:p>
        </w:tc>
        <w:tc>
          <w:tcPr>
            <w:tcW w:w="1215" w:type="pct"/>
            <w:vAlign w:val="center"/>
          </w:tcPr>
          <w:p w14:paraId="14E25442">
            <w:pPr>
              <w:keepNext w:val="0"/>
              <w:keepLines w:val="0"/>
              <w:widowControl/>
              <w:suppressLineNumbers w:val="0"/>
              <w:ind w:firstLine="720" w:firstLineChars="300"/>
              <w:jc w:val="left"/>
              <w:rPr>
                <w:rFonts w:hint="default" w:ascii="宋体" w:hAnsi="宋体" w:eastAsia="宋体" w:cs="宋体"/>
                <w:color w:val="auto"/>
                <w:kern w:val="2"/>
                <w:sz w:val="21"/>
                <w:szCs w:val="24"/>
                <w:lang w:val="en-US" w:eastAsia="zh-CN" w:bidi="ar-SA"/>
              </w:rPr>
            </w:pPr>
            <w:r>
              <w:rPr>
                <w:rFonts w:hint="eastAsia" w:ascii="宋体" w:hAnsi="宋体" w:eastAsia="宋体" w:cs="宋体"/>
                <w:color w:val="000000"/>
                <w:kern w:val="0"/>
                <w:sz w:val="24"/>
                <w:szCs w:val="24"/>
                <w:lang w:val="en-US" w:eastAsia="zh-CN" w:bidi="ar"/>
              </w:rPr>
              <w:t>不涉及</w:t>
            </w:r>
          </w:p>
        </w:tc>
        <w:tc>
          <w:tcPr>
            <w:tcW w:w="1073" w:type="pct"/>
            <w:vAlign w:val="center"/>
          </w:tcPr>
          <w:p w14:paraId="111DD25D">
            <w:pPr>
              <w:pStyle w:val="140"/>
              <w:spacing w:before="91"/>
              <w:ind w:left="26" w:leftChars="0"/>
              <w:rPr>
                <w:rFonts w:hint="default" w:ascii="Times New Roman" w:hAnsi="宋体" w:eastAsia="宋体" w:cs="宋体"/>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危废暂存点有机溶剂泄漏、火灾引发次生/伴生C0污染物排放</w:t>
            </w:r>
          </w:p>
        </w:tc>
        <w:tc>
          <w:tcPr>
            <w:tcW w:w="1188" w:type="pct"/>
            <w:vAlign w:val="center"/>
          </w:tcPr>
          <w:p w14:paraId="5638BD7E">
            <w:pPr>
              <w:spacing w:beforeLines="30" w:afterLines="30"/>
              <w:jc w:val="center"/>
              <w:rPr>
                <w:rFonts w:hint="default" w:ascii="Times New Roman" w:hAnsi="Times New Roman" w:eastAsia="宋体" w:cs="Times New Roman"/>
                <w:color w:val="auto"/>
                <w:sz w:val="21"/>
                <w:szCs w:val="21"/>
              </w:rPr>
            </w:pPr>
            <w:r>
              <w:rPr>
                <w:rFonts w:hint="eastAsia" w:eastAsia="宋体" w:cs="Times New Roman"/>
                <w:color w:val="auto"/>
                <w:sz w:val="21"/>
                <w:szCs w:val="21"/>
                <w:lang w:val="en-US" w:eastAsia="zh-CN"/>
              </w:rPr>
              <w:t>车间级</w:t>
            </w:r>
          </w:p>
        </w:tc>
      </w:tr>
      <w:tr w14:paraId="25BBDC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2B4BD3B3">
            <w:pPr>
              <w:spacing w:beforeLines="30" w:afterLines="3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w:t>
            </w:r>
          </w:p>
        </w:tc>
        <w:tc>
          <w:tcPr>
            <w:tcW w:w="1065" w:type="pct"/>
            <w:vAlign w:val="center"/>
          </w:tcPr>
          <w:p w14:paraId="1D5CAFEC">
            <w:pPr>
              <w:pStyle w:val="247"/>
              <w:keepNext w:val="0"/>
              <w:keepLines w:val="0"/>
              <w:pageBreakBefore w:val="0"/>
              <w:widowControl w:val="0"/>
              <w:kinsoku/>
              <w:wordWrap/>
              <w:overflowPunct/>
              <w:topLinePunct w:val="0"/>
              <w:bidi w:val="0"/>
              <w:snapToGrid/>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水性漆仓库</w:t>
            </w:r>
          </w:p>
        </w:tc>
        <w:tc>
          <w:tcPr>
            <w:tcW w:w="1215" w:type="pct"/>
            <w:vAlign w:val="center"/>
          </w:tcPr>
          <w:p w14:paraId="28102D11">
            <w:pPr>
              <w:keepNext w:val="0"/>
              <w:keepLines w:val="0"/>
              <w:widowControl/>
              <w:suppressLineNumbers w:val="0"/>
              <w:ind w:firstLine="720" w:firstLineChars="3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不涉及</w:t>
            </w:r>
          </w:p>
        </w:tc>
        <w:tc>
          <w:tcPr>
            <w:tcW w:w="1073" w:type="pct"/>
            <w:vAlign w:val="center"/>
          </w:tcPr>
          <w:p w14:paraId="3338B70F">
            <w:pPr>
              <w:pStyle w:val="140"/>
              <w:spacing w:before="91"/>
              <w:ind w:left="26" w:leftChars="0"/>
              <w:rPr>
                <w:rFonts w:hint="eastAsia"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水性漆泄漏、火灾引发次生/伴生CO污染物排放。</w:t>
            </w:r>
          </w:p>
        </w:tc>
        <w:tc>
          <w:tcPr>
            <w:tcW w:w="1188" w:type="pct"/>
            <w:vAlign w:val="center"/>
          </w:tcPr>
          <w:p w14:paraId="67098CF2">
            <w:pPr>
              <w:spacing w:beforeLines="30" w:afterLines="30"/>
              <w:jc w:val="center"/>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车间级</w:t>
            </w:r>
          </w:p>
        </w:tc>
      </w:tr>
    </w:tbl>
    <w:p w14:paraId="346B6BEA"/>
    <w:p w14:paraId="0375521C">
      <w:pPr>
        <w:pStyle w:val="3"/>
        <w:adjustRightInd w:val="0"/>
        <w:snapToGrid w:val="0"/>
        <w:spacing w:line="480" w:lineRule="exact"/>
        <w:rPr>
          <w:rFonts w:hint="default" w:ascii="Times New Roman" w:hAnsi="Times New Roman" w:eastAsia="宋体" w:cs="Times New Roman"/>
          <w:sz w:val="24"/>
          <w:szCs w:val="24"/>
        </w:rPr>
      </w:pPr>
      <w:bookmarkStart w:id="86" w:name="_Toc32620"/>
      <w:bookmarkStart w:id="87" w:name="_Toc18985"/>
      <w:r>
        <w:rPr>
          <w:rFonts w:hint="default" w:ascii="Times New Roman" w:hAnsi="Times New Roman" w:eastAsia="宋体" w:cs="Times New Roman"/>
          <w:sz w:val="24"/>
          <w:szCs w:val="24"/>
        </w:rPr>
        <w:t>3.</w:t>
      </w:r>
      <w:r>
        <w:rPr>
          <w:rFonts w:hint="eastAsia" w:eastAsia="宋体" w:cs="Times New Roman"/>
          <w:sz w:val="24"/>
          <w:szCs w:val="24"/>
          <w:lang w:val="en-US" w:eastAsia="zh-CN"/>
        </w:rPr>
        <w:t>5</w:t>
      </w:r>
      <w:r>
        <w:rPr>
          <w:rFonts w:hint="default" w:ascii="Times New Roman" w:hAnsi="Times New Roman" w:eastAsia="宋体" w:cs="Times New Roman"/>
          <w:sz w:val="24"/>
          <w:szCs w:val="24"/>
        </w:rPr>
        <w:t>生产工艺情况</w:t>
      </w:r>
      <w:bookmarkEnd w:id="84"/>
      <w:bookmarkEnd w:id="86"/>
      <w:bookmarkEnd w:id="87"/>
    </w:p>
    <w:p w14:paraId="3A1584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eastAsiaTheme="minorEastAsia"/>
          <w:color w:val="000000" w:themeColor="text1"/>
          <w14:textFill>
            <w14:solidFill>
              <w14:schemeClr w14:val="tx1"/>
            </w14:solidFill>
          </w14:textFill>
        </w:rPr>
        <w:t>公司主要生产</w:t>
      </w:r>
      <w:r>
        <w:rPr>
          <w:rFonts w:hint="eastAsia" w:eastAsiaTheme="minorEastAsia"/>
          <w:color w:val="000000" w:themeColor="text1"/>
          <w:lang w:val="en-US" w:eastAsia="zh-CN"/>
          <w14:textFill>
            <w14:solidFill>
              <w14:schemeClr w14:val="tx1"/>
            </w14:solidFill>
          </w14:textFill>
        </w:rPr>
        <w:t>家具</w:t>
      </w:r>
      <w:r>
        <w:rPr>
          <w:rFonts w:hint="eastAsia" w:eastAsiaTheme="minorEastAsia"/>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公司主要产品概况见表</w:t>
      </w:r>
      <w:r>
        <w:rPr>
          <w:rFonts w:hint="eastAsia" w:eastAsiaTheme="minorEastAsia"/>
          <w:color w:val="000000" w:themeColor="text1"/>
          <w14:textFill>
            <w14:solidFill>
              <w14:schemeClr w14:val="tx1"/>
            </w14:solidFill>
          </w14:textFill>
        </w:rPr>
        <w:t>3</w:t>
      </w:r>
      <w:r>
        <w:rPr>
          <w:rFonts w:hint="eastAsia" w:eastAsiaTheme="minorEastAsia"/>
          <w:color w:val="000000" w:themeColor="text1"/>
          <w:lang w:val="en-US" w:eastAsia="zh-CN"/>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w:t>
      </w:r>
    </w:p>
    <w:p w14:paraId="03A9D2AA">
      <w:pPr>
        <w:snapToGrid w:val="0"/>
        <w:spacing w:line="500" w:lineRule="exact"/>
        <w:jc w:val="center"/>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b/>
          <w:color w:val="000000" w:themeColor="text1"/>
          <w:sz w:val="24"/>
          <w:szCs w:val="24"/>
          <w14:textFill>
            <w14:solidFill>
              <w14:schemeClr w14:val="tx1"/>
            </w14:solidFill>
          </w14:textFill>
        </w:rPr>
        <w:t>公司</w:t>
      </w:r>
      <w:r>
        <w:rPr>
          <w:rFonts w:hint="eastAsia" w:eastAsia="宋体" w:cs="Times New Roman"/>
          <w:b/>
          <w:color w:val="000000" w:themeColor="text1"/>
          <w:sz w:val="24"/>
          <w:szCs w:val="24"/>
          <w:lang w:val="en-US" w:eastAsia="zh-CN"/>
          <w14:textFill>
            <w14:solidFill>
              <w14:schemeClr w14:val="tx1"/>
            </w14:solidFill>
          </w14:textFill>
        </w:rPr>
        <w:t>现有</w:t>
      </w:r>
      <w:r>
        <w:rPr>
          <w:rFonts w:hint="default" w:ascii="Times New Roman" w:hAnsi="Times New Roman" w:eastAsia="宋体" w:cs="Times New Roman"/>
          <w:b/>
          <w:color w:val="000000" w:themeColor="text1"/>
          <w:sz w:val="24"/>
          <w:szCs w:val="24"/>
          <w14:textFill>
            <w14:solidFill>
              <w14:schemeClr w14:val="tx1"/>
            </w14:solidFill>
          </w14:textFill>
        </w:rPr>
        <w:t>产品概况</w:t>
      </w:r>
    </w:p>
    <w:tbl>
      <w:tblPr>
        <w:tblStyle w:val="37"/>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083"/>
        <w:gridCol w:w="2376"/>
        <w:gridCol w:w="2099"/>
        <w:gridCol w:w="2323"/>
      </w:tblGrid>
      <w:tr w14:paraId="47EBA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1EABCE7A">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065" w:type="pct"/>
            <w:vAlign w:val="center"/>
          </w:tcPr>
          <w:p w14:paraId="352920BF">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主体工程名称</w:t>
            </w:r>
          </w:p>
        </w:tc>
        <w:tc>
          <w:tcPr>
            <w:tcW w:w="1215" w:type="pct"/>
            <w:vAlign w:val="center"/>
          </w:tcPr>
          <w:p w14:paraId="2CD4F5F0">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产品名称及规格</w:t>
            </w:r>
          </w:p>
        </w:tc>
        <w:tc>
          <w:tcPr>
            <w:tcW w:w="1073" w:type="pct"/>
            <w:vAlign w:val="center"/>
          </w:tcPr>
          <w:p w14:paraId="35626DA8">
            <w:pPr>
              <w:spacing w:beforeLines="30" w:afterLines="3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年设计加工能力</w:t>
            </w:r>
          </w:p>
        </w:tc>
        <w:tc>
          <w:tcPr>
            <w:tcW w:w="1188" w:type="pct"/>
            <w:vAlign w:val="center"/>
          </w:tcPr>
          <w:p w14:paraId="64F3E92B">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年运行时间</w:t>
            </w:r>
          </w:p>
        </w:tc>
      </w:tr>
      <w:tr w14:paraId="5753E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39EB5A97">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065" w:type="pct"/>
            <w:vAlign w:val="center"/>
          </w:tcPr>
          <w:p w14:paraId="550F116F">
            <w:pPr>
              <w:pStyle w:val="247"/>
              <w:keepNext w:val="0"/>
              <w:keepLines w:val="0"/>
              <w:pageBreakBefore w:val="0"/>
              <w:widowControl w:val="0"/>
              <w:kinsoku/>
              <w:wordWrap/>
              <w:overflowPunct/>
              <w:topLinePunct w:val="0"/>
              <w:bidi w:val="0"/>
              <w:snapToGrid/>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年产500套家具项目</w:t>
            </w:r>
          </w:p>
        </w:tc>
        <w:tc>
          <w:tcPr>
            <w:tcW w:w="1215" w:type="pct"/>
            <w:vAlign w:val="center"/>
          </w:tcPr>
          <w:p w14:paraId="795A8742">
            <w:pPr>
              <w:keepNext w:val="0"/>
              <w:keepLines w:val="0"/>
              <w:widowControl/>
              <w:suppressLineNumbers w:val="0"/>
              <w:ind w:firstLine="840" w:firstLineChars="400"/>
              <w:jc w:val="left"/>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家具</w:t>
            </w:r>
          </w:p>
        </w:tc>
        <w:tc>
          <w:tcPr>
            <w:tcW w:w="1073" w:type="pct"/>
            <w:vAlign w:val="center"/>
          </w:tcPr>
          <w:p w14:paraId="60E955AC">
            <w:pPr>
              <w:pStyle w:val="140"/>
              <w:spacing w:before="91"/>
              <w:ind w:left="26" w:leftChars="0"/>
              <w:rPr>
                <w:rFonts w:hint="default" w:ascii="宋体" w:hAnsi="宋体" w:eastAsia="宋体" w:cs="宋体"/>
                <w:color w:val="auto"/>
                <w:kern w:val="0"/>
                <w:sz w:val="21"/>
                <w:szCs w:val="21"/>
                <w:lang w:val="en-US" w:eastAsia="zh-CN" w:bidi="ar-SA"/>
              </w:rPr>
            </w:pPr>
            <w:r>
              <w:rPr>
                <w:rFonts w:hint="eastAsia" w:cs="宋体"/>
                <w:color w:val="auto"/>
                <w:kern w:val="0"/>
                <w:sz w:val="21"/>
                <w:szCs w:val="21"/>
                <w:lang w:val="en-US" w:eastAsia="zh-CN" w:bidi="ar-SA"/>
              </w:rPr>
              <w:t>500</w:t>
            </w:r>
            <w:r>
              <w:rPr>
                <w:rFonts w:hint="eastAsia" w:ascii="宋体" w:hAnsi="宋体" w:eastAsia="宋体" w:cs="宋体"/>
                <w:color w:val="auto"/>
                <w:kern w:val="0"/>
                <w:sz w:val="21"/>
                <w:szCs w:val="21"/>
                <w:lang w:val="en-US" w:eastAsia="zh-CN" w:bidi="ar-SA"/>
              </w:rPr>
              <w:t>件</w:t>
            </w:r>
          </w:p>
        </w:tc>
        <w:tc>
          <w:tcPr>
            <w:tcW w:w="1188" w:type="pct"/>
            <w:vAlign w:val="center"/>
          </w:tcPr>
          <w:p w14:paraId="3C533115">
            <w:pPr>
              <w:spacing w:beforeLines="30" w:afterLines="30"/>
              <w:jc w:val="center"/>
              <w:rPr>
                <w:rFonts w:hint="default" w:ascii="宋体" w:hAnsi="宋体" w:eastAsia="宋体" w:cs="宋体"/>
                <w:color w:val="auto"/>
                <w:kern w:val="0"/>
                <w:sz w:val="21"/>
                <w:szCs w:val="21"/>
                <w:lang w:val="en-US" w:eastAsia="zh-CN" w:bidi="ar-SA"/>
              </w:rPr>
            </w:pPr>
            <w:r>
              <w:rPr>
                <w:rFonts w:hint="default" w:ascii="宋体" w:hAnsi="宋体" w:eastAsia="宋体" w:cs="宋体"/>
                <w:color w:val="auto"/>
                <w:kern w:val="0"/>
                <w:sz w:val="21"/>
                <w:szCs w:val="21"/>
                <w:lang w:val="en-US" w:eastAsia="zh-CN" w:bidi="ar-SA"/>
              </w:rPr>
              <w:t>生产时数</w:t>
            </w:r>
            <w:r>
              <w:rPr>
                <w:rFonts w:hint="eastAsia" w:ascii="宋体" w:hAnsi="宋体" w:eastAsia="宋体" w:cs="宋体"/>
                <w:color w:val="auto"/>
                <w:kern w:val="0"/>
                <w:sz w:val="21"/>
                <w:szCs w:val="21"/>
                <w:lang w:val="en-US" w:eastAsia="zh-CN" w:bidi="ar-SA"/>
              </w:rPr>
              <w:t>2400</w:t>
            </w:r>
            <w:r>
              <w:rPr>
                <w:rFonts w:hint="default" w:ascii="宋体" w:hAnsi="宋体" w:eastAsia="宋体" w:cs="宋体"/>
                <w:color w:val="auto"/>
                <w:kern w:val="0"/>
                <w:sz w:val="21"/>
                <w:szCs w:val="21"/>
                <w:lang w:val="en-US" w:eastAsia="zh-CN" w:bidi="ar-SA"/>
              </w:rPr>
              <w:t>h/a</w:t>
            </w:r>
          </w:p>
        </w:tc>
      </w:tr>
    </w:tbl>
    <w:p w14:paraId="3F8E5BB8">
      <w:pPr>
        <w:pStyle w:val="5"/>
        <w:adjustRightInd w:val="0"/>
        <w:snapToGrid w:val="0"/>
        <w:spacing w:line="480" w:lineRule="exact"/>
        <w:rPr>
          <w:rFonts w:hint="default" w:ascii="Times New Roman" w:hAnsi="Times New Roman" w:eastAsia="宋体" w:cs="Times New Roman"/>
        </w:rPr>
      </w:pPr>
      <w:bookmarkStart w:id="88" w:name="_Toc32524"/>
      <w:bookmarkStart w:id="89" w:name="_Toc20743"/>
      <w:bookmarkStart w:id="90" w:name="_Toc11684"/>
      <w:r>
        <w:rPr>
          <w:rFonts w:hint="default" w:ascii="Times New Roman" w:hAnsi="Times New Roman" w:eastAsia="宋体" w:cs="Times New Roman"/>
        </w:rPr>
        <w:t>3.</w:t>
      </w:r>
      <w:r>
        <w:rPr>
          <w:rFonts w:hint="eastAsia" w:eastAsia="宋体" w:cs="Times New Roman"/>
          <w:lang w:val="en-US" w:eastAsia="zh-CN"/>
        </w:rPr>
        <w:t>5</w:t>
      </w:r>
      <w:r>
        <w:rPr>
          <w:rFonts w:hint="default" w:ascii="Times New Roman" w:hAnsi="Times New Roman" w:eastAsia="宋体" w:cs="Times New Roman"/>
        </w:rPr>
        <w:t>.1生产工艺简介</w:t>
      </w:r>
      <w:bookmarkEnd w:id="88"/>
      <w:bookmarkEnd w:id="89"/>
      <w:bookmarkEnd w:id="90"/>
    </w:p>
    <w:p w14:paraId="7D0C2FD3">
      <w:pPr>
        <w:rPr>
          <w:rFonts w:hint="eastAsia" w:ascii="Times New Roman" w:hAnsi="Times New Roman" w:cs="Times New Roman" w:eastAsiaTheme="minorEastAsia"/>
          <w:b w:val="0"/>
          <w:bCs/>
          <w:color w:val="auto"/>
          <w:sz w:val="24"/>
          <w:szCs w:val="24"/>
          <w:highlight w:val="none"/>
          <w:lang w:val="en-US" w:eastAsia="zh-CN"/>
        </w:rPr>
      </w:pPr>
      <w:r>
        <w:rPr>
          <w:rFonts w:hint="eastAsia" w:ascii="Times New Roman" w:hAnsi="Times New Roman" w:cs="Times New Roman" w:eastAsiaTheme="minorEastAsia"/>
          <w:b w:val="0"/>
          <w:bCs/>
          <w:color w:val="auto"/>
          <w:sz w:val="24"/>
          <w:szCs w:val="24"/>
          <w:highlight w:val="none"/>
          <w:lang w:val="en-US" w:eastAsia="zh-CN"/>
        </w:rPr>
        <w:t>项目生产工艺流程图见图3-2</w:t>
      </w:r>
      <w:r>
        <w:rPr>
          <w:rFonts w:hint="eastAsia" w:cs="Times New Roman" w:eastAsiaTheme="minorEastAsia"/>
          <w:b w:val="0"/>
          <w:bCs/>
          <w:color w:val="auto"/>
          <w:sz w:val="24"/>
          <w:szCs w:val="24"/>
          <w:highlight w:val="none"/>
          <w:lang w:val="en-US" w:eastAsia="zh-CN"/>
        </w:rPr>
        <w:t>、3-4</w:t>
      </w:r>
      <w:r>
        <w:rPr>
          <w:rFonts w:hint="eastAsia" w:ascii="Times New Roman" w:hAnsi="Times New Roman" w:cs="Times New Roman" w:eastAsiaTheme="minorEastAsia"/>
          <w:b w:val="0"/>
          <w:bCs/>
          <w:color w:val="auto"/>
          <w:sz w:val="24"/>
          <w:szCs w:val="24"/>
          <w:highlight w:val="none"/>
          <w:lang w:val="en-US" w:eastAsia="zh-CN"/>
        </w:rPr>
        <w:t>。</w:t>
      </w:r>
    </w:p>
    <w:p w14:paraId="478A5D8D">
      <w:pPr>
        <w:pStyle w:val="5"/>
        <w:jc w:val="center"/>
        <w:rPr>
          <w:rFonts w:hint="eastAsia" w:eastAsia="仿宋_GB2312"/>
          <w:lang w:eastAsia="zh-CN"/>
        </w:rPr>
      </w:pPr>
      <w:bookmarkStart w:id="91" w:name="_Toc11213"/>
      <w:r>
        <w:rPr>
          <w:rFonts w:hint="eastAsia" w:eastAsia="仿宋_GB2312"/>
          <w:lang w:eastAsia="zh-CN"/>
        </w:rPr>
        <w:drawing>
          <wp:inline distT="0" distB="0" distL="114300" distR="114300">
            <wp:extent cx="5581650" cy="3800475"/>
            <wp:effectExtent l="0" t="0" r="0" b="9525"/>
            <wp:docPr id="1" name="图片 1" descr="3fe37c2b472b6e27e53b67f585b0a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e37c2b472b6e27e53b67f585b0acb"/>
                    <pic:cNvPicPr>
                      <a:picLocks noChangeAspect="1"/>
                    </pic:cNvPicPr>
                  </pic:nvPicPr>
                  <pic:blipFill>
                    <a:blip r:embed="rId17"/>
                    <a:stretch>
                      <a:fillRect/>
                    </a:stretch>
                  </pic:blipFill>
                  <pic:spPr>
                    <a:xfrm>
                      <a:off x="0" y="0"/>
                      <a:ext cx="5581650" cy="3800475"/>
                    </a:xfrm>
                    <a:prstGeom prst="rect">
                      <a:avLst/>
                    </a:prstGeom>
                  </pic:spPr>
                </pic:pic>
              </a:graphicData>
            </a:graphic>
          </wp:inline>
        </w:drawing>
      </w:r>
    </w:p>
    <w:p w14:paraId="7E84230B">
      <w:pPr>
        <w:pStyle w:val="13"/>
        <w:spacing w:before="0" w:after="0" w:line="500" w:lineRule="exact"/>
        <w:ind w:left="0" w:right="0" w:firstLine="3132" w:firstLineChars="1300"/>
        <w:jc w:val="both"/>
        <w:rPr>
          <w:rFonts w:hint="eastAsia" w:ascii="Times New Roman" w:hAnsi="Times New Roman" w:eastAsia="宋体" w:cs="Times New Roman"/>
          <w:b/>
          <w:bCs/>
          <w:color w:val="auto"/>
          <w:kern w:val="0"/>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图</w:t>
      </w:r>
      <w:r>
        <w:rPr>
          <w:rFonts w:hint="eastAsia" w:eastAsia="宋体" w:cs="Times New Roman"/>
          <w:b/>
          <w:bCs/>
          <w:color w:val="auto"/>
          <w:kern w:val="0"/>
          <w:sz w:val="24"/>
          <w:szCs w:val="24"/>
          <w:highlight w:val="none"/>
          <w:lang w:val="en-US" w:eastAsia="zh-CN"/>
        </w:rPr>
        <w:t>3-2项目</w:t>
      </w:r>
      <w:r>
        <w:rPr>
          <w:rFonts w:hint="eastAsia" w:ascii="Times New Roman" w:hAnsi="Times New Roman" w:eastAsia="宋体" w:cs="Times New Roman"/>
          <w:b/>
          <w:bCs/>
          <w:color w:val="auto"/>
          <w:kern w:val="0"/>
          <w:sz w:val="24"/>
          <w:szCs w:val="24"/>
          <w:highlight w:val="none"/>
          <w:lang w:val="en-US" w:eastAsia="zh-CN"/>
        </w:rPr>
        <w:t>工艺流程图</w:t>
      </w:r>
    </w:p>
    <w:p w14:paraId="7FC98757">
      <w:pPr>
        <w:rPr>
          <w:rFonts w:hint="eastAsia" w:ascii="Times New Roman" w:hAnsi="Times New Roman" w:eastAsia="宋体" w:cs="Times New Roman"/>
          <w:b/>
          <w:bCs/>
          <w:color w:val="auto"/>
          <w:kern w:val="0"/>
          <w:sz w:val="24"/>
          <w:szCs w:val="24"/>
          <w:highlight w:val="none"/>
          <w:lang w:val="en-US" w:eastAsia="zh-CN"/>
        </w:rPr>
      </w:pPr>
    </w:p>
    <w:p w14:paraId="180E5F0C">
      <w:pPr>
        <w:pStyle w:val="4"/>
        <w:spacing w:line="360" w:lineRule="auto"/>
        <w:ind w:firstLine="482"/>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工艺流程说明：</w:t>
      </w:r>
    </w:p>
    <w:p w14:paraId="0970BB26">
      <w:pPr>
        <w:pStyle w:val="4"/>
        <w:spacing w:line="360" w:lineRule="auto"/>
        <w:ind w:left="0" w:leftChars="0" w:firstLine="0" w:firstLineChars="0"/>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1、配皮、压制:根据图纸配皮下料，将白乳胶涂在人造板表面，使用冷压机或热压机将人造板与配皮粘贴在一起，该过程会产生热压废气(G</w:t>
      </w:r>
      <w:r>
        <w:rPr>
          <w:rFonts w:hint="eastAsia" w:eastAsia="宋体" w:cs="Times New Roman"/>
          <w:kern w:val="0"/>
          <w:sz w:val="24"/>
          <w:szCs w:val="24"/>
          <w:lang w:val="en-US" w:eastAsia="zh-CN" w:bidi="ar-SA"/>
        </w:rPr>
        <w:t>1</w:t>
      </w:r>
      <w:r>
        <w:rPr>
          <w:rFonts w:hint="default" w:ascii="Times New Roman" w:hAnsi="Times New Roman" w:eastAsia="宋体" w:cs="Times New Roman"/>
          <w:kern w:val="0"/>
          <w:sz w:val="24"/>
          <w:szCs w:val="24"/>
          <w:lang w:val="en-US" w:eastAsia="zh-CN" w:bidi="ar-SA"/>
        </w:rPr>
        <w:t>)。</w:t>
      </w:r>
    </w:p>
    <w:p w14:paraId="5120151D">
      <w:pPr>
        <w:pStyle w:val="4"/>
        <w:spacing w:line="360" w:lineRule="auto"/>
        <w:ind w:left="0" w:leftChars="0" w:firstLine="0" w:firstLineChars="0"/>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2、精裁、铣型:将压制好的板材按照图纸使用铣床成型,此过程产生废木工粉尘(G</w:t>
      </w:r>
      <w:r>
        <w:rPr>
          <w:rFonts w:hint="eastAsia" w:eastAsia="宋体" w:cs="Times New Roman"/>
          <w:kern w:val="0"/>
          <w:sz w:val="24"/>
          <w:szCs w:val="24"/>
          <w:lang w:val="en-US" w:eastAsia="zh-CN" w:bidi="ar-SA"/>
        </w:rPr>
        <w:t>2</w:t>
      </w:r>
      <w:r>
        <w:rPr>
          <w:rFonts w:hint="default" w:ascii="Times New Roman" w:hAnsi="Times New Roman" w:eastAsia="宋体" w:cs="Times New Roman"/>
          <w:kern w:val="0"/>
          <w:sz w:val="24"/>
          <w:szCs w:val="24"/>
          <w:lang w:val="en-US" w:eastAsia="zh-CN" w:bidi="ar-SA"/>
        </w:rPr>
        <w:t>)</w:t>
      </w:r>
    </w:p>
    <w:p w14:paraId="67893FE4">
      <w:pPr>
        <w:pStyle w:val="4"/>
        <w:spacing w:line="360" w:lineRule="auto"/>
        <w:ind w:left="0" w:leftChars="0" w:firstLine="0" w:firstLineChars="0"/>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边角料(S</w:t>
      </w:r>
      <w:r>
        <w:rPr>
          <w:rFonts w:hint="eastAsia" w:eastAsia="宋体" w:cs="Times New Roman"/>
          <w:kern w:val="0"/>
          <w:sz w:val="24"/>
          <w:szCs w:val="24"/>
          <w:lang w:val="en-US" w:eastAsia="zh-CN" w:bidi="ar-SA"/>
        </w:rPr>
        <w:t>1</w:t>
      </w:r>
      <w:r>
        <w:rPr>
          <w:rFonts w:hint="default" w:ascii="Times New Roman" w:hAnsi="Times New Roman" w:eastAsia="宋体" w:cs="Times New Roman"/>
          <w:kern w:val="0"/>
          <w:sz w:val="24"/>
          <w:szCs w:val="24"/>
          <w:lang w:val="en-US" w:eastAsia="zh-CN" w:bidi="ar-SA"/>
        </w:rPr>
        <w:t>)。</w:t>
      </w:r>
    </w:p>
    <w:p w14:paraId="4B6CF889">
      <w:pPr>
        <w:pStyle w:val="4"/>
        <w:numPr>
          <w:ilvl w:val="0"/>
          <w:numId w:val="3"/>
        </w:numPr>
        <w:spacing w:line="360" w:lineRule="auto"/>
        <w:ind w:left="0" w:leftChars="0" w:firstLine="0" w:firstLineChars="0"/>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封边、打孔:使用全自动封边机在板材的切割面贴上和板材颜色一样的封边条:使用打孔机等设备在制定位置开槽打孔，以便后续安装组合。此过程产生边角料(S</w:t>
      </w:r>
      <w:r>
        <w:rPr>
          <w:rFonts w:hint="eastAsia" w:eastAsia="宋体" w:cs="Times New Roman"/>
          <w:kern w:val="0"/>
          <w:sz w:val="24"/>
          <w:szCs w:val="24"/>
          <w:lang w:val="en-US" w:eastAsia="zh-CN" w:bidi="ar-SA"/>
        </w:rPr>
        <w:t>2</w:t>
      </w:r>
      <w:r>
        <w:rPr>
          <w:rFonts w:hint="default" w:ascii="Times New Roman" w:hAnsi="Times New Roman" w:eastAsia="宋体" w:cs="Times New Roman"/>
          <w:kern w:val="0"/>
          <w:sz w:val="24"/>
          <w:szCs w:val="24"/>
          <w:lang w:val="en-US" w:eastAsia="zh-CN" w:bidi="ar-SA"/>
        </w:rPr>
        <w:t>)</w:t>
      </w:r>
    </w:p>
    <w:p w14:paraId="203D61E3">
      <w:pPr>
        <w:pStyle w:val="4"/>
        <w:numPr>
          <w:ilvl w:val="0"/>
          <w:numId w:val="0"/>
        </w:numPr>
        <w:spacing w:line="360" w:lineRule="auto"/>
        <w:ind w:leftChars="0"/>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4、打磨:经过封边、打孔处理后的板材，进行手工打磨，去除毛刺，使得板面表面平整，此过程产生木工粉尘(G</w:t>
      </w:r>
      <w:r>
        <w:rPr>
          <w:rFonts w:hint="eastAsia" w:eastAsia="宋体" w:cs="Times New Roman"/>
          <w:kern w:val="0"/>
          <w:sz w:val="24"/>
          <w:szCs w:val="24"/>
          <w:lang w:val="en-US" w:eastAsia="zh-CN" w:bidi="ar-SA"/>
        </w:rPr>
        <w:t>3</w:t>
      </w:r>
      <w:r>
        <w:rPr>
          <w:rFonts w:hint="default" w:ascii="Times New Roman" w:hAnsi="Times New Roman" w:eastAsia="宋体" w:cs="Times New Roman"/>
          <w:kern w:val="0"/>
          <w:sz w:val="24"/>
          <w:szCs w:val="24"/>
          <w:lang w:val="en-US" w:eastAsia="zh-CN" w:bidi="ar-SA"/>
        </w:rPr>
        <w:t>)。</w:t>
      </w:r>
    </w:p>
    <w:p w14:paraId="0710F608">
      <w:pPr>
        <w:pStyle w:val="4"/>
        <w:spacing w:line="360" w:lineRule="auto"/>
        <w:ind w:left="0" w:leftChars="0" w:firstLine="0" w:firstLineChars="0"/>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5、调漆: 将漆与水和固化剂按照 1:0.4:0.1的比例调配在一起,调漆过程不需要加热仅简单搅拌即可。调漆过程在喷漆房内进行，日工作6h。此过程产生调漆废气(G4、G8)</w:t>
      </w:r>
    </w:p>
    <w:p w14:paraId="1D985D90">
      <w:pPr>
        <w:pStyle w:val="4"/>
        <w:spacing w:line="360" w:lineRule="auto"/>
        <w:ind w:left="0" w:leftChars="0" w:firstLine="0" w:firstLineChars="0"/>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6、喷漆:本项目喷两道底漆、一道面漆，喷漆过程在喷漆房内进行。本项目共设置2个喷漆房(1个底漆房、1个面漆房)，每个喷漆房配3把喷枪(2用1备)，采用手工喷漆，日工作 6h。本项目喷漆总面漆约32000m</w:t>
      </w:r>
      <w:r>
        <w:rPr>
          <w:rFonts w:hint="eastAsia" w:eastAsia="宋体" w:cs="Times New Roman"/>
          <w:kern w:val="0"/>
          <w:sz w:val="24"/>
          <w:szCs w:val="24"/>
          <w:lang w:val="en-US" w:eastAsia="zh-CN" w:bidi="ar-SA"/>
        </w:rPr>
        <w:t>2</w:t>
      </w:r>
      <w:r>
        <w:rPr>
          <w:rFonts w:hint="default" w:ascii="Times New Roman" w:hAnsi="Times New Roman" w:eastAsia="宋体" w:cs="Times New Roman"/>
          <w:kern w:val="0"/>
          <w:sz w:val="24"/>
          <w:szCs w:val="24"/>
          <w:lang w:val="en-US" w:eastAsia="zh-CN" w:bidi="ar-SA"/>
        </w:rPr>
        <w:t>，喷漆总厚度约165um，其中第一道底漆厚度约 55um，第二道底漆厚度约50um，喷面漆厚度约60um。此过程产生喷漆废气(G</w:t>
      </w:r>
      <w:r>
        <w:rPr>
          <w:rFonts w:hint="eastAsia" w:eastAsia="宋体" w:cs="Times New Roman"/>
          <w:kern w:val="0"/>
          <w:sz w:val="24"/>
          <w:szCs w:val="24"/>
          <w:lang w:val="en-US" w:eastAsia="zh-CN" w:bidi="ar-SA"/>
        </w:rPr>
        <w:t>7</w:t>
      </w:r>
      <w:r>
        <w:rPr>
          <w:rFonts w:hint="default" w:ascii="Times New Roman" w:hAnsi="Times New Roman" w:eastAsia="宋体" w:cs="Times New Roman"/>
          <w:kern w:val="0"/>
          <w:sz w:val="24"/>
          <w:szCs w:val="24"/>
          <w:lang w:val="en-US" w:eastAsia="zh-CN" w:bidi="ar-SA"/>
        </w:rPr>
        <w:t>、G</w:t>
      </w:r>
      <w:r>
        <w:rPr>
          <w:rFonts w:hint="eastAsia" w:eastAsia="宋体" w:cs="Times New Roman"/>
          <w:kern w:val="0"/>
          <w:sz w:val="24"/>
          <w:szCs w:val="24"/>
          <w:lang w:val="en-US" w:eastAsia="zh-CN" w:bidi="ar-SA"/>
        </w:rPr>
        <w:t>8</w:t>
      </w:r>
      <w:r>
        <w:rPr>
          <w:rFonts w:hint="default" w:ascii="Times New Roman" w:hAnsi="Times New Roman" w:eastAsia="宋体" w:cs="Times New Roman"/>
          <w:kern w:val="0"/>
          <w:sz w:val="24"/>
          <w:szCs w:val="24"/>
          <w:lang w:val="en-US" w:eastAsia="zh-CN" w:bidi="ar-SA"/>
        </w:rPr>
        <w:t>)、漆渣(S3、S4)、喷漆废水(W</w:t>
      </w:r>
      <w:r>
        <w:rPr>
          <w:rFonts w:hint="eastAsia" w:eastAsia="宋体" w:cs="Times New Roman"/>
          <w:kern w:val="0"/>
          <w:sz w:val="24"/>
          <w:szCs w:val="24"/>
          <w:lang w:val="en-US" w:eastAsia="zh-CN" w:bidi="ar-SA"/>
        </w:rPr>
        <w:t>2）</w:t>
      </w:r>
      <w:r>
        <w:rPr>
          <w:rFonts w:hint="default" w:ascii="Times New Roman" w:hAnsi="Times New Roman" w:eastAsia="宋体" w:cs="Times New Roman"/>
          <w:kern w:val="0"/>
          <w:sz w:val="24"/>
          <w:szCs w:val="24"/>
          <w:lang w:val="en-US" w:eastAsia="zh-CN" w:bidi="ar-SA"/>
        </w:rPr>
        <w:t>。</w:t>
      </w:r>
    </w:p>
    <w:p w14:paraId="50E0F749">
      <w:pPr>
        <w:pStyle w:val="4"/>
        <w:spacing w:line="360" w:lineRule="auto"/>
        <w:ind w:firstLine="482"/>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7、打磨:底漆干后进行底漆打磨，此过程产生打磨粉尘(G</w:t>
      </w:r>
      <w:r>
        <w:rPr>
          <w:rFonts w:hint="eastAsia" w:eastAsia="宋体" w:cs="Times New Roman"/>
          <w:kern w:val="0"/>
          <w:sz w:val="24"/>
          <w:szCs w:val="24"/>
          <w:lang w:val="en-US" w:eastAsia="zh-CN" w:bidi="ar-SA"/>
        </w:rPr>
        <w:t>9</w:t>
      </w:r>
      <w:r>
        <w:rPr>
          <w:rFonts w:hint="default" w:ascii="Times New Roman" w:hAnsi="Times New Roman" w:eastAsia="宋体" w:cs="Times New Roman"/>
          <w:kern w:val="0"/>
          <w:sz w:val="24"/>
          <w:szCs w:val="24"/>
          <w:lang w:val="en-US" w:eastAsia="zh-CN" w:bidi="ar-SA"/>
        </w:rPr>
        <w:t>)</w:t>
      </w:r>
    </w:p>
    <w:p w14:paraId="2F150BB5">
      <w:pPr>
        <w:pStyle w:val="4"/>
        <w:spacing w:line="360" w:lineRule="auto"/>
        <w:ind w:firstLine="482"/>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8、晾干、烘干:底漆喷涂结束后放在喷漆房内晾干，面漆喷漆结束后移至烘干房烘干，烘干房采用加热器电加热，最高工作温度约40℃，烘干时间约4h。此过程产生晾干废气(G</w:t>
      </w:r>
      <w:r>
        <w:rPr>
          <w:rFonts w:hint="eastAsia" w:eastAsia="宋体" w:cs="Times New Roman"/>
          <w:kern w:val="0"/>
          <w:sz w:val="24"/>
          <w:szCs w:val="24"/>
          <w:lang w:val="en-US" w:eastAsia="zh-CN" w:bidi="ar-SA"/>
        </w:rPr>
        <w:t>10</w:t>
      </w:r>
      <w:r>
        <w:rPr>
          <w:rFonts w:hint="default" w:ascii="Times New Roman" w:hAnsi="Times New Roman" w:eastAsia="宋体" w:cs="Times New Roman"/>
          <w:kern w:val="0"/>
          <w:sz w:val="24"/>
          <w:szCs w:val="24"/>
          <w:lang w:val="en-US" w:eastAsia="zh-CN" w:bidi="ar-SA"/>
        </w:rPr>
        <w:t>)和烘干废气(G</w:t>
      </w:r>
      <w:r>
        <w:rPr>
          <w:rFonts w:hint="eastAsia" w:eastAsia="宋体" w:cs="Times New Roman"/>
          <w:kern w:val="0"/>
          <w:sz w:val="24"/>
          <w:szCs w:val="24"/>
          <w:lang w:val="en-US" w:eastAsia="zh-CN" w:bidi="ar-SA"/>
        </w:rPr>
        <w:t>11</w:t>
      </w:r>
      <w:r>
        <w:rPr>
          <w:rFonts w:hint="default" w:ascii="Times New Roman" w:hAnsi="Times New Roman" w:eastAsia="宋体" w:cs="Times New Roman"/>
          <w:kern w:val="0"/>
          <w:sz w:val="24"/>
          <w:szCs w:val="24"/>
          <w:lang w:val="en-US" w:eastAsia="zh-CN" w:bidi="ar-SA"/>
        </w:rPr>
        <w:t>)</w:t>
      </w:r>
    </w:p>
    <w:p w14:paraId="3CB46C0A">
      <w:pPr>
        <w:pStyle w:val="4"/>
        <w:spacing w:line="360" w:lineRule="auto"/>
        <w:ind w:firstLine="482"/>
        <w:rPr>
          <w:rFonts w:hint="default" w:ascii="Times New Roman" w:hAnsi="Times New Roman" w:eastAsia="宋体" w:cs="Times New Roman"/>
          <w:color w:val="000000"/>
        </w:rPr>
      </w:pPr>
      <w:r>
        <w:rPr>
          <w:rFonts w:hint="default" w:ascii="Times New Roman" w:hAnsi="Times New Roman" w:eastAsia="宋体" w:cs="Times New Roman"/>
          <w:kern w:val="0"/>
          <w:sz w:val="24"/>
          <w:szCs w:val="24"/>
          <w:lang w:val="en-US" w:eastAsia="zh-CN" w:bidi="ar-SA"/>
        </w:rPr>
        <w:t>9、检验、入库:对成品家具进行检验，检验合格后打包入库。</w:t>
      </w:r>
    </w:p>
    <w:p w14:paraId="2E7610FD">
      <w:pPr>
        <w:pStyle w:val="5"/>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color w:val="000000"/>
          <w:sz w:val="24"/>
          <w:szCs w:val="24"/>
        </w:rPr>
      </w:pPr>
      <w:bookmarkStart w:id="92" w:name="_Toc3593"/>
      <w:bookmarkStart w:id="93" w:name="_Toc10285"/>
      <w:r>
        <w:rPr>
          <w:rFonts w:hint="default" w:ascii="Times New Roman" w:hAnsi="Times New Roman" w:eastAsia="宋体" w:cs="Times New Roman"/>
          <w:color w:val="000000"/>
          <w:sz w:val="24"/>
          <w:szCs w:val="24"/>
        </w:rPr>
        <w:t>10、包装：将组装好的产品进行包装，包装好入成品库。</w:t>
      </w:r>
    </w:p>
    <w:p w14:paraId="7105A132">
      <w:pPr>
        <w:pStyle w:val="5"/>
        <w:keepNext/>
        <w:keepLines/>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r>
        <w:rPr>
          <w:rFonts w:hint="default" w:ascii="Times New Roman" w:hAnsi="Times New Roman" w:eastAsia="宋体" w:cs="Times New Roman"/>
          <w:szCs w:val="32"/>
        </w:rPr>
        <w:t>3.</w:t>
      </w:r>
      <w:r>
        <w:rPr>
          <w:rFonts w:hint="eastAsia" w:eastAsia="宋体" w:cs="Times New Roman"/>
          <w:szCs w:val="32"/>
          <w:lang w:val="en-US" w:eastAsia="zh-CN"/>
        </w:rPr>
        <w:t>5</w:t>
      </w:r>
      <w:r>
        <w:rPr>
          <w:rFonts w:hint="default" w:ascii="Times New Roman" w:hAnsi="Times New Roman" w:eastAsia="宋体" w:cs="Times New Roman"/>
          <w:szCs w:val="32"/>
        </w:rPr>
        <w:t>.2生产设备</w:t>
      </w:r>
      <w:bookmarkEnd w:id="91"/>
      <w:bookmarkEnd w:id="92"/>
      <w:bookmarkEnd w:id="93"/>
    </w:p>
    <w:p w14:paraId="76B6D5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kern w:val="0"/>
        </w:rPr>
        <w:t>公司生产及公用设备见表3-1</w:t>
      </w:r>
      <w:r>
        <w:rPr>
          <w:rFonts w:hint="eastAsia" w:eastAsia="宋体" w:cs="Times New Roman"/>
          <w:kern w:val="0"/>
          <w:lang w:val="en-US" w:eastAsia="zh-CN"/>
        </w:rPr>
        <w:t>2</w:t>
      </w:r>
      <w:r>
        <w:rPr>
          <w:rFonts w:hint="default" w:ascii="Times New Roman" w:hAnsi="Times New Roman" w:eastAsia="宋体" w:cs="Times New Roman"/>
          <w:kern w:val="0"/>
        </w:rPr>
        <w:t>。</w:t>
      </w:r>
    </w:p>
    <w:p w14:paraId="72FD63E7">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表3-</w:t>
      </w:r>
      <w:r>
        <w:rPr>
          <w:rFonts w:hint="eastAsia" w:eastAsia="宋体" w:cs="Times New Roman"/>
          <w:b/>
          <w:lang w:val="en-US" w:eastAsia="zh-CN"/>
        </w:rPr>
        <w:t>13</w:t>
      </w:r>
      <w:r>
        <w:rPr>
          <w:rFonts w:hint="default" w:ascii="Times New Roman" w:hAnsi="Times New Roman" w:eastAsia="宋体" w:cs="Times New Roman"/>
          <w:b/>
        </w:rPr>
        <w:t>主要生产及公用设备统计表</w:t>
      </w:r>
    </w:p>
    <w:tbl>
      <w:tblPr>
        <w:tblStyle w:val="37"/>
        <w:tblW w:w="87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589"/>
        <w:gridCol w:w="1000"/>
        <w:gridCol w:w="1988"/>
        <w:gridCol w:w="1305"/>
        <w:gridCol w:w="1350"/>
        <w:gridCol w:w="1162"/>
        <w:gridCol w:w="1393"/>
      </w:tblGrid>
      <w:tr w14:paraId="0D3F9B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589" w:type="dxa"/>
            <w:tcBorders>
              <w:tl2br w:val="nil"/>
              <w:tr2bl w:val="nil"/>
            </w:tcBorders>
            <w:shd w:val="clear" w:color="auto" w:fill="auto"/>
            <w:vAlign w:val="center"/>
          </w:tcPr>
          <w:p w14:paraId="53BE4CCB">
            <w:pPr>
              <w:pStyle w:val="250"/>
              <w:keepNext w:val="0"/>
              <w:keepLines w:val="0"/>
              <w:pageBreakBefore w:val="0"/>
              <w:kinsoku/>
              <w:wordWrap/>
              <w:overflowPunct/>
              <w:topLinePunct w:val="0"/>
              <w:autoSpaceDE/>
              <w:autoSpaceDN/>
              <w:bidi w:val="0"/>
              <w:spacing w:line="240" w:lineRule="auto"/>
              <w:textAlignment w:val="auto"/>
              <w:rPr>
                <w:rFonts w:eastAsiaTheme="minorEastAsia"/>
                <w:b/>
                <w:bCs w:val="0"/>
                <w:color w:val="000000" w:themeColor="text1"/>
                <w:kern w:val="0"/>
                <w:lang w:val="zh-CN"/>
                <w14:textFill>
                  <w14:solidFill>
                    <w14:schemeClr w14:val="tx1"/>
                  </w14:solidFill>
                </w14:textFill>
              </w:rPr>
            </w:pPr>
            <w:r>
              <w:rPr>
                <w:rFonts w:eastAsiaTheme="minorEastAsia"/>
                <w:b/>
                <w:bCs w:val="0"/>
                <w:color w:val="000000" w:themeColor="text1"/>
                <w:kern w:val="0"/>
                <w:lang w:val="zh-CN"/>
                <w14:textFill>
                  <w14:solidFill>
                    <w14:schemeClr w14:val="tx1"/>
                  </w14:solidFill>
                </w14:textFill>
              </w:rPr>
              <w:t>序号</w:t>
            </w:r>
          </w:p>
        </w:tc>
        <w:tc>
          <w:tcPr>
            <w:tcW w:w="1000" w:type="dxa"/>
            <w:tcBorders>
              <w:tl2br w:val="nil"/>
              <w:tr2bl w:val="nil"/>
            </w:tcBorders>
            <w:shd w:val="clear" w:color="auto" w:fill="auto"/>
            <w:vAlign w:val="center"/>
          </w:tcPr>
          <w:p w14:paraId="107428AF">
            <w:pPr>
              <w:pStyle w:val="250"/>
              <w:keepNext w:val="0"/>
              <w:keepLines w:val="0"/>
              <w:pageBreakBefore w:val="0"/>
              <w:kinsoku/>
              <w:wordWrap/>
              <w:overflowPunct/>
              <w:topLinePunct w:val="0"/>
              <w:autoSpaceDE/>
              <w:autoSpaceDN/>
              <w:bidi w:val="0"/>
              <w:spacing w:line="240" w:lineRule="auto"/>
              <w:textAlignment w:val="auto"/>
              <w:rPr>
                <w:rFonts w:hint="eastAsia" w:eastAsiaTheme="minorEastAsia"/>
                <w:b/>
                <w:bCs w:val="0"/>
                <w:color w:val="000000" w:themeColor="text1"/>
                <w:kern w:val="0"/>
                <w:lang w:val="en-US" w:eastAsia="zh-CN"/>
                <w14:textFill>
                  <w14:solidFill>
                    <w14:schemeClr w14:val="tx1"/>
                  </w14:solidFill>
                </w14:textFill>
              </w:rPr>
            </w:pPr>
            <w:r>
              <w:rPr>
                <w:rFonts w:hint="eastAsia" w:eastAsiaTheme="minorEastAsia"/>
                <w:b/>
                <w:bCs w:val="0"/>
                <w:color w:val="000000" w:themeColor="text1"/>
                <w:kern w:val="0"/>
                <w:lang w:val="en-US" w:eastAsia="zh-CN"/>
                <w14:textFill>
                  <w14:solidFill>
                    <w14:schemeClr w14:val="tx1"/>
                  </w14:solidFill>
                </w14:textFill>
              </w:rPr>
              <w:t>位置</w:t>
            </w:r>
          </w:p>
        </w:tc>
        <w:tc>
          <w:tcPr>
            <w:tcW w:w="1988" w:type="dxa"/>
            <w:tcBorders>
              <w:tl2br w:val="nil"/>
              <w:tr2bl w:val="nil"/>
            </w:tcBorders>
            <w:shd w:val="clear" w:color="auto" w:fill="auto"/>
            <w:vAlign w:val="center"/>
          </w:tcPr>
          <w:p w14:paraId="5FD1AE56">
            <w:pPr>
              <w:pStyle w:val="250"/>
              <w:keepNext w:val="0"/>
              <w:keepLines w:val="0"/>
              <w:pageBreakBefore w:val="0"/>
              <w:kinsoku/>
              <w:wordWrap/>
              <w:overflowPunct/>
              <w:topLinePunct w:val="0"/>
              <w:autoSpaceDE/>
              <w:autoSpaceDN/>
              <w:bidi w:val="0"/>
              <w:spacing w:line="240" w:lineRule="auto"/>
              <w:textAlignment w:val="auto"/>
              <w:rPr>
                <w:rFonts w:eastAsiaTheme="minorEastAsia"/>
                <w:b/>
                <w:bCs w:val="0"/>
                <w:color w:val="000000" w:themeColor="text1"/>
                <w:kern w:val="0"/>
                <w:lang w:val="zh-CN"/>
                <w14:textFill>
                  <w14:solidFill>
                    <w14:schemeClr w14:val="tx1"/>
                  </w14:solidFill>
                </w14:textFill>
              </w:rPr>
            </w:pPr>
            <w:r>
              <w:rPr>
                <w:rFonts w:eastAsiaTheme="minorEastAsia"/>
                <w:b/>
                <w:bCs w:val="0"/>
                <w:color w:val="000000" w:themeColor="text1"/>
                <w:kern w:val="0"/>
                <w:lang w:val="zh-CN"/>
                <w14:textFill>
                  <w14:solidFill>
                    <w14:schemeClr w14:val="tx1"/>
                  </w14:solidFill>
                </w14:textFill>
              </w:rPr>
              <w:t>名称</w:t>
            </w:r>
          </w:p>
        </w:tc>
        <w:tc>
          <w:tcPr>
            <w:tcW w:w="1305" w:type="dxa"/>
            <w:tcBorders>
              <w:tl2br w:val="nil"/>
              <w:tr2bl w:val="nil"/>
            </w:tcBorders>
            <w:shd w:val="clear" w:color="auto" w:fill="auto"/>
            <w:vAlign w:val="center"/>
          </w:tcPr>
          <w:p w14:paraId="57D40649">
            <w:pPr>
              <w:pStyle w:val="250"/>
              <w:keepNext w:val="0"/>
              <w:keepLines w:val="0"/>
              <w:pageBreakBefore w:val="0"/>
              <w:kinsoku/>
              <w:wordWrap/>
              <w:overflowPunct/>
              <w:topLinePunct w:val="0"/>
              <w:autoSpaceDE/>
              <w:autoSpaceDN/>
              <w:bidi w:val="0"/>
              <w:spacing w:line="240" w:lineRule="auto"/>
              <w:textAlignment w:val="auto"/>
              <w:rPr>
                <w:rFonts w:eastAsiaTheme="minorEastAsia"/>
                <w:b/>
                <w:bCs w:val="0"/>
                <w:color w:val="000000" w:themeColor="text1"/>
                <w:kern w:val="0"/>
                <w:lang w:val="zh-CN"/>
                <w14:textFill>
                  <w14:solidFill>
                    <w14:schemeClr w14:val="tx1"/>
                  </w14:solidFill>
                </w14:textFill>
              </w:rPr>
            </w:pPr>
            <w:r>
              <w:rPr>
                <w:rFonts w:eastAsiaTheme="minorEastAsia"/>
                <w:b/>
                <w:bCs w:val="0"/>
                <w:color w:val="000000" w:themeColor="text1"/>
                <w:kern w:val="0"/>
                <w:lang w:val="zh-CN"/>
                <w14:textFill>
                  <w14:solidFill>
                    <w14:schemeClr w14:val="tx1"/>
                  </w14:solidFill>
                </w14:textFill>
              </w:rPr>
              <w:t>规格/型号</w:t>
            </w:r>
          </w:p>
        </w:tc>
        <w:tc>
          <w:tcPr>
            <w:tcW w:w="1350" w:type="dxa"/>
            <w:tcBorders>
              <w:tl2br w:val="nil"/>
              <w:tr2bl w:val="nil"/>
            </w:tcBorders>
            <w:shd w:val="clear" w:color="auto" w:fill="auto"/>
            <w:vAlign w:val="center"/>
          </w:tcPr>
          <w:p w14:paraId="2228377C">
            <w:pPr>
              <w:keepNext w:val="0"/>
              <w:keepLines w:val="0"/>
              <w:pageBreakBefore w:val="0"/>
              <w:kinsoku/>
              <w:wordWrap/>
              <w:overflowPunct/>
              <w:topLinePunct w:val="0"/>
              <w:autoSpaceDE/>
              <w:autoSpaceDN/>
              <w:bidi w:val="0"/>
              <w:snapToGrid w:val="0"/>
              <w:jc w:val="center"/>
              <w:textAlignment w:val="auto"/>
              <w:rPr>
                <w:rFonts w:eastAsiaTheme="minorEastAsia"/>
                <w:b/>
                <w:color w:val="000000" w:themeColor="text1"/>
                <w:szCs w:val="21"/>
                <w14:textFill>
                  <w14:solidFill>
                    <w14:schemeClr w14:val="tx1"/>
                  </w14:solidFill>
                </w14:textFill>
              </w:rPr>
            </w:pPr>
            <w:r>
              <w:rPr>
                <w:rFonts w:eastAsiaTheme="minorEastAsia"/>
                <w:b/>
                <w:color w:val="000000" w:themeColor="text1"/>
                <w:kern w:val="0"/>
                <w:szCs w:val="21"/>
                <w:lang w:val="zh-CN"/>
                <w14:textFill>
                  <w14:solidFill>
                    <w14:schemeClr w14:val="tx1"/>
                  </w14:solidFill>
                </w14:textFill>
              </w:rPr>
              <w:t>环评描述数量(台</w:t>
            </w:r>
            <w:r>
              <w:rPr>
                <w:rFonts w:hint="eastAsia" w:eastAsiaTheme="minorEastAsia"/>
                <w:b/>
                <w:color w:val="000000" w:themeColor="text1"/>
                <w:kern w:val="0"/>
                <w:szCs w:val="21"/>
                <w:lang w:val="zh-CN"/>
                <w14:textFill>
                  <w14:solidFill>
                    <w14:schemeClr w14:val="tx1"/>
                  </w14:solidFill>
                </w14:textFill>
              </w:rPr>
              <w:t>/套</w:t>
            </w:r>
            <w:r>
              <w:rPr>
                <w:rFonts w:eastAsiaTheme="minorEastAsia"/>
                <w:b/>
                <w:color w:val="000000" w:themeColor="text1"/>
                <w:kern w:val="0"/>
                <w:szCs w:val="21"/>
                <w:lang w:val="zh-CN"/>
                <w14:textFill>
                  <w14:solidFill>
                    <w14:schemeClr w14:val="tx1"/>
                  </w14:solidFill>
                </w14:textFill>
              </w:rPr>
              <w:t>)</w:t>
            </w:r>
          </w:p>
        </w:tc>
        <w:tc>
          <w:tcPr>
            <w:tcW w:w="1162" w:type="dxa"/>
            <w:tcBorders>
              <w:tl2br w:val="nil"/>
              <w:tr2bl w:val="nil"/>
            </w:tcBorders>
            <w:shd w:val="clear" w:color="auto" w:fill="auto"/>
            <w:vAlign w:val="center"/>
          </w:tcPr>
          <w:p w14:paraId="6D25C4C3">
            <w:pPr>
              <w:keepNext w:val="0"/>
              <w:keepLines w:val="0"/>
              <w:pageBreakBefore w:val="0"/>
              <w:kinsoku/>
              <w:wordWrap/>
              <w:overflowPunct/>
              <w:topLinePunct w:val="0"/>
              <w:autoSpaceDE/>
              <w:autoSpaceDN/>
              <w:bidi w:val="0"/>
              <w:snapToGrid w:val="0"/>
              <w:jc w:val="center"/>
              <w:textAlignment w:val="auto"/>
              <w:rPr>
                <w:rFonts w:eastAsiaTheme="minorEastAsia"/>
                <w:b/>
                <w:color w:val="000000" w:themeColor="text1"/>
                <w:kern w:val="0"/>
                <w:szCs w:val="21"/>
                <w:lang w:val="zh-CN"/>
                <w14:textFill>
                  <w14:solidFill>
                    <w14:schemeClr w14:val="tx1"/>
                  </w14:solidFill>
                </w14:textFill>
              </w:rPr>
            </w:pPr>
            <w:r>
              <w:rPr>
                <w:rFonts w:eastAsiaTheme="minorEastAsia"/>
                <w:b/>
                <w:color w:val="000000" w:themeColor="text1"/>
                <w:kern w:val="0"/>
                <w:szCs w:val="21"/>
                <w:lang w:val="zh-CN"/>
                <w14:textFill>
                  <w14:solidFill>
                    <w14:schemeClr w14:val="tx1"/>
                  </w14:solidFill>
                </w14:textFill>
              </w:rPr>
              <w:t>实际数量</w:t>
            </w:r>
          </w:p>
          <w:p w14:paraId="6E66E862">
            <w:pPr>
              <w:keepNext w:val="0"/>
              <w:keepLines w:val="0"/>
              <w:pageBreakBefore w:val="0"/>
              <w:kinsoku/>
              <w:wordWrap/>
              <w:overflowPunct/>
              <w:topLinePunct w:val="0"/>
              <w:autoSpaceDE/>
              <w:autoSpaceDN/>
              <w:bidi w:val="0"/>
              <w:snapToGrid w:val="0"/>
              <w:jc w:val="center"/>
              <w:textAlignment w:val="auto"/>
              <w:rPr>
                <w:rFonts w:eastAsiaTheme="minorEastAsia"/>
                <w:b/>
                <w:color w:val="000000" w:themeColor="text1"/>
                <w:szCs w:val="21"/>
                <w14:textFill>
                  <w14:solidFill>
                    <w14:schemeClr w14:val="tx1"/>
                  </w14:solidFill>
                </w14:textFill>
              </w:rPr>
            </w:pPr>
            <w:r>
              <w:rPr>
                <w:rFonts w:eastAsiaTheme="minorEastAsia"/>
                <w:b/>
                <w:color w:val="000000" w:themeColor="text1"/>
                <w:kern w:val="0"/>
                <w:szCs w:val="21"/>
                <w:lang w:val="zh-CN"/>
                <w14:textFill>
                  <w14:solidFill>
                    <w14:schemeClr w14:val="tx1"/>
                  </w14:solidFill>
                </w14:textFill>
              </w:rPr>
              <w:t>(台</w:t>
            </w:r>
            <w:r>
              <w:rPr>
                <w:rFonts w:hint="eastAsia" w:eastAsiaTheme="minorEastAsia"/>
                <w:b/>
                <w:color w:val="000000" w:themeColor="text1"/>
                <w:kern w:val="0"/>
                <w:szCs w:val="21"/>
                <w:lang w:val="zh-CN"/>
                <w14:textFill>
                  <w14:solidFill>
                    <w14:schemeClr w14:val="tx1"/>
                  </w14:solidFill>
                </w14:textFill>
              </w:rPr>
              <w:t>/套</w:t>
            </w:r>
            <w:r>
              <w:rPr>
                <w:rFonts w:eastAsiaTheme="minorEastAsia"/>
                <w:b/>
                <w:color w:val="000000" w:themeColor="text1"/>
                <w:kern w:val="0"/>
                <w:szCs w:val="21"/>
                <w:lang w:val="zh-CN"/>
                <w14:textFill>
                  <w14:solidFill>
                    <w14:schemeClr w14:val="tx1"/>
                  </w14:solidFill>
                </w14:textFill>
              </w:rPr>
              <w:t>)</w:t>
            </w:r>
          </w:p>
        </w:tc>
        <w:tc>
          <w:tcPr>
            <w:tcW w:w="1393" w:type="dxa"/>
            <w:tcBorders>
              <w:tl2br w:val="nil"/>
              <w:tr2bl w:val="nil"/>
            </w:tcBorders>
            <w:shd w:val="clear" w:color="auto" w:fill="auto"/>
            <w:vAlign w:val="center"/>
          </w:tcPr>
          <w:p w14:paraId="00F734EE">
            <w:pPr>
              <w:keepNext w:val="0"/>
              <w:keepLines w:val="0"/>
              <w:pageBreakBefore w:val="0"/>
              <w:kinsoku/>
              <w:wordWrap/>
              <w:overflowPunct/>
              <w:topLinePunct w:val="0"/>
              <w:autoSpaceDE/>
              <w:autoSpaceDN/>
              <w:bidi w:val="0"/>
              <w:snapToGrid w:val="0"/>
              <w:jc w:val="center"/>
              <w:textAlignment w:val="auto"/>
              <w:rPr>
                <w:rFonts w:hint="default" w:eastAsiaTheme="minorEastAsia"/>
                <w:b/>
                <w:color w:val="000000" w:themeColor="text1"/>
                <w:kern w:val="0"/>
                <w:szCs w:val="21"/>
                <w:lang w:val="en-US" w:eastAsia="zh-CN"/>
                <w14:textFill>
                  <w14:solidFill>
                    <w14:schemeClr w14:val="tx1"/>
                  </w14:solidFill>
                </w14:textFill>
              </w:rPr>
            </w:pPr>
            <w:r>
              <w:rPr>
                <w:rFonts w:hint="eastAsia" w:eastAsiaTheme="minorEastAsia"/>
                <w:b/>
                <w:color w:val="000000" w:themeColor="text1"/>
                <w:kern w:val="0"/>
                <w:szCs w:val="21"/>
                <w:lang w:val="en-US" w:eastAsia="zh-CN"/>
                <w14:textFill>
                  <w14:solidFill>
                    <w14:schemeClr w14:val="tx1"/>
                  </w14:solidFill>
                </w14:textFill>
              </w:rPr>
              <w:t>变动情况</w:t>
            </w:r>
          </w:p>
        </w:tc>
      </w:tr>
      <w:tr w14:paraId="2332DE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003E7BD6">
            <w:pPr>
              <w:pStyle w:val="250"/>
              <w:keepNext w:val="0"/>
              <w:keepLines w:val="0"/>
              <w:pageBreakBefore w:val="0"/>
              <w:kinsoku/>
              <w:wordWrap/>
              <w:overflowPunct/>
              <w:topLinePunct w:val="0"/>
              <w:autoSpaceDE/>
              <w:autoSpaceDN/>
              <w:bidi w:val="0"/>
              <w:spacing w:line="240"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t>1</w:t>
            </w:r>
          </w:p>
        </w:tc>
        <w:tc>
          <w:tcPr>
            <w:tcW w:w="1000" w:type="dxa"/>
            <w:vMerge w:val="restart"/>
            <w:tcBorders>
              <w:tl2br w:val="nil"/>
              <w:tr2bl w:val="nil"/>
            </w:tcBorders>
            <w:shd w:val="clear" w:color="auto" w:fill="auto"/>
            <w:vAlign w:val="center"/>
          </w:tcPr>
          <w:p w14:paraId="3F901DDC">
            <w:pPr>
              <w:keepNext w:val="0"/>
              <w:keepLines w:val="0"/>
              <w:pageBreakBefore w:val="0"/>
              <w:widowControl/>
              <w:kinsoku/>
              <w:wordWrap/>
              <w:overflowPunct/>
              <w:topLinePunct w:val="0"/>
              <w:autoSpaceDE/>
              <w:autoSpaceDN/>
              <w:bidi w:val="0"/>
              <w:jc w:val="center"/>
              <w:textAlignment w:val="auto"/>
              <w:rPr>
                <w:rFonts w:hint="default" w:eastAsia="宋体"/>
                <w:color w:val="000000" w:themeColor="text1"/>
                <w:kern w:val="0"/>
                <w:szCs w:val="21"/>
                <w:lang w:val="en-US" w:eastAsia="zh-CN" w:bidi="ar"/>
                <w14:textFill>
                  <w14:solidFill>
                    <w14:schemeClr w14:val="tx1"/>
                  </w14:solidFill>
                </w14:textFill>
              </w:rPr>
            </w:pPr>
          </w:p>
        </w:tc>
        <w:tc>
          <w:tcPr>
            <w:tcW w:w="1988" w:type="dxa"/>
            <w:tcBorders>
              <w:tl2br w:val="nil"/>
              <w:tr2bl w:val="nil"/>
            </w:tcBorders>
            <w:shd w:val="clear" w:color="auto" w:fill="auto"/>
            <w:vAlign w:val="center"/>
          </w:tcPr>
          <w:p w14:paraId="5A1F09C2">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裁板锯</w:t>
            </w:r>
          </w:p>
        </w:tc>
        <w:tc>
          <w:tcPr>
            <w:tcW w:w="1305" w:type="dxa"/>
            <w:tcBorders>
              <w:tl2br w:val="nil"/>
              <w:tr2bl w:val="nil"/>
            </w:tcBorders>
            <w:shd w:val="clear" w:color="auto" w:fill="auto"/>
            <w:vAlign w:val="center"/>
          </w:tcPr>
          <w:p w14:paraId="447210A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MX5117/T</w:t>
            </w:r>
          </w:p>
        </w:tc>
        <w:tc>
          <w:tcPr>
            <w:tcW w:w="1350" w:type="dxa"/>
            <w:tcBorders>
              <w:tl2br w:val="nil"/>
              <w:tr2bl w:val="nil"/>
            </w:tcBorders>
            <w:shd w:val="clear" w:color="auto" w:fill="auto"/>
            <w:vAlign w:val="center"/>
          </w:tcPr>
          <w:p w14:paraId="6E0DD0D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2</w:t>
            </w:r>
          </w:p>
        </w:tc>
        <w:tc>
          <w:tcPr>
            <w:tcW w:w="1162" w:type="dxa"/>
            <w:tcBorders>
              <w:tl2br w:val="nil"/>
              <w:tr2bl w:val="nil"/>
            </w:tcBorders>
            <w:shd w:val="clear" w:color="auto" w:fill="auto"/>
            <w:vAlign w:val="center"/>
          </w:tcPr>
          <w:p w14:paraId="200BFD7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2</w:t>
            </w:r>
          </w:p>
        </w:tc>
        <w:tc>
          <w:tcPr>
            <w:tcW w:w="1393" w:type="dxa"/>
            <w:tcBorders>
              <w:tl2br w:val="nil"/>
              <w:tr2bl w:val="nil"/>
            </w:tcBorders>
            <w:shd w:val="clear" w:color="auto" w:fill="auto"/>
            <w:vAlign w:val="center"/>
          </w:tcPr>
          <w:p w14:paraId="16A0FFC8">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75A5F7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5C62FEE4">
            <w:pPr>
              <w:pStyle w:val="250"/>
              <w:keepNext w:val="0"/>
              <w:keepLines w:val="0"/>
              <w:pageBreakBefore w:val="0"/>
              <w:kinsoku/>
              <w:wordWrap/>
              <w:overflowPunct/>
              <w:topLinePunct w:val="0"/>
              <w:autoSpaceDE/>
              <w:autoSpaceDN/>
              <w:bidi w:val="0"/>
              <w:spacing w:line="240"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t>2</w:t>
            </w:r>
          </w:p>
        </w:tc>
        <w:tc>
          <w:tcPr>
            <w:tcW w:w="1000" w:type="dxa"/>
            <w:vMerge w:val="continue"/>
            <w:tcBorders>
              <w:tl2br w:val="nil"/>
              <w:tr2bl w:val="nil"/>
            </w:tcBorders>
            <w:shd w:val="clear" w:color="auto" w:fill="auto"/>
            <w:vAlign w:val="center"/>
          </w:tcPr>
          <w:p w14:paraId="1A5136B5">
            <w:pPr>
              <w:keepNext w:val="0"/>
              <w:keepLines w:val="0"/>
              <w:pageBreakBefore w:val="0"/>
              <w:widowControl/>
              <w:kinsoku/>
              <w:wordWrap/>
              <w:overflowPunct/>
              <w:topLinePunct w:val="0"/>
              <w:autoSpaceDE/>
              <w:autoSpaceDN/>
              <w:bidi w:val="0"/>
              <w:jc w:val="center"/>
              <w:textAlignment w:val="auto"/>
              <w:rPr>
                <w:color w:val="000000" w:themeColor="text1"/>
                <w:kern w:val="0"/>
                <w:szCs w:val="21"/>
                <w:lang w:bidi="ar"/>
                <w14:textFill>
                  <w14:solidFill>
                    <w14:schemeClr w14:val="tx1"/>
                  </w14:solidFill>
                </w14:textFill>
              </w:rPr>
            </w:pPr>
          </w:p>
        </w:tc>
        <w:tc>
          <w:tcPr>
            <w:tcW w:w="1988" w:type="dxa"/>
            <w:tcBorders>
              <w:tl2br w:val="nil"/>
              <w:tr2bl w:val="nil"/>
            </w:tcBorders>
            <w:shd w:val="clear" w:color="auto" w:fill="auto"/>
            <w:vAlign w:val="center"/>
          </w:tcPr>
          <w:p w14:paraId="2E642C9F">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带锯</w:t>
            </w:r>
          </w:p>
        </w:tc>
        <w:tc>
          <w:tcPr>
            <w:tcW w:w="1305" w:type="dxa"/>
            <w:tcBorders>
              <w:tl2br w:val="nil"/>
              <w:tr2bl w:val="nil"/>
            </w:tcBorders>
            <w:shd w:val="clear" w:color="auto" w:fill="auto"/>
            <w:vAlign w:val="center"/>
          </w:tcPr>
          <w:p w14:paraId="2E3BC2A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MJ345A</w:t>
            </w:r>
          </w:p>
        </w:tc>
        <w:tc>
          <w:tcPr>
            <w:tcW w:w="1350" w:type="dxa"/>
            <w:tcBorders>
              <w:tl2br w:val="nil"/>
              <w:tr2bl w:val="nil"/>
            </w:tcBorders>
            <w:shd w:val="clear" w:color="auto" w:fill="auto"/>
            <w:vAlign w:val="center"/>
          </w:tcPr>
          <w:p w14:paraId="605F0E4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eastAsia="宋体" w:cs="Times New Roman"/>
                <w:b w:val="0"/>
                <w:bCs/>
                <w:color w:val="000000"/>
                <w:kern w:val="2"/>
                <w:sz w:val="21"/>
                <w:szCs w:val="21"/>
                <w:highlight w:val="none"/>
                <w:lang w:val="en-US" w:eastAsia="zh-CN" w:bidi="ar-SA"/>
              </w:rPr>
              <w:t>1</w:t>
            </w:r>
          </w:p>
        </w:tc>
        <w:tc>
          <w:tcPr>
            <w:tcW w:w="1162" w:type="dxa"/>
            <w:tcBorders>
              <w:tl2br w:val="nil"/>
              <w:tr2bl w:val="nil"/>
            </w:tcBorders>
            <w:shd w:val="clear" w:color="auto" w:fill="auto"/>
            <w:vAlign w:val="center"/>
          </w:tcPr>
          <w:p w14:paraId="3F510DD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eastAsia="宋体" w:cs="Times New Roman"/>
                <w:b w:val="0"/>
                <w:bCs/>
                <w:color w:val="000000"/>
                <w:kern w:val="2"/>
                <w:sz w:val="21"/>
                <w:szCs w:val="21"/>
                <w:highlight w:val="none"/>
                <w:lang w:val="en-US" w:eastAsia="zh-CN" w:bidi="ar-SA"/>
              </w:rPr>
              <w:t>1</w:t>
            </w:r>
          </w:p>
        </w:tc>
        <w:tc>
          <w:tcPr>
            <w:tcW w:w="1393" w:type="dxa"/>
            <w:tcBorders>
              <w:tl2br w:val="nil"/>
              <w:tr2bl w:val="nil"/>
            </w:tcBorders>
            <w:shd w:val="clear" w:color="auto" w:fill="auto"/>
            <w:vAlign w:val="center"/>
          </w:tcPr>
          <w:p w14:paraId="1EC1B6A8">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148E09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6291F156">
            <w:pPr>
              <w:pStyle w:val="250"/>
              <w:keepNext w:val="0"/>
              <w:keepLines w:val="0"/>
              <w:pageBreakBefore w:val="0"/>
              <w:kinsoku/>
              <w:wordWrap/>
              <w:overflowPunct/>
              <w:topLinePunct w:val="0"/>
              <w:autoSpaceDE/>
              <w:autoSpaceDN/>
              <w:bidi w:val="0"/>
              <w:spacing w:line="240"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t>3</w:t>
            </w:r>
          </w:p>
        </w:tc>
        <w:tc>
          <w:tcPr>
            <w:tcW w:w="1000" w:type="dxa"/>
            <w:vMerge w:val="continue"/>
            <w:tcBorders>
              <w:tl2br w:val="nil"/>
              <w:tr2bl w:val="nil"/>
            </w:tcBorders>
            <w:shd w:val="clear" w:color="auto" w:fill="auto"/>
            <w:vAlign w:val="center"/>
          </w:tcPr>
          <w:p w14:paraId="617A6093">
            <w:pPr>
              <w:keepNext w:val="0"/>
              <w:keepLines w:val="0"/>
              <w:pageBreakBefore w:val="0"/>
              <w:widowControl/>
              <w:kinsoku/>
              <w:wordWrap/>
              <w:overflowPunct/>
              <w:topLinePunct w:val="0"/>
              <w:autoSpaceDE/>
              <w:autoSpaceDN/>
              <w:bidi w:val="0"/>
              <w:jc w:val="center"/>
              <w:textAlignment w:val="auto"/>
              <w:rPr>
                <w:color w:val="000000" w:themeColor="text1"/>
                <w:kern w:val="0"/>
                <w:szCs w:val="21"/>
                <w:lang w:bidi="ar"/>
                <w14:textFill>
                  <w14:solidFill>
                    <w14:schemeClr w14:val="tx1"/>
                  </w14:solidFill>
                </w14:textFill>
              </w:rPr>
            </w:pPr>
          </w:p>
        </w:tc>
        <w:tc>
          <w:tcPr>
            <w:tcW w:w="1988" w:type="dxa"/>
            <w:tcBorders>
              <w:tl2br w:val="nil"/>
              <w:tr2bl w:val="nil"/>
            </w:tcBorders>
            <w:shd w:val="clear" w:color="auto" w:fill="auto"/>
            <w:vAlign w:val="center"/>
          </w:tcPr>
          <w:p w14:paraId="2F129341">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切割机</w:t>
            </w:r>
          </w:p>
        </w:tc>
        <w:tc>
          <w:tcPr>
            <w:tcW w:w="1305" w:type="dxa"/>
            <w:tcBorders>
              <w:tl2br w:val="nil"/>
              <w:tr2bl w:val="nil"/>
            </w:tcBorders>
            <w:shd w:val="clear" w:color="auto" w:fill="auto"/>
            <w:vAlign w:val="center"/>
          </w:tcPr>
          <w:p w14:paraId="46F9AB7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w:t>
            </w:r>
          </w:p>
        </w:tc>
        <w:tc>
          <w:tcPr>
            <w:tcW w:w="1350" w:type="dxa"/>
            <w:tcBorders>
              <w:tl2br w:val="nil"/>
              <w:tr2bl w:val="nil"/>
            </w:tcBorders>
            <w:shd w:val="clear" w:color="auto" w:fill="auto"/>
            <w:vAlign w:val="center"/>
          </w:tcPr>
          <w:p w14:paraId="589C339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eastAsia="宋体" w:cs="Times New Roman"/>
                <w:b w:val="0"/>
                <w:bCs/>
                <w:color w:val="000000"/>
                <w:kern w:val="2"/>
                <w:sz w:val="21"/>
                <w:szCs w:val="21"/>
                <w:lang w:val="en-US" w:eastAsia="zh-CN" w:bidi="ar-SA"/>
              </w:rPr>
              <w:t>2</w:t>
            </w:r>
          </w:p>
        </w:tc>
        <w:tc>
          <w:tcPr>
            <w:tcW w:w="1162" w:type="dxa"/>
            <w:tcBorders>
              <w:tl2br w:val="nil"/>
              <w:tr2bl w:val="nil"/>
            </w:tcBorders>
            <w:shd w:val="clear" w:color="auto" w:fill="auto"/>
            <w:vAlign w:val="center"/>
          </w:tcPr>
          <w:p w14:paraId="2809031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eastAsia="宋体" w:cs="Times New Roman"/>
                <w:b w:val="0"/>
                <w:bCs/>
                <w:color w:val="000000"/>
                <w:kern w:val="2"/>
                <w:sz w:val="21"/>
                <w:szCs w:val="21"/>
                <w:lang w:val="en-US" w:eastAsia="zh-CN" w:bidi="ar-SA"/>
              </w:rPr>
              <w:t>2</w:t>
            </w:r>
          </w:p>
        </w:tc>
        <w:tc>
          <w:tcPr>
            <w:tcW w:w="1393" w:type="dxa"/>
            <w:tcBorders>
              <w:tl2br w:val="nil"/>
              <w:tr2bl w:val="nil"/>
            </w:tcBorders>
            <w:shd w:val="clear" w:color="auto" w:fill="auto"/>
            <w:vAlign w:val="center"/>
          </w:tcPr>
          <w:p w14:paraId="649FE1DB">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6FA5DCF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7C7EE2F4">
            <w:pPr>
              <w:pStyle w:val="250"/>
              <w:keepNext w:val="0"/>
              <w:keepLines w:val="0"/>
              <w:pageBreakBefore w:val="0"/>
              <w:kinsoku/>
              <w:wordWrap/>
              <w:overflowPunct/>
              <w:topLinePunct w:val="0"/>
              <w:autoSpaceDE/>
              <w:autoSpaceDN/>
              <w:bidi w:val="0"/>
              <w:spacing w:line="240"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t>4</w:t>
            </w:r>
          </w:p>
        </w:tc>
        <w:tc>
          <w:tcPr>
            <w:tcW w:w="1000" w:type="dxa"/>
            <w:vMerge w:val="continue"/>
            <w:tcBorders>
              <w:tl2br w:val="nil"/>
              <w:tr2bl w:val="nil"/>
            </w:tcBorders>
            <w:shd w:val="clear" w:color="auto" w:fill="auto"/>
            <w:vAlign w:val="center"/>
          </w:tcPr>
          <w:p w14:paraId="1ECCB02C">
            <w:pPr>
              <w:keepNext w:val="0"/>
              <w:keepLines w:val="0"/>
              <w:pageBreakBefore w:val="0"/>
              <w:widowControl/>
              <w:kinsoku/>
              <w:wordWrap/>
              <w:overflowPunct/>
              <w:topLinePunct w:val="0"/>
              <w:autoSpaceDE/>
              <w:autoSpaceDN/>
              <w:bidi w:val="0"/>
              <w:jc w:val="center"/>
              <w:textAlignment w:val="auto"/>
              <w:rPr>
                <w:color w:val="000000" w:themeColor="text1"/>
                <w:kern w:val="0"/>
                <w:szCs w:val="21"/>
                <w:lang w:bidi="ar"/>
                <w14:textFill>
                  <w14:solidFill>
                    <w14:schemeClr w14:val="tx1"/>
                  </w14:solidFill>
                </w14:textFill>
              </w:rPr>
            </w:pPr>
          </w:p>
        </w:tc>
        <w:tc>
          <w:tcPr>
            <w:tcW w:w="1988" w:type="dxa"/>
            <w:tcBorders>
              <w:tl2br w:val="nil"/>
              <w:tr2bl w:val="nil"/>
            </w:tcBorders>
            <w:shd w:val="clear" w:color="auto" w:fill="auto"/>
            <w:vAlign w:val="center"/>
          </w:tcPr>
          <w:p w14:paraId="06A6052C">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木工立铣机</w:t>
            </w:r>
          </w:p>
        </w:tc>
        <w:tc>
          <w:tcPr>
            <w:tcW w:w="1305" w:type="dxa"/>
            <w:tcBorders>
              <w:tl2br w:val="nil"/>
              <w:tr2bl w:val="nil"/>
            </w:tcBorders>
            <w:shd w:val="clear" w:color="auto" w:fill="auto"/>
            <w:vAlign w:val="center"/>
          </w:tcPr>
          <w:p w14:paraId="1800AB5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MX5317</w:t>
            </w:r>
          </w:p>
        </w:tc>
        <w:tc>
          <w:tcPr>
            <w:tcW w:w="1350" w:type="dxa"/>
            <w:tcBorders>
              <w:tl2br w:val="nil"/>
              <w:tr2bl w:val="nil"/>
            </w:tcBorders>
            <w:shd w:val="clear" w:color="auto" w:fill="auto"/>
            <w:vAlign w:val="center"/>
          </w:tcPr>
          <w:p w14:paraId="1A5FD22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eastAsia="宋体" w:cs="Times New Roman"/>
                <w:b w:val="0"/>
                <w:bCs/>
                <w:color w:val="000000"/>
                <w:kern w:val="2"/>
                <w:sz w:val="21"/>
                <w:szCs w:val="21"/>
                <w:lang w:val="en-US" w:eastAsia="zh-CN" w:bidi="ar-SA"/>
              </w:rPr>
              <w:t>3</w:t>
            </w:r>
          </w:p>
        </w:tc>
        <w:tc>
          <w:tcPr>
            <w:tcW w:w="1162" w:type="dxa"/>
            <w:tcBorders>
              <w:tl2br w:val="nil"/>
              <w:tr2bl w:val="nil"/>
            </w:tcBorders>
            <w:shd w:val="clear" w:color="auto" w:fill="auto"/>
            <w:vAlign w:val="center"/>
          </w:tcPr>
          <w:p w14:paraId="061C5FC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eastAsia="宋体" w:cs="Times New Roman"/>
                <w:b w:val="0"/>
                <w:bCs/>
                <w:color w:val="000000"/>
                <w:kern w:val="2"/>
                <w:sz w:val="21"/>
                <w:szCs w:val="21"/>
                <w:lang w:val="en-US" w:eastAsia="zh-CN" w:bidi="ar-SA"/>
              </w:rPr>
              <w:t>3</w:t>
            </w:r>
          </w:p>
        </w:tc>
        <w:tc>
          <w:tcPr>
            <w:tcW w:w="1393" w:type="dxa"/>
            <w:tcBorders>
              <w:tl2br w:val="nil"/>
              <w:tr2bl w:val="nil"/>
            </w:tcBorders>
            <w:shd w:val="clear" w:color="auto" w:fill="auto"/>
            <w:vAlign w:val="center"/>
          </w:tcPr>
          <w:p w14:paraId="00087440">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1E7CA9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501AFFEE">
            <w:pPr>
              <w:pStyle w:val="250"/>
              <w:keepNext w:val="0"/>
              <w:keepLines w:val="0"/>
              <w:pageBreakBefore w:val="0"/>
              <w:kinsoku/>
              <w:wordWrap/>
              <w:overflowPunct/>
              <w:topLinePunct w:val="0"/>
              <w:autoSpaceDE/>
              <w:autoSpaceDN/>
              <w:bidi w:val="0"/>
              <w:spacing w:line="240"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t>5</w:t>
            </w:r>
          </w:p>
        </w:tc>
        <w:tc>
          <w:tcPr>
            <w:tcW w:w="1000" w:type="dxa"/>
            <w:vMerge w:val="continue"/>
            <w:tcBorders>
              <w:tl2br w:val="nil"/>
              <w:tr2bl w:val="nil"/>
            </w:tcBorders>
            <w:shd w:val="clear" w:color="auto" w:fill="auto"/>
            <w:vAlign w:val="center"/>
          </w:tcPr>
          <w:p w14:paraId="272598FD">
            <w:pPr>
              <w:keepNext w:val="0"/>
              <w:keepLines w:val="0"/>
              <w:pageBreakBefore w:val="0"/>
              <w:widowControl/>
              <w:kinsoku/>
              <w:wordWrap/>
              <w:overflowPunct/>
              <w:topLinePunct w:val="0"/>
              <w:autoSpaceDE/>
              <w:autoSpaceDN/>
              <w:bidi w:val="0"/>
              <w:jc w:val="center"/>
              <w:textAlignment w:val="auto"/>
              <w:rPr>
                <w:color w:val="000000" w:themeColor="text1"/>
                <w:kern w:val="0"/>
                <w:szCs w:val="21"/>
                <w:lang w:bidi="ar"/>
                <w14:textFill>
                  <w14:solidFill>
                    <w14:schemeClr w14:val="tx1"/>
                  </w14:solidFill>
                </w14:textFill>
              </w:rPr>
            </w:pPr>
          </w:p>
        </w:tc>
        <w:tc>
          <w:tcPr>
            <w:tcW w:w="1988" w:type="dxa"/>
            <w:tcBorders>
              <w:tl2br w:val="nil"/>
              <w:tr2bl w:val="nil"/>
            </w:tcBorders>
            <w:shd w:val="clear" w:color="auto" w:fill="auto"/>
            <w:vAlign w:val="center"/>
          </w:tcPr>
          <w:p w14:paraId="0BEFC54E">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镂铣机</w:t>
            </w:r>
          </w:p>
        </w:tc>
        <w:tc>
          <w:tcPr>
            <w:tcW w:w="1305" w:type="dxa"/>
            <w:tcBorders>
              <w:tl2br w:val="nil"/>
              <w:tr2bl w:val="nil"/>
            </w:tcBorders>
            <w:shd w:val="clear" w:color="auto" w:fill="auto"/>
            <w:vAlign w:val="center"/>
          </w:tcPr>
          <w:p w14:paraId="29A9BF9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w:t>
            </w:r>
          </w:p>
        </w:tc>
        <w:tc>
          <w:tcPr>
            <w:tcW w:w="1350" w:type="dxa"/>
            <w:tcBorders>
              <w:tl2br w:val="nil"/>
              <w:tr2bl w:val="nil"/>
            </w:tcBorders>
            <w:shd w:val="clear" w:color="auto" w:fill="auto"/>
            <w:vAlign w:val="center"/>
          </w:tcPr>
          <w:p w14:paraId="5C5EA78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eastAsia="宋体" w:cs="Times New Roman"/>
                <w:b w:val="0"/>
                <w:bCs/>
                <w:color w:val="000000"/>
                <w:kern w:val="2"/>
                <w:sz w:val="21"/>
                <w:szCs w:val="21"/>
                <w:highlight w:val="none"/>
                <w:lang w:val="en-US" w:eastAsia="zh-CN" w:bidi="ar-SA"/>
              </w:rPr>
              <w:t>2</w:t>
            </w:r>
          </w:p>
        </w:tc>
        <w:tc>
          <w:tcPr>
            <w:tcW w:w="1162" w:type="dxa"/>
            <w:tcBorders>
              <w:tl2br w:val="nil"/>
              <w:tr2bl w:val="nil"/>
            </w:tcBorders>
            <w:shd w:val="clear" w:color="auto" w:fill="auto"/>
            <w:vAlign w:val="center"/>
          </w:tcPr>
          <w:p w14:paraId="5617E1B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eastAsia="宋体" w:cs="Times New Roman"/>
                <w:b w:val="0"/>
                <w:bCs/>
                <w:color w:val="000000"/>
                <w:kern w:val="2"/>
                <w:sz w:val="21"/>
                <w:szCs w:val="21"/>
                <w:highlight w:val="none"/>
                <w:lang w:val="en-US" w:eastAsia="zh-CN" w:bidi="ar-SA"/>
              </w:rPr>
              <w:t>2</w:t>
            </w:r>
          </w:p>
        </w:tc>
        <w:tc>
          <w:tcPr>
            <w:tcW w:w="1393" w:type="dxa"/>
            <w:tcBorders>
              <w:tl2br w:val="nil"/>
              <w:tr2bl w:val="nil"/>
            </w:tcBorders>
            <w:shd w:val="clear" w:color="auto" w:fill="auto"/>
            <w:vAlign w:val="center"/>
          </w:tcPr>
          <w:p w14:paraId="23092EE4">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165FE8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13F2A563">
            <w:pPr>
              <w:pStyle w:val="250"/>
              <w:keepNext w:val="0"/>
              <w:keepLines w:val="0"/>
              <w:pageBreakBefore w:val="0"/>
              <w:kinsoku/>
              <w:wordWrap/>
              <w:overflowPunct/>
              <w:topLinePunct w:val="0"/>
              <w:autoSpaceDE/>
              <w:autoSpaceDN/>
              <w:bidi w:val="0"/>
              <w:spacing w:line="240" w:lineRule="auto"/>
              <w:textAlignment w:val="auto"/>
              <w:rPr>
                <w:color w:val="000000" w:themeColor="text1"/>
                <w14:textFill>
                  <w14:solidFill>
                    <w14:schemeClr w14:val="tx1"/>
                  </w14:solidFill>
                </w14:textFill>
              </w:rPr>
            </w:pPr>
            <w:r>
              <w:rPr>
                <w:color w:val="000000" w:themeColor="text1"/>
                <w14:textFill>
                  <w14:solidFill>
                    <w14:schemeClr w14:val="tx1"/>
                  </w14:solidFill>
                </w14:textFill>
              </w:rPr>
              <w:t>6</w:t>
            </w:r>
          </w:p>
        </w:tc>
        <w:tc>
          <w:tcPr>
            <w:tcW w:w="1000" w:type="dxa"/>
            <w:vMerge w:val="continue"/>
            <w:tcBorders>
              <w:tl2br w:val="nil"/>
              <w:tr2bl w:val="nil"/>
            </w:tcBorders>
            <w:shd w:val="clear" w:color="auto" w:fill="auto"/>
            <w:vAlign w:val="center"/>
          </w:tcPr>
          <w:p w14:paraId="1DFF8392">
            <w:pPr>
              <w:keepNext w:val="0"/>
              <w:keepLines w:val="0"/>
              <w:pageBreakBefore w:val="0"/>
              <w:widowControl/>
              <w:kinsoku/>
              <w:wordWrap/>
              <w:overflowPunct/>
              <w:topLinePunct w:val="0"/>
              <w:autoSpaceDE/>
              <w:autoSpaceDN/>
              <w:bidi w:val="0"/>
              <w:jc w:val="center"/>
              <w:textAlignment w:val="auto"/>
              <w:rPr>
                <w:rFonts w:hint="eastAsia"/>
                <w:color w:val="000000" w:themeColor="text1"/>
                <w:kern w:val="0"/>
                <w:szCs w:val="21"/>
                <w14:textFill>
                  <w14:solidFill>
                    <w14:schemeClr w14:val="tx1"/>
                  </w14:solidFill>
                </w14:textFill>
              </w:rPr>
            </w:pPr>
          </w:p>
        </w:tc>
        <w:tc>
          <w:tcPr>
            <w:tcW w:w="1988" w:type="dxa"/>
            <w:tcBorders>
              <w:tl2br w:val="nil"/>
              <w:tr2bl w:val="nil"/>
            </w:tcBorders>
            <w:shd w:val="clear" w:color="auto" w:fill="auto"/>
            <w:vAlign w:val="center"/>
          </w:tcPr>
          <w:p w14:paraId="79A3BA59">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开孔钻床</w:t>
            </w:r>
          </w:p>
        </w:tc>
        <w:tc>
          <w:tcPr>
            <w:tcW w:w="1305" w:type="dxa"/>
            <w:tcBorders>
              <w:tl2br w:val="nil"/>
              <w:tr2bl w:val="nil"/>
            </w:tcBorders>
            <w:shd w:val="clear" w:color="auto" w:fill="auto"/>
            <w:vAlign w:val="center"/>
          </w:tcPr>
          <w:p w14:paraId="7E3B780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w:t>
            </w:r>
          </w:p>
        </w:tc>
        <w:tc>
          <w:tcPr>
            <w:tcW w:w="1350" w:type="dxa"/>
            <w:tcBorders>
              <w:tl2br w:val="nil"/>
              <w:tr2bl w:val="nil"/>
            </w:tcBorders>
            <w:shd w:val="clear" w:color="auto" w:fill="auto"/>
            <w:vAlign w:val="center"/>
          </w:tcPr>
          <w:p w14:paraId="0C7B6ED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eastAsia="宋体" w:cs="Times New Roman"/>
                <w:b w:val="0"/>
                <w:bCs/>
                <w:color w:val="000000"/>
                <w:kern w:val="2"/>
                <w:sz w:val="21"/>
                <w:szCs w:val="21"/>
                <w:highlight w:val="none"/>
                <w:lang w:val="en-US" w:eastAsia="zh-CN" w:bidi="ar-SA"/>
              </w:rPr>
              <w:t>2</w:t>
            </w:r>
          </w:p>
        </w:tc>
        <w:tc>
          <w:tcPr>
            <w:tcW w:w="1162" w:type="dxa"/>
            <w:tcBorders>
              <w:tl2br w:val="nil"/>
              <w:tr2bl w:val="nil"/>
            </w:tcBorders>
            <w:shd w:val="clear" w:color="auto" w:fill="auto"/>
            <w:vAlign w:val="center"/>
          </w:tcPr>
          <w:p w14:paraId="7E7986B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eastAsia="宋体" w:cs="Times New Roman"/>
                <w:b w:val="0"/>
                <w:bCs/>
                <w:color w:val="000000"/>
                <w:kern w:val="2"/>
                <w:sz w:val="21"/>
                <w:szCs w:val="21"/>
                <w:highlight w:val="none"/>
                <w:lang w:val="en-US" w:eastAsia="zh-CN" w:bidi="ar-SA"/>
              </w:rPr>
              <w:t>2</w:t>
            </w:r>
          </w:p>
        </w:tc>
        <w:tc>
          <w:tcPr>
            <w:tcW w:w="1393" w:type="dxa"/>
            <w:tcBorders>
              <w:tl2br w:val="nil"/>
              <w:tr2bl w:val="nil"/>
            </w:tcBorders>
            <w:shd w:val="clear" w:color="auto" w:fill="auto"/>
            <w:vAlign w:val="center"/>
          </w:tcPr>
          <w:p w14:paraId="1831F5A5">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09079C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35306268">
            <w:pPr>
              <w:pStyle w:val="250"/>
              <w:keepNext w:val="0"/>
              <w:keepLines w:val="0"/>
              <w:pageBreakBefore w:val="0"/>
              <w:kinsoku/>
              <w:wordWrap/>
              <w:overflowPunct/>
              <w:topLinePunct w:val="0"/>
              <w:autoSpaceDE/>
              <w:autoSpaceDN/>
              <w:bidi w:val="0"/>
              <w:spacing w:line="240"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000" w:type="dxa"/>
            <w:vMerge w:val="continue"/>
            <w:tcBorders>
              <w:tl2br w:val="nil"/>
              <w:tr2bl w:val="nil"/>
            </w:tcBorders>
            <w:shd w:val="clear" w:color="auto" w:fill="auto"/>
            <w:vAlign w:val="center"/>
          </w:tcPr>
          <w:p w14:paraId="7C74FEA1">
            <w:pPr>
              <w:keepNext w:val="0"/>
              <w:keepLines w:val="0"/>
              <w:pageBreakBefore w:val="0"/>
              <w:widowControl/>
              <w:kinsoku/>
              <w:wordWrap/>
              <w:overflowPunct/>
              <w:topLinePunct w:val="0"/>
              <w:autoSpaceDE/>
              <w:autoSpaceDN/>
              <w:bidi w:val="0"/>
              <w:jc w:val="center"/>
              <w:textAlignment w:val="auto"/>
              <w:rPr>
                <w:rFonts w:hint="eastAsia"/>
                <w:color w:val="000000" w:themeColor="text1"/>
                <w:kern w:val="0"/>
                <w:szCs w:val="21"/>
                <w14:textFill>
                  <w14:solidFill>
                    <w14:schemeClr w14:val="tx1"/>
                  </w14:solidFill>
                </w14:textFill>
              </w:rPr>
            </w:pPr>
          </w:p>
        </w:tc>
        <w:tc>
          <w:tcPr>
            <w:tcW w:w="1988" w:type="dxa"/>
            <w:tcBorders>
              <w:tl2br w:val="nil"/>
              <w:tr2bl w:val="nil"/>
            </w:tcBorders>
            <w:shd w:val="clear" w:color="auto" w:fill="auto"/>
            <w:vAlign w:val="center"/>
          </w:tcPr>
          <w:p w14:paraId="6073C033">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打眼机</w:t>
            </w:r>
          </w:p>
        </w:tc>
        <w:tc>
          <w:tcPr>
            <w:tcW w:w="1305" w:type="dxa"/>
            <w:tcBorders>
              <w:tl2br w:val="nil"/>
              <w:tr2bl w:val="nil"/>
            </w:tcBorders>
            <w:shd w:val="clear" w:color="auto" w:fill="auto"/>
            <w:vAlign w:val="center"/>
          </w:tcPr>
          <w:p w14:paraId="0C693F5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kern w:val="2"/>
                <w:sz w:val="21"/>
                <w:szCs w:val="21"/>
                <w:lang w:val="en-US" w:eastAsia="zh-CN" w:bidi="ar-SA"/>
              </w:rPr>
              <w:t>/</w:t>
            </w:r>
          </w:p>
        </w:tc>
        <w:tc>
          <w:tcPr>
            <w:tcW w:w="1350" w:type="dxa"/>
            <w:tcBorders>
              <w:tl2br w:val="nil"/>
              <w:tr2bl w:val="nil"/>
            </w:tcBorders>
            <w:shd w:val="clear" w:color="auto" w:fill="auto"/>
            <w:vAlign w:val="center"/>
          </w:tcPr>
          <w:p w14:paraId="2E7B665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1</w:t>
            </w:r>
          </w:p>
        </w:tc>
        <w:tc>
          <w:tcPr>
            <w:tcW w:w="1162" w:type="dxa"/>
            <w:tcBorders>
              <w:tl2br w:val="nil"/>
              <w:tr2bl w:val="nil"/>
            </w:tcBorders>
            <w:shd w:val="clear" w:color="auto" w:fill="auto"/>
            <w:vAlign w:val="center"/>
          </w:tcPr>
          <w:p w14:paraId="0886AC3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1</w:t>
            </w:r>
          </w:p>
        </w:tc>
        <w:tc>
          <w:tcPr>
            <w:tcW w:w="1393" w:type="dxa"/>
            <w:tcBorders>
              <w:tl2br w:val="nil"/>
              <w:tr2bl w:val="nil"/>
            </w:tcBorders>
            <w:shd w:val="clear" w:color="auto" w:fill="auto"/>
            <w:vAlign w:val="center"/>
          </w:tcPr>
          <w:p w14:paraId="3DFF05D3">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45CA9BF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0595BA91">
            <w:pPr>
              <w:pStyle w:val="250"/>
              <w:keepNext w:val="0"/>
              <w:keepLines w:val="0"/>
              <w:pageBreakBefore w:val="0"/>
              <w:kinsoku/>
              <w:wordWrap/>
              <w:overflowPunct/>
              <w:topLinePunct w:val="0"/>
              <w:autoSpaceDE/>
              <w:autoSpaceDN/>
              <w:bidi w:val="0"/>
              <w:spacing w:line="240" w:lineRule="auto"/>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000" w:type="dxa"/>
            <w:vMerge w:val="continue"/>
            <w:tcBorders>
              <w:tl2br w:val="nil"/>
              <w:tr2bl w:val="nil"/>
            </w:tcBorders>
            <w:shd w:val="clear" w:color="auto" w:fill="auto"/>
            <w:vAlign w:val="center"/>
          </w:tcPr>
          <w:p w14:paraId="286CEE27">
            <w:pPr>
              <w:keepNext w:val="0"/>
              <w:keepLines w:val="0"/>
              <w:pageBreakBefore w:val="0"/>
              <w:widowControl/>
              <w:kinsoku/>
              <w:wordWrap/>
              <w:overflowPunct/>
              <w:topLinePunct w:val="0"/>
              <w:autoSpaceDE/>
              <w:autoSpaceDN/>
              <w:bidi w:val="0"/>
              <w:jc w:val="center"/>
              <w:textAlignment w:val="auto"/>
              <w:rPr>
                <w:color w:val="000000" w:themeColor="text1"/>
                <w:kern w:val="0"/>
                <w:szCs w:val="21"/>
                <w:lang w:bidi="ar"/>
                <w14:textFill>
                  <w14:solidFill>
                    <w14:schemeClr w14:val="tx1"/>
                  </w14:solidFill>
                </w14:textFill>
              </w:rPr>
            </w:pPr>
          </w:p>
        </w:tc>
        <w:tc>
          <w:tcPr>
            <w:tcW w:w="1988" w:type="dxa"/>
            <w:tcBorders>
              <w:tl2br w:val="nil"/>
              <w:tr2bl w:val="nil"/>
            </w:tcBorders>
            <w:shd w:val="clear" w:color="auto" w:fill="auto"/>
            <w:vAlign w:val="center"/>
          </w:tcPr>
          <w:p w14:paraId="5AF72342">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砂带机</w:t>
            </w:r>
          </w:p>
        </w:tc>
        <w:tc>
          <w:tcPr>
            <w:tcW w:w="1305" w:type="dxa"/>
            <w:tcBorders>
              <w:tl2br w:val="nil"/>
              <w:tr2bl w:val="nil"/>
            </w:tcBorders>
            <w:shd w:val="clear" w:color="auto" w:fill="auto"/>
            <w:vAlign w:val="center"/>
          </w:tcPr>
          <w:p w14:paraId="62070ED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w:t>
            </w:r>
          </w:p>
        </w:tc>
        <w:tc>
          <w:tcPr>
            <w:tcW w:w="1350" w:type="dxa"/>
            <w:tcBorders>
              <w:tl2br w:val="nil"/>
              <w:tr2bl w:val="nil"/>
            </w:tcBorders>
            <w:shd w:val="clear" w:color="auto" w:fill="auto"/>
            <w:vAlign w:val="center"/>
          </w:tcPr>
          <w:p w14:paraId="5762328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1</w:t>
            </w:r>
          </w:p>
        </w:tc>
        <w:tc>
          <w:tcPr>
            <w:tcW w:w="1162" w:type="dxa"/>
            <w:tcBorders>
              <w:tl2br w:val="nil"/>
              <w:tr2bl w:val="nil"/>
            </w:tcBorders>
            <w:shd w:val="clear" w:color="auto" w:fill="auto"/>
            <w:vAlign w:val="center"/>
          </w:tcPr>
          <w:p w14:paraId="114324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1</w:t>
            </w:r>
          </w:p>
        </w:tc>
        <w:tc>
          <w:tcPr>
            <w:tcW w:w="1393" w:type="dxa"/>
            <w:tcBorders>
              <w:tl2br w:val="nil"/>
              <w:tr2bl w:val="nil"/>
            </w:tcBorders>
            <w:shd w:val="clear" w:color="auto" w:fill="auto"/>
            <w:vAlign w:val="center"/>
          </w:tcPr>
          <w:p w14:paraId="08382FE8">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1A7DE0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41CA515D">
            <w:pPr>
              <w:pStyle w:val="250"/>
              <w:keepNext w:val="0"/>
              <w:keepLines w:val="0"/>
              <w:pageBreakBefore w:val="0"/>
              <w:kinsoku/>
              <w:wordWrap/>
              <w:overflowPunct/>
              <w:topLinePunct w:val="0"/>
              <w:autoSpaceDE/>
              <w:autoSpaceDN/>
              <w:bidi w:val="0"/>
              <w:spacing w:line="240" w:lineRule="auto"/>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1000" w:type="dxa"/>
            <w:vMerge w:val="continue"/>
            <w:tcBorders>
              <w:tl2br w:val="nil"/>
              <w:tr2bl w:val="nil"/>
            </w:tcBorders>
            <w:shd w:val="clear" w:color="auto" w:fill="auto"/>
            <w:vAlign w:val="center"/>
          </w:tcPr>
          <w:p w14:paraId="0F222CE5">
            <w:pPr>
              <w:keepNext w:val="0"/>
              <w:keepLines w:val="0"/>
              <w:pageBreakBefore w:val="0"/>
              <w:widowControl/>
              <w:kinsoku/>
              <w:wordWrap/>
              <w:overflowPunct/>
              <w:topLinePunct w:val="0"/>
              <w:autoSpaceDE/>
              <w:autoSpaceDN/>
              <w:bidi w:val="0"/>
              <w:jc w:val="center"/>
              <w:textAlignment w:val="auto"/>
              <w:rPr>
                <w:rFonts w:hint="eastAsia"/>
                <w:color w:val="000000" w:themeColor="text1"/>
                <w:kern w:val="0"/>
                <w:szCs w:val="21"/>
                <w14:textFill>
                  <w14:solidFill>
                    <w14:schemeClr w14:val="tx1"/>
                  </w14:solidFill>
                </w14:textFill>
              </w:rPr>
            </w:pPr>
          </w:p>
        </w:tc>
        <w:tc>
          <w:tcPr>
            <w:tcW w:w="1988" w:type="dxa"/>
            <w:tcBorders>
              <w:tl2br w:val="nil"/>
              <w:tr2bl w:val="nil"/>
            </w:tcBorders>
            <w:shd w:val="clear" w:color="auto" w:fill="auto"/>
            <w:vAlign w:val="center"/>
          </w:tcPr>
          <w:p w14:paraId="653045DA">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雕刻机</w:t>
            </w:r>
          </w:p>
        </w:tc>
        <w:tc>
          <w:tcPr>
            <w:tcW w:w="1305" w:type="dxa"/>
            <w:tcBorders>
              <w:tl2br w:val="nil"/>
              <w:tr2bl w:val="nil"/>
            </w:tcBorders>
            <w:shd w:val="clear" w:color="auto" w:fill="auto"/>
            <w:vAlign w:val="center"/>
          </w:tcPr>
          <w:p w14:paraId="22F6569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BJD-Q2-2D</w:t>
            </w:r>
          </w:p>
        </w:tc>
        <w:tc>
          <w:tcPr>
            <w:tcW w:w="1350" w:type="dxa"/>
            <w:tcBorders>
              <w:tl2br w:val="nil"/>
              <w:tr2bl w:val="nil"/>
            </w:tcBorders>
            <w:shd w:val="clear" w:color="auto" w:fill="auto"/>
            <w:vAlign w:val="center"/>
          </w:tcPr>
          <w:p w14:paraId="328822F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0</w:t>
            </w:r>
          </w:p>
        </w:tc>
        <w:tc>
          <w:tcPr>
            <w:tcW w:w="1162" w:type="dxa"/>
            <w:tcBorders>
              <w:tl2br w:val="nil"/>
              <w:tr2bl w:val="nil"/>
            </w:tcBorders>
            <w:shd w:val="clear" w:color="auto" w:fill="auto"/>
            <w:vAlign w:val="center"/>
          </w:tcPr>
          <w:p w14:paraId="5F9F5B5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0</w:t>
            </w:r>
          </w:p>
        </w:tc>
        <w:tc>
          <w:tcPr>
            <w:tcW w:w="1393" w:type="dxa"/>
            <w:tcBorders>
              <w:tl2br w:val="nil"/>
              <w:tr2bl w:val="nil"/>
            </w:tcBorders>
            <w:shd w:val="clear" w:color="auto" w:fill="auto"/>
            <w:vAlign w:val="center"/>
          </w:tcPr>
          <w:p w14:paraId="782DA9DC">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4EFF427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4F96C16D">
            <w:pPr>
              <w:pStyle w:val="250"/>
              <w:keepNext w:val="0"/>
              <w:keepLines w:val="0"/>
              <w:pageBreakBefore w:val="0"/>
              <w:kinsoku/>
              <w:wordWrap/>
              <w:overflowPunct/>
              <w:topLinePunct w:val="0"/>
              <w:autoSpaceDE/>
              <w:autoSpaceDN/>
              <w:bidi w:val="0"/>
              <w:spacing w:line="240" w:lineRule="auto"/>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w:t>
            </w:r>
          </w:p>
        </w:tc>
        <w:tc>
          <w:tcPr>
            <w:tcW w:w="1000" w:type="dxa"/>
            <w:vMerge w:val="continue"/>
            <w:tcBorders>
              <w:tl2br w:val="nil"/>
              <w:tr2bl w:val="nil"/>
            </w:tcBorders>
            <w:shd w:val="clear" w:color="auto" w:fill="auto"/>
            <w:vAlign w:val="center"/>
          </w:tcPr>
          <w:p w14:paraId="37FACFAF">
            <w:pPr>
              <w:keepNext w:val="0"/>
              <w:keepLines w:val="0"/>
              <w:pageBreakBefore w:val="0"/>
              <w:widowControl/>
              <w:kinsoku/>
              <w:wordWrap/>
              <w:overflowPunct/>
              <w:topLinePunct w:val="0"/>
              <w:autoSpaceDE/>
              <w:autoSpaceDN/>
              <w:bidi w:val="0"/>
              <w:jc w:val="center"/>
              <w:textAlignment w:val="auto"/>
              <w:rPr>
                <w:rFonts w:hint="eastAsia"/>
                <w:color w:val="000000" w:themeColor="text1"/>
                <w:kern w:val="0"/>
                <w:szCs w:val="21"/>
                <w14:textFill>
                  <w14:solidFill>
                    <w14:schemeClr w14:val="tx1"/>
                  </w14:solidFill>
                </w14:textFill>
              </w:rPr>
            </w:pPr>
          </w:p>
        </w:tc>
        <w:tc>
          <w:tcPr>
            <w:tcW w:w="1988" w:type="dxa"/>
            <w:tcBorders>
              <w:tl2br w:val="nil"/>
              <w:tr2bl w:val="nil"/>
            </w:tcBorders>
            <w:shd w:val="clear" w:color="auto" w:fill="auto"/>
            <w:vAlign w:val="center"/>
          </w:tcPr>
          <w:p w14:paraId="78920CCD">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压板机</w:t>
            </w:r>
          </w:p>
        </w:tc>
        <w:tc>
          <w:tcPr>
            <w:tcW w:w="1305" w:type="dxa"/>
            <w:tcBorders>
              <w:tl2br w:val="nil"/>
              <w:tr2bl w:val="nil"/>
            </w:tcBorders>
            <w:shd w:val="clear" w:color="auto" w:fill="auto"/>
            <w:vAlign w:val="center"/>
          </w:tcPr>
          <w:p w14:paraId="3FEC843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kern w:val="2"/>
                <w:sz w:val="21"/>
                <w:szCs w:val="21"/>
                <w:lang w:val="en-US" w:eastAsia="zh-CN" w:bidi="ar-SA"/>
              </w:rPr>
              <w:t>/</w:t>
            </w:r>
          </w:p>
        </w:tc>
        <w:tc>
          <w:tcPr>
            <w:tcW w:w="1350" w:type="dxa"/>
            <w:tcBorders>
              <w:tl2br w:val="nil"/>
              <w:tr2bl w:val="nil"/>
            </w:tcBorders>
            <w:shd w:val="clear" w:color="auto" w:fill="auto"/>
            <w:vAlign w:val="center"/>
          </w:tcPr>
          <w:p w14:paraId="16FF818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0</w:t>
            </w:r>
          </w:p>
        </w:tc>
        <w:tc>
          <w:tcPr>
            <w:tcW w:w="1162" w:type="dxa"/>
            <w:tcBorders>
              <w:tl2br w:val="nil"/>
              <w:tr2bl w:val="nil"/>
            </w:tcBorders>
            <w:shd w:val="clear" w:color="auto" w:fill="auto"/>
            <w:vAlign w:val="center"/>
          </w:tcPr>
          <w:p w14:paraId="3287D0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0</w:t>
            </w:r>
          </w:p>
        </w:tc>
        <w:tc>
          <w:tcPr>
            <w:tcW w:w="1393" w:type="dxa"/>
            <w:tcBorders>
              <w:tl2br w:val="nil"/>
              <w:tr2bl w:val="nil"/>
            </w:tcBorders>
            <w:shd w:val="clear" w:color="auto" w:fill="auto"/>
            <w:vAlign w:val="center"/>
          </w:tcPr>
          <w:p w14:paraId="40F22EA2">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5424F8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7BDF8EA1">
            <w:pPr>
              <w:pStyle w:val="250"/>
              <w:keepNext w:val="0"/>
              <w:keepLines w:val="0"/>
              <w:pageBreakBefore w:val="0"/>
              <w:kinsoku/>
              <w:wordWrap/>
              <w:overflowPunct/>
              <w:topLinePunct w:val="0"/>
              <w:autoSpaceDE/>
              <w:autoSpaceDN/>
              <w:bidi w:val="0"/>
              <w:spacing w:line="240" w:lineRule="auto"/>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13</w:t>
            </w:r>
          </w:p>
        </w:tc>
        <w:tc>
          <w:tcPr>
            <w:tcW w:w="1000" w:type="dxa"/>
            <w:vMerge w:val="continue"/>
            <w:tcBorders>
              <w:tl2br w:val="nil"/>
              <w:tr2bl w:val="nil"/>
            </w:tcBorders>
            <w:shd w:val="clear" w:color="auto" w:fill="auto"/>
            <w:vAlign w:val="center"/>
          </w:tcPr>
          <w:p w14:paraId="02E314AE">
            <w:pPr>
              <w:keepNext w:val="0"/>
              <w:keepLines w:val="0"/>
              <w:pageBreakBefore w:val="0"/>
              <w:widowControl/>
              <w:kinsoku/>
              <w:wordWrap/>
              <w:overflowPunct/>
              <w:topLinePunct w:val="0"/>
              <w:autoSpaceDE/>
              <w:autoSpaceDN/>
              <w:bidi w:val="0"/>
              <w:jc w:val="center"/>
              <w:textAlignment w:val="auto"/>
              <w:rPr>
                <w:rFonts w:hint="eastAsia"/>
                <w:color w:val="000000" w:themeColor="text1"/>
                <w:kern w:val="0"/>
                <w:szCs w:val="21"/>
                <w14:textFill>
                  <w14:solidFill>
                    <w14:schemeClr w14:val="tx1"/>
                  </w14:solidFill>
                </w14:textFill>
              </w:rPr>
            </w:pPr>
          </w:p>
        </w:tc>
        <w:tc>
          <w:tcPr>
            <w:tcW w:w="1988" w:type="dxa"/>
            <w:tcBorders>
              <w:tl2br w:val="nil"/>
              <w:tr2bl w:val="nil"/>
            </w:tcBorders>
            <w:shd w:val="clear" w:color="auto" w:fill="auto"/>
            <w:vAlign w:val="center"/>
          </w:tcPr>
          <w:p w14:paraId="34BA58A6">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自动封边机</w:t>
            </w:r>
          </w:p>
        </w:tc>
        <w:tc>
          <w:tcPr>
            <w:tcW w:w="1305" w:type="dxa"/>
            <w:tcBorders>
              <w:tl2br w:val="nil"/>
              <w:tr2bl w:val="nil"/>
            </w:tcBorders>
            <w:shd w:val="clear" w:color="auto" w:fill="auto"/>
            <w:vAlign w:val="center"/>
          </w:tcPr>
          <w:p w14:paraId="79EA7EB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MD620F</w:t>
            </w:r>
          </w:p>
        </w:tc>
        <w:tc>
          <w:tcPr>
            <w:tcW w:w="1350" w:type="dxa"/>
            <w:tcBorders>
              <w:tl2br w:val="nil"/>
              <w:tr2bl w:val="nil"/>
            </w:tcBorders>
            <w:shd w:val="clear" w:color="auto" w:fill="auto"/>
            <w:vAlign w:val="center"/>
          </w:tcPr>
          <w:p w14:paraId="56A8CB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0</w:t>
            </w:r>
          </w:p>
        </w:tc>
        <w:tc>
          <w:tcPr>
            <w:tcW w:w="1162" w:type="dxa"/>
            <w:tcBorders>
              <w:tl2br w:val="nil"/>
              <w:tr2bl w:val="nil"/>
            </w:tcBorders>
            <w:shd w:val="clear" w:color="auto" w:fill="auto"/>
            <w:vAlign w:val="center"/>
          </w:tcPr>
          <w:p w14:paraId="027BDA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0</w:t>
            </w:r>
          </w:p>
        </w:tc>
        <w:tc>
          <w:tcPr>
            <w:tcW w:w="1393" w:type="dxa"/>
            <w:tcBorders>
              <w:tl2br w:val="nil"/>
              <w:tr2bl w:val="nil"/>
            </w:tcBorders>
            <w:shd w:val="clear" w:color="auto" w:fill="auto"/>
            <w:vAlign w:val="center"/>
          </w:tcPr>
          <w:p w14:paraId="57A906C3">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2FA6BC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5153BB8E">
            <w:pPr>
              <w:pStyle w:val="250"/>
              <w:keepNext w:val="0"/>
              <w:keepLines w:val="0"/>
              <w:pageBreakBefore w:val="0"/>
              <w:kinsoku/>
              <w:wordWrap/>
              <w:overflowPunct/>
              <w:topLinePunct w:val="0"/>
              <w:autoSpaceDE/>
              <w:autoSpaceDN/>
              <w:bidi w:val="0"/>
              <w:spacing w:line="240" w:lineRule="auto"/>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14</w:t>
            </w:r>
          </w:p>
        </w:tc>
        <w:tc>
          <w:tcPr>
            <w:tcW w:w="1000" w:type="dxa"/>
            <w:vMerge w:val="continue"/>
            <w:tcBorders>
              <w:tl2br w:val="nil"/>
              <w:tr2bl w:val="nil"/>
            </w:tcBorders>
            <w:shd w:val="clear" w:color="auto" w:fill="auto"/>
            <w:vAlign w:val="center"/>
          </w:tcPr>
          <w:p w14:paraId="026ABF77">
            <w:pPr>
              <w:keepNext w:val="0"/>
              <w:keepLines w:val="0"/>
              <w:pageBreakBefore w:val="0"/>
              <w:widowControl/>
              <w:kinsoku/>
              <w:wordWrap/>
              <w:overflowPunct/>
              <w:topLinePunct w:val="0"/>
              <w:autoSpaceDE/>
              <w:autoSpaceDN/>
              <w:bidi w:val="0"/>
              <w:jc w:val="center"/>
              <w:textAlignment w:val="auto"/>
              <w:rPr>
                <w:rFonts w:hint="default" w:eastAsia="宋体"/>
                <w:color w:val="000000" w:themeColor="text1"/>
                <w:kern w:val="0"/>
                <w:szCs w:val="21"/>
                <w:lang w:val="en-US" w:eastAsia="zh-CN"/>
                <w14:textFill>
                  <w14:solidFill>
                    <w14:schemeClr w14:val="tx1"/>
                  </w14:solidFill>
                </w14:textFill>
              </w:rPr>
            </w:pPr>
          </w:p>
        </w:tc>
        <w:tc>
          <w:tcPr>
            <w:tcW w:w="1988" w:type="dxa"/>
            <w:tcBorders>
              <w:tl2br w:val="nil"/>
              <w:tr2bl w:val="nil"/>
            </w:tcBorders>
            <w:shd w:val="clear" w:color="auto" w:fill="auto"/>
            <w:vAlign w:val="center"/>
          </w:tcPr>
          <w:p w14:paraId="64C372B2">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打磨房</w:t>
            </w:r>
          </w:p>
        </w:tc>
        <w:tc>
          <w:tcPr>
            <w:tcW w:w="1305" w:type="dxa"/>
            <w:tcBorders>
              <w:tl2br w:val="nil"/>
              <w:tr2bl w:val="nil"/>
            </w:tcBorders>
            <w:shd w:val="clear" w:color="auto" w:fill="auto"/>
            <w:vAlign w:val="center"/>
          </w:tcPr>
          <w:p w14:paraId="3A054E0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15.2*13.5*3</w:t>
            </w:r>
          </w:p>
        </w:tc>
        <w:tc>
          <w:tcPr>
            <w:tcW w:w="1350" w:type="dxa"/>
            <w:tcBorders>
              <w:tl2br w:val="nil"/>
              <w:tr2bl w:val="nil"/>
            </w:tcBorders>
            <w:shd w:val="clear" w:color="auto" w:fill="auto"/>
            <w:vAlign w:val="center"/>
          </w:tcPr>
          <w:p w14:paraId="4FF3BC1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1</w:t>
            </w:r>
          </w:p>
        </w:tc>
        <w:tc>
          <w:tcPr>
            <w:tcW w:w="1162" w:type="dxa"/>
            <w:tcBorders>
              <w:tl2br w:val="nil"/>
              <w:tr2bl w:val="nil"/>
            </w:tcBorders>
            <w:shd w:val="clear" w:color="auto" w:fill="auto"/>
            <w:vAlign w:val="center"/>
          </w:tcPr>
          <w:p w14:paraId="34C46E8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1</w:t>
            </w:r>
          </w:p>
        </w:tc>
        <w:tc>
          <w:tcPr>
            <w:tcW w:w="1393" w:type="dxa"/>
            <w:tcBorders>
              <w:tl2br w:val="nil"/>
              <w:tr2bl w:val="nil"/>
            </w:tcBorders>
            <w:shd w:val="clear" w:color="auto" w:fill="auto"/>
            <w:vAlign w:val="center"/>
          </w:tcPr>
          <w:p w14:paraId="3DE69264">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54BFE0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379CE5F1">
            <w:pPr>
              <w:pStyle w:val="250"/>
              <w:keepNext w:val="0"/>
              <w:keepLines w:val="0"/>
              <w:pageBreakBefore w:val="0"/>
              <w:kinsoku/>
              <w:wordWrap/>
              <w:overflowPunct/>
              <w:topLinePunct w:val="0"/>
              <w:autoSpaceDE/>
              <w:autoSpaceDN/>
              <w:bidi w:val="0"/>
              <w:spacing w:line="240" w:lineRule="auto"/>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w:t>
            </w:r>
          </w:p>
        </w:tc>
        <w:tc>
          <w:tcPr>
            <w:tcW w:w="1000" w:type="dxa"/>
            <w:vMerge w:val="continue"/>
            <w:tcBorders>
              <w:tl2br w:val="nil"/>
              <w:tr2bl w:val="nil"/>
            </w:tcBorders>
            <w:shd w:val="clear" w:color="auto" w:fill="auto"/>
            <w:vAlign w:val="center"/>
          </w:tcPr>
          <w:p w14:paraId="13A383CE">
            <w:pPr>
              <w:keepNext w:val="0"/>
              <w:keepLines w:val="0"/>
              <w:pageBreakBefore w:val="0"/>
              <w:widowControl/>
              <w:kinsoku/>
              <w:wordWrap/>
              <w:overflowPunct/>
              <w:topLinePunct w:val="0"/>
              <w:autoSpaceDE/>
              <w:autoSpaceDN/>
              <w:bidi w:val="0"/>
              <w:jc w:val="center"/>
              <w:textAlignment w:val="auto"/>
              <w:rPr>
                <w:rFonts w:hint="eastAsia"/>
                <w:color w:val="000000" w:themeColor="text1"/>
                <w:kern w:val="0"/>
                <w:szCs w:val="21"/>
                <w14:textFill>
                  <w14:solidFill>
                    <w14:schemeClr w14:val="tx1"/>
                  </w14:solidFill>
                </w14:textFill>
              </w:rPr>
            </w:pPr>
          </w:p>
        </w:tc>
        <w:tc>
          <w:tcPr>
            <w:tcW w:w="1988" w:type="dxa"/>
            <w:tcBorders>
              <w:tl2br w:val="nil"/>
              <w:tr2bl w:val="nil"/>
            </w:tcBorders>
            <w:shd w:val="clear" w:color="auto" w:fill="auto"/>
            <w:vAlign w:val="center"/>
          </w:tcPr>
          <w:p w14:paraId="54FEB24E">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干式脉冲除尘柜</w:t>
            </w:r>
          </w:p>
        </w:tc>
        <w:tc>
          <w:tcPr>
            <w:tcW w:w="1305" w:type="dxa"/>
            <w:tcBorders>
              <w:tl2br w:val="nil"/>
              <w:tr2bl w:val="nil"/>
            </w:tcBorders>
            <w:shd w:val="clear" w:color="auto" w:fill="auto"/>
            <w:vAlign w:val="center"/>
          </w:tcPr>
          <w:p w14:paraId="2ADCB50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4*1.2*2.4</w:t>
            </w:r>
          </w:p>
        </w:tc>
        <w:tc>
          <w:tcPr>
            <w:tcW w:w="1350" w:type="dxa"/>
            <w:tcBorders>
              <w:tl2br w:val="nil"/>
              <w:tr2bl w:val="nil"/>
            </w:tcBorders>
            <w:shd w:val="clear" w:color="auto" w:fill="auto"/>
            <w:vAlign w:val="center"/>
          </w:tcPr>
          <w:p w14:paraId="0649217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3</w:t>
            </w:r>
          </w:p>
        </w:tc>
        <w:tc>
          <w:tcPr>
            <w:tcW w:w="1162" w:type="dxa"/>
            <w:tcBorders>
              <w:tl2br w:val="nil"/>
              <w:tr2bl w:val="nil"/>
            </w:tcBorders>
            <w:shd w:val="clear" w:color="auto" w:fill="auto"/>
            <w:vAlign w:val="center"/>
          </w:tcPr>
          <w:p w14:paraId="5BB6127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3</w:t>
            </w:r>
          </w:p>
        </w:tc>
        <w:tc>
          <w:tcPr>
            <w:tcW w:w="1393" w:type="dxa"/>
            <w:tcBorders>
              <w:tl2br w:val="nil"/>
              <w:tr2bl w:val="nil"/>
            </w:tcBorders>
            <w:shd w:val="clear" w:color="auto" w:fill="auto"/>
            <w:vAlign w:val="center"/>
          </w:tcPr>
          <w:p w14:paraId="68360D28">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08F81B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20B56DB9">
            <w:pPr>
              <w:pStyle w:val="250"/>
              <w:keepNext w:val="0"/>
              <w:keepLines w:val="0"/>
              <w:pageBreakBefore w:val="0"/>
              <w:kinsoku/>
              <w:wordWrap/>
              <w:overflowPunct/>
              <w:topLinePunct w:val="0"/>
              <w:autoSpaceDE/>
              <w:autoSpaceDN/>
              <w:bidi w:val="0"/>
              <w:spacing w:line="240" w:lineRule="auto"/>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16</w:t>
            </w:r>
          </w:p>
        </w:tc>
        <w:tc>
          <w:tcPr>
            <w:tcW w:w="1000" w:type="dxa"/>
            <w:vMerge w:val="continue"/>
            <w:tcBorders>
              <w:tl2br w:val="nil"/>
              <w:tr2bl w:val="nil"/>
            </w:tcBorders>
            <w:shd w:val="clear" w:color="auto" w:fill="auto"/>
            <w:vAlign w:val="center"/>
          </w:tcPr>
          <w:p w14:paraId="1697F43C">
            <w:pPr>
              <w:keepNext w:val="0"/>
              <w:keepLines w:val="0"/>
              <w:pageBreakBefore w:val="0"/>
              <w:widowControl/>
              <w:kinsoku/>
              <w:wordWrap/>
              <w:overflowPunct/>
              <w:topLinePunct w:val="0"/>
              <w:autoSpaceDE/>
              <w:autoSpaceDN/>
              <w:bidi w:val="0"/>
              <w:jc w:val="center"/>
              <w:textAlignment w:val="auto"/>
              <w:rPr>
                <w:rFonts w:hint="eastAsia"/>
                <w:color w:val="000000" w:themeColor="text1"/>
                <w:kern w:val="0"/>
                <w:szCs w:val="21"/>
                <w14:textFill>
                  <w14:solidFill>
                    <w14:schemeClr w14:val="tx1"/>
                  </w14:solidFill>
                </w14:textFill>
              </w:rPr>
            </w:pPr>
          </w:p>
        </w:tc>
        <w:tc>
          <w:tcPr>
            <w:tcW w:w="1988" w:type="dxa"/>
            <w:tcBorders>
              <w:tl2br w:val="nil"/>
              <w:tr2bl w:val="nil"/>
            </w:tcBorders>
            <w:shd w:val="clear" w:color="auto" w:fill="auto"/>
            <w:vAlign w:val="center"/>
          </w:tcPr>
          <w:p w14:paraId="46D4C860">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手持式打磨机</w:t>
            </w:r>
          </w:p>
        </w:tc>
        <w:tc>
          <w:tcPr>
            <w:tcW w:w="1305" w:type="dxa"/>
            <w:tcBorders>
              <w:tl2br w:val="nil"/>
              <w:tr2bl w:val="nil"/>
            </w:tcBorders>
            <w:shd w:val="clear" w:color="auto" w:fill="auto"/>
            <w:vAlign w:val="center"/>
          </w:tcPr>
          <w:p w14:paraId="5A8C099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lang w:val="en-US" w:eastAsia="zh-CN" w:bidi="ar-SA"/>
              </w:rPr>
            </w:pPr>
            <w:r>
              <w:rPr>
                <w:rFonts w:hint="eastAsia" w:eastAsia="宋体" w:cs="Times New Roman"/>
                <w:color w:val="000000"/>
                <w:kern w:val="2"/>
                <w:sz w:val="21"/>
                <w:szCs w:val="21"/>
                <w:lang w:val="en-US" w:eastAsia="zh-CN" w:bidi="ar-SA"/>
              </w:rPr>
              <w:t>/</w:t>
            </w:r>
          </w:p>
        </w:tc>
        <w:tc>
          <w:tcPr>
            <w:tcW w:w="1350" w:type="dxa"/>
            <w:tcBorders>
              <w:tl2br w:val="nil"/>
              <w:tr2bl w:val="nil"/>
            </w:tcBorders>
            <w:shd w:val="clear" w:color="auto" w:fill="auto"/>
            <w:vAlign w:val="center"/>
          </w:tcPr>
          <w:p w14:paraId="2B024C9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3</w:t>
            </w:r>
          </w:p>
        </w:tc>
        <w:tc>
          <w:tcPr>
            <w:tcW w:w="1162" w:type="dxa"/>
            <w:tcBorders>
              <w:tl2br w:val="nil"/>
              <w:tr2bl w:val="nil"/>
            </w:tcBorders>
            <w:shd w:val="clear" w:color="auto" w:fill="auto"/>
            <w:vAlign w:val="center"/>
          </w:tcPr>
          <w:p w14:paraId="18D17E9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cs="Times New Roman"/>
                <w:b w:val="0"/>
                <w:bCs/>
                <w:color w:val="000000"/>
                <w:kern w:val="2"/>
                <w:sz w:val="21"/>
                <w:szCs w:val="21"/>
                <w:lang w:val="en-US" w:eastAsia="zh-CN" w:bidi="ar-SA"/>
              </w:rPr>
              <w:t>3</w:t>
            </w:r>
          </w:p>
        </w:tc>
        <w:tc>
          <w:tcPr>
            <w:tcW w:w="1393" w:type="dxa"/>
            <w:tcBorders>
              <w:tl2br w:val="nil"/>
              <w:tr2bl w:val="nil"/>
            </w:tcBorders>
            <w:shd w:val="clear" w:color="auto" w:fill="auto"/>
            <w:vAlign w:val="center"/>
          </w:tcPr>
          <w:p w14:paraId="153D297C">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760E5C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1CD4EAFC">
            <w:pPr>
              <w:pStyle w:val="250"/>
              <w:keepNext w:val="0"/>
              <w:keepLines w:val="0"/>
              <w:pageBreakBefore w:val="0"/>
              <w:kinsoku/>
              <w:wordWrap/>
              <w:overflowPunct/>
              <w:topLinePunct w:val="0"/>
              <w:autoSpaceDE/>
              <w:autoSpaceDN/>
              <w:bidi w:val="0"/>
              <w:spacing w:line="240" w:lineRule="auto"/>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17</w:t>
            </w:r>
          </w:p>
        </w:tc>
        <w:tc>
          <w:tcPr>
            <w:tcW w:w="1000" w:type="dxa"/>
            <w:vMerge w:val="continue"/>
            <w:tcBorders>
              <w:tl2br w:val="nil"/>
              <w:tr2bl w:val="nil"/>
            </w:tcBorders>
            <w:shd w:val="clear" w:color="auto" w:fill="auto"/>
            <w:vAlign w:val="center"/>
          </w:tcPr>
          <w:p w14:paraId="674A7045">
            <w:pPr>
              <w:keepNext w:val="0"/>
              <w:keepLines w:val="0"/>
              <w:pageBreakBefore w:val="0"/>
              <w:widowControl/>
              <w:kinsoku/>
              <w:wordWrap/>
              <w:overflowPunct/>
              <w:topLinePunct w:val="0"/>
              <w:autoSpaceDE/>
              <w:autoSpaceDN/>
              <w:bidi w:val="0"/>
              <w:jc w:val="center"/>
              <w:textAlignment w:val="auto"/>
              <w:rPr>
                <w:rFonts w:hint="default" w:eastAsia="宋体"/>
                <w:color w:val="000000" w:themeColor="text1"/>
                <w:kern w:val="0"/>
                <w:szCs w:val="21"/>
                <w:lang w:val="en-US" w:eastAsia="zh-CN"/>
                <w14:textFill>
                  <w14:solidFill>
                    <w14:schemeClr w14:val="tx1"/>
                  </w14:solidFill>
                </w14:textFill>
              </w:rPr>
            </w:pPr>
          </w:p>
        </w:tc>
        <w:tc>
          <w:tcPr>
            <w:tcW w:w="1988" w:type="dxa"/>
            <w:tcBorders>
              <w:tl2br w:val="nil"/>
              <w:tr2bl w:val="nil"/>
            </w:tcBorders>
            <w:shd w:val="clear" w:color="auto" w:fill="auto"/>
            <w:vAlign w:val="center"/>
          </w:tcPr>
          <w:p w14:paraId="60685A0F">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底漆房</w:t>
            </w:r>
          </w:p>
        </w:tc>
        <w:tc>
          <w:tcPr>
            <w:tcW w:w="1305" w:type="dxa"/>
            <w:tcBorders>
              <w:tl2br w:val="nil"/>
              <w:tr2bl w:val="nil"/>
            </w:tcBorders>
            <w:shd w:val="clear" w:color="auto" w:fill="auto"/>
            <w:vAlign w:val="center"/>
          </w:tcPr>
          <w:p w14:paraId="02785AB8">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5.9*9.8*3</w:t>
            </w:r>
          </w:p>
        </w:tc>
        <w:tc>
          <w:tcPr>
            <w:tcW w:w="1350" w:type="dxa"/>
            <w:tcBorders>
              <w:tl2br w:val="nil"/>
              <w:tr2bl w:val="nil"/>
            </w:tcBorders>
            <w:shd w:val="clear" w:color="auto" w:fill="auto"/>
            <w:vAlign w:val="center"/>
          </w:tcPr>
          <w:p w14:paraId="56035B1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1</w:t>
            </w:r>
          </w:p>
        </w:tc>
        <w:tc>
          <w:tcPr>
            <w:tcW w:w="1162" w:type="dxa"/>
            <w:tcBorders>
              <w:tl2br w:val="nil"/>
              <w:tr2bl w:val="nil"/>
            </w:tcBorders>
            <w:shd w:val="clear" w:color="auto" w:fill="auto"/>
            <w:vAlign w:val="center"/>
          </w:tcPr>
          <w:p w14:paraId="10700F5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1</w:t>
            </w:r>
          </w:p>
        </w:tc>
        <w:tc>
          <w:tcPr>
            <w:tcW w:w="1393" w:type="dxa"/>
            <w:tcBorders>
              <w:tl2br w:val="nil"/>
              <w:tr2bl w:val="nil"/>
            </w:tcBorders>
            <w:shd w:val="clear" w:color="auto" w:fill="auto"/>
            <w:vAlign w:val="center"/>
          </w:tcPr>
          <w:p w14:paraId="60AC9DCB">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652829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51B118D8">
            <w:pPr>
              <w:pStyle w:val="250"/>
              <w:keepNext w:val="0"/>
              <w:keepLines w:val="0"/>
              <w:pageBreakBefore w:val="0"/>
              <w:kinsoku/>
              <w:wordWrap/>
              <w:overflowPunct/>
              <w:topLinePunct w:val="0"/>
              <w:autoSpaceDE/>
              <w:autoSpaceDN/>
              <w:bidi w:val="0"/>
              <w:spacing w:line="240" w:lineRule="auto"/>
              <w:textAlignment w:val="auto"/>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18</w:t>
            </w:r>
          </w:p>
        </w:tc>
        <w:tc>
          <w:tcPr>
            <w:tcW w:w="1000" w:type="dxa"/>
            <w:vMerge w:val="continue"/>
            <w:tcBorders>
              <w:tl2br w:val="nil"/>
              <w:tr2bl w:val="nil"/>
            </w:tcBorders>
            <w:shd w:val="clear" w:color="auto" w:fill="auto"/>
            <w:vAlign w:val="center"/>
          </w:tcPr>
          <w:p w14:paraId="554CD11C">
            <w:pPr>
              <w:keepNext w:val="0"/>
              <w:keepLines w:val="0"/>
              <w:pageBreakBefore w:val="0"/>
              <w:widowControl/>
              <w:kinsoku/>
              <w:wordWrap/>
              <w:overflowPunct/>
              <w:topLinePunct w:val="0"/>
              <w:autoSpaceDE/>
              <w:autoSpaceDN/>
              <w:bidi w:val="0"/>
              <w:jc w:val="center"/>
              <w:textAlignment w:val="auto"/>
              <w:rPr>
                <w:rFonts w:hint="eastAsia"/>
                <w:color w:val="000000" w:themeColor="text1"/>
                <w:kern w:val="0"/>
                <w:szCs w:val="21"/>
                <w14:textFill>
                  <w14:solidFill>
                    <w14:schemeClr w14:val="tx1"/>
                  </w14:solidFill>
                </w14:textFill>
              </w:rPr>
            </w:pPr>
          </w:p>
        </w:tc>
        <w:tc>
          <w:tcPr>
            <w:tcW w:w="1988" w:type="dxa"/>
            <w:tcBorders>
              <w:tl2br w:val="nil"/>
              <w:tr2bl w:val="nil"/>
            </w:tcBorders>
            <w:shd w:val="clear" w:color="auto" w:fill="auto"/>
            <w:vAlign w:val="center"/>
          </w:tcPr>
          <w:p w14:paraId="5D364C74">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面漆房</w:t>
            </w:r>
          </w:p>
        </w:tc>
        <w:tc>
          <w:tcPr>
            <w:tcW w:w="1305" w:type="dxa"/>
            <w:tcBorders>
              <w:tl2br w:val="nil"/>
              <w:tr2bl w:val="nil"/>
            </w:tcBorders>
            <w:shd w:val="clear" w:color="auto" w:fill="auto"/>
            <w:vAlign w:val="center"/>
          </w:tcPr>
          <w:p w14:paraId="496FD0E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5.9*9.8*3</w:t>
            </w:r>
          </w:p>
        </w:tc>
        <w:tc>
          <w:tcPr>
            <w:tcW w:w="1350" w:type="dxa"/>
            <w:tcBorders>
              <w:tl2br w:val="nil"/>
              <w:tr2bl w:val="nil"/>
            </w:tcBorders>
            <w:shd w:val="clear" w:color="auto" w:fill="auto"/>
            <w:vAlign w:val="center"/>
          </w:tcPr>
          <w:p w14:paraId="66961D8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1</w:t>
            </w:r>
          </w:p>
        </w:tc>
        <w:tc>
          <w:tcPr>
            <w:tcW w:w="1162" w:type="dxa"/>
            <w:tcBorders>
              <w:tl2br w:val="nil"/>
              <w:tr2bl w:val="nil"/>
            </w:tcBorders>
            <w:shd w:val="clear" w:color="auto" w:fill="auto"/>
            <w:vAlign w:val="center"/>
          </w:tcPr>
          <w:p w14:paraId="10FD08A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1</w:t>
            </w:r>
          </w:p>
        </w:tc>
        <w:tc>
          <w:tcPr>
            <w:tcW w:w="1393" w:type="dxa"/>
            <w:tcBorders>
              <w:tl2br w:val="nil"/>
              <w:tr2bl w:val="nil"/>
            </w:tcBorders>
            <w:shd w:val="clear" w:color="auto" w:fill="auto"/>
            <w:vAlign w:val="center"/>
          </w:tcPr>
          <w:p w14:paraId="3FEFCE94">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1F12F0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660F88D6">
            <w:pPr>
              <w:pStyle w:val="250"/>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19</w:t>
            </w:r>
          </w:p>
        </w:tc>
        <w:tc>
          <w:tcPr>
            <w:tcW w:w="1000" w:type="dxa"/>
            <w:vMerge w:val="continue"/>
            <w:tcBorders>
              <w:tl2br w:val="nil"/>
              <w:tr2bl w:val="nil"/>
            </w:tcBorders>
            <w:shd w:val="clear" w:color="auto" w:fill="auto"/>
            <w:vAlign w:val="center"/>
          </w:tcPr>
          <w:p w14:paraId="4890F87B">
            <w:pPr>
              <w:keepNext w:val="0"/>
              <w:keepLines w:val="0"/>
              <w:pageBreakBefore w:val="0"/>
              <w:widowControl/>
              <w:kinsoku/>
              <w:wordWrap/>
              <w:overflowPunct/>
              <w:topLinePunct w:val="0"/>
              <w:autoSpaceDE/>
              <w:autoSpaceDN/>
              <w:bidi w:val="0"/>
              <w:jc w:val="center"/>
              <w:textAlignment w:val="auto"/>
              <w:rPr>
                <w:rFonts w:hint="eastAsia"/>
                <w:color w:val="000000" w:themeColor="text1"/>
                <w:kern w:val="0"/>
                <w:szCs w:val="21"/>
                <w14:textFill>
                  <w14:solidFill>
                    <w14:schemeClr w14:val="tx1"/>
                  </w14:solidFill>
                </w14:textFill>
              </w:rPr>
            </w:pPr>
          </w:p>
        </w:tc>
        <w:tc>
          <w:tcPr>
            <w:tcW w:w="1988" w:type="dxa"/>
            <w:tcBorders>
              <w:tl2br w:val="nil"/>
              <w:tr2bl w:val="nil"/>
            </w:tcBorders>
            <w:shd w:val="clear" w:color="auto" w:fill="auto"/>
            <w:vAlign w:val="center"/>
          </w:tcPr>
          <w:p w14:paraId="0D8F0AD8">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晾干房</w:t>
            </w:r>
          </w:p>
        </w:tc>
        <w:tc>
          <w:tcPr>
            <w:tcW w:w="1305" w:type="dxa"/>
            <w:tcBorders>
              <w:tl2br w:val="nil"/>
              <w:tr2bl w:val="nil"/>
            </w:tcBorders>
            <w:shd w:val="clear" w:color="auto" w:fill="auto"/>
            <w:vAlign w:val="center"/>
          </w:tcPr>
          <w:p w14:paraId="3EA424C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8.3*11.9*3</w:t>
            </w:r>
          </w:p>
        </w:tc>
        <w:tc>
          <w:tcPr>
            <w:tcW w:w="1350" w:type="dxa"/>
            <w:tcBorders>
              <w:tl2br w:val="nil"/>
              <w:tr2bl w:val="nil"/>
            </w:tcBorders>
            <w:shd w:val="clear" w:color="auto" w:fill="auto"/>
            <w:vAlign w:val="center"/>
          </w:tcPr>
          <w:p w14:paraId="5E21F95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1</w:t>
            </w:r>
          </w:p>
        </w:tc>
        <w:tc>
          <w:tcPr>
            <w:tcW w:w="1162" w:type="dxa"/>
            <w:tcBorders>
              <w:tl2br w:val="nil"/>
              <w:tr2bl w:val="nil"/>
            </w:tcBorders>
            <w:shd w:val="clear" w:color="auto" w:fill="auto"/>
            <w:vAlign w:val="center"/>
          </w:tcPr>
          <w:p w14:paraId="222677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1</w:t>
            </w:r>
          </w:p>
        </w:tc>
        <w:tc>
          <w:tcPr>
            <w:tcW w:w="1393" w:type="dxa"/>
            <w:tcBorders>
              <w:tl2br w:val="nil"/>
              <w:tr2bl w:val="nil"/>
            </w:tcBorders>
            <w:shd w:val="clear" w:color="auto" w:fill="auto"/>
            <w:vAlign w:val="center"/>
          </w:tcPr>
          <w:p w14:paraId="4E8866AF">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02916D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41CCFF84">
            <w:pPr>
              <w:pStyle w:val="250"/>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21</w:t>
            </w:r>
          </w:p>
        </w:tc>
        <w:tc>
          <w:tcPr>
            <w:tcW w:w="1000" w:type="dxa"/>
            <w:vMerge w:val="continue"/>
            <w:tcBorders>
              <w:tl2br w:val="nil"/>
              <w:tr2bl w:val="nil"/>
            </w:tcBorders>
            <w:shd w:val="clear" w:color="auto" w:fill="auto"/>
            <w:vAlign w:val="center"/>
          </w:tcPr>
          <w:p w14:paraId="39208BCA">
            <w:pPr>
              <w:keepNext w:val="0"/>
              <w:keepLines w:val="0"/>
              <w:pageBreakBefore w:val="0"/>
              <w:widowControl/>
              <w:kinsoku/>
              <w:wordWrap/>
              <w:overflowPunct/>
              <w:topLinePunct w:val="0"/>
              <w:autoSpaceDE/>
              <w:autoSpaceDN/>
              <w:bidi w:val="0"/>
              <w:jc w:val="center"/>
              <w:textAlignment w:val="auto"/>
              <w:rPr>
                <w:rFonts w:hint="eastAsia"/>
                <w:color w:val="000000" w:themeColor="text1"/>
                <w:kern w:val="0"/>
                <w:szCs w:val="21"/>
                <w14:textFill>
                  <w14:solidFill>
                    <w14:schemeClr w14:val="tx1"/>
                  </w14:solidFill>
                </w14:textFill>
              </w:rPr>
            </w:pPr>
          </w:p>
        </w:tc>
        <w:tc>
          <w:tcPr>
            <w:tcW w:w="1988" w:type="dxa"/>
            <w:tcBorders>
              <w:tl2br w:val="nil"/>
              <w:tr2bl w:val="nil"/>
            </w:tcBorders>
            <w:shd w:val="clear" w:color="auto" w:fill="auto"/>
            <w:vAlign w:val="center"/>
          </w:tcPr>
          <w:p w14:paraId="4344AA62">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喷枪</w:t>
            </w:r>
          </w:p>
        </w:tc>
        <w:tc>
          <w:tcPr>
            <w:tcW w:w="1305" w:type="dxa"/>
            <w:tcBorders>
              <w:tl2br w:val="nil"/>
              <w:tr2bl w:val="nil"/>
            </w:tcBorders>
            <w:shd w:val="clear" w:color="auto" w:fill="auto"/>
            <w:vAlign w:val="center"/>
          </w:tcPr>
          <w:p w14:paraId="7477A6C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1.5mm</w:t>
            </w:r>
          </w:p>
        </w:tc>
        <w:tc>
          <w:tcPr>
            <w:tcW w:w="1350" w:type="dxa"/>
            <w:tcBorders>
              <w:tl2br w:val="nil"/>
              <w:tr2bl w:val="nil"/>
            </w:tcBorders>
            <w:shd w:val="clear" w:color="auto" w:fill="auto"/>
            <w:vAlign w:val="center"/>
          </w:tcPr>
          <w:p w14:paraId="2BAE028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4</w:t>
            </w:r>
          </w:p>
        </w:tc>
        <w:tc>
          <w:tcPr>
            <w:tcW w:w="1162" w:type="dxa"/>
            <w:tcBorders>
              <w:tl2br w:val="nil"/>
              <w:tr2bl w:val="nil"/>
            </w:tcBorders>
            <w:shd w:val="clear" w:color="auto" w:fill="auto"/>
            <w:vAlign w:val="center"/>
          </w:tcPr>
          <w:p w14:paraId="1F5E417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4</w:t>
            </w:r>
          </w:p>
        </w:tc>
        <w:tc>
          <w:tcPr>
            <w:tcW w:w="1393" w:type="dxa"/>
            <w:tcBorders>
              <w:tl2br w:val="nil"/>
              <w:tr2bl w:val="nil"/>
            </w:tcBorders>
            <w:shd w:val="clear" w:color="auto" w:fill="auto"/>
            <w:vAlign w:val="center"/>
          </w:tcPr>
          <w:p w14:paraId="56EA2B06">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033D39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473B47C4">
            <w:pPr>
              <w:pStyle w:val="250"/>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22</w:t>
            </w:r>
          </w:p>
        </w:tc>
        <w:tc>
          <w:tcPr>
            <w:tcW w:w="1000" w:type="dxa"/>
            <w:vMerge w:val="continue"/>
            <w:tcBorders>
              <w:tl2br w:val="nil"/>
              <w:tr2bl w:val="nil"/>
            </w:tcBorders>
            <w:shd w:val="clear" w:color="auto" w:fill="auto"/>
            <w:vAlign w:val="center"/>
          </w:tcPr>
          <w:p w14:paraId="5099AE0B">
            <w:pPr>
              <w:keepNext w:val="0"/>
              <w:keepLines w:val="0"/>
              <w:pageBreakBefore w:val="0"/>
              <w:widowControl/>
              <w:kinsoku/>
              <w:wordWrap/>
              <w:overflowPunct/>
              <w:topLinePunct w:val="0"/>
              <w:autoSpaceDE/>
              <w:autoSpaceDN/>
              <w:bidi w:val="0"/>
              <w:jc w:val="center"/>
              <w:textAlignment w:val="auto"/>
              <w:rPr>
                <w:rFonts w:hint="eastAsia"/>
                <w:color w:val="000000" w:themeColor="text1"/>
                <w:kern w:val="0"/>
                <w:szCs w:val="21"/>
                <w14:textFill>
                  <w14:solidFill>
                    <w14:schemeClr w14:val="tx1"/>
                  </w14:solidFill>
                </w14:textFill>
              </w:rPr>
            </w:pPr>
          </w:p>
        </w:tc>
        <w:tc>
          <w:tcPr>
            <w:tcW w:w="1988" w:type="dxa"/>
            <w:tcBorders>
              <w:tl2br w:val="nil"/>
              <w:tr2bl w:val="nil"/>
            </w:tcBorders>
            <w:shd w:val="clear" w:color="auto" w:fill="auto"/>
            <w:vAlign w:val="center"/>
          </w:tcPr>
          <w:p w14:paraId="7548CEBE">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空压机</w:t>
            </w:r>
          </w:p>
        </w:tc>
        <w:tc>
          <w:tcPr>
            <w:tcW w:w="1305" w:type="dxa"/>
            <w:tcBorders>
              <w:tl2br w:val="nil"/>
              <w:tr2bl w:val="nil"/>
            </w:tcBorders>
            <w:shd w:val="clear" w:color="auto" w:fill="auto"/>
            <w:vAlign w:val="center"/>
          </w:tcPr>
          <w:p w14:paraId="3F190B8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w:t>
            </w:r>
          </w:p>
        </w:tc>
        <w:tc>
          <w:tcPr>
            <w:tcW w:w="1350" w:type="dxa"/>
            <w:tcBorders>
              <w:tl2br w:val="nil"/>
              <w:tr2bl w:val="nil"/>
            </w:tcBorders>
            <w:shd w:val="clear" w:color="auto" w:fill="auto"/>
            <w:vAlign w:val="center"/>
          </w:tcPr>
          <w:p w14:paraId="5E069DD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1</w:t>
            </w:r>
          </w:p>
        </w:tc>
        <w:tc>
          <w:tcPr>
            <w:tcW w:w="1162" w:type="dxa"/>
            <w:tcBorders>
              <w:tl2br w:val="nil"/>
              <w:tr2bl w:val="nil"/>
            </w:tcBorders>
            <w:shd w:val="clear" w:color="auto" w:fill="auto"/>
            <w:vAlign w:val="center"/>
          </w:tcPr>
          <w:p w14:paraId="65E8018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1</w:t>
            </w:r>
          </w:p>
        </w:tc>
        <w:tc>
          <w:tcPr>
            <w:tcW w:w="1393" w:type="dxa"/>
            <w:tcBorders>
              <w:tl2br w:val="nil"/>
              <w:tr2bl w:val="nil"/>
            </w:tcBorders>
            <w:shd w:val="clear" w:color="auto" w:fill="auto"/>
            <w:vAlign w:val="center"/>
          </w:tcPr>
          <w:p w14:paraId="115E785D">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r w14:paraId="7D92DC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89" w:type="dxa"/>
            <w:tcBorders>
              <w:tl2br w:val="nil"/>
              <w:tr2bl w:val="nil"/>
            </w:tcBorders>
            <w:shd w:val="clear" w:color="auto" w:fill="auto"/>
            <w:vAlign w:val="center"/>
          </w:tcPr>
          <w:p w14:paraId="2770AB51">
            <w:pPr>
              <w:pStyle w:val="250"/>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kern w:val="2"/>
                <w:sz w:val="21"/>
                <w:szCs w:val="21"/>
                <w:lang w:val="en-US" w:eastAsia="zh-CN" w:bidi="ar-SA"/>
                <w14:textFill>
                  <w14:solidFill>
                    <w14:schemeClr w14:val="tx1"/>
                  </w14:solidFill>
                </w14:textFill>
              </w:rPr>
              <w:t>23</w:t>
            </w:r>
          </w:p>
        </w:tc>
        <w:tc>
          <w:tcPr>
            <w:tcW w:w="1000" w:type="dxa"/>
            <w:vMerge w:val="continue"/>
            <w:tcBorders>
              <w:tl2br w:val="nil"/>
              <w:tr2bl w:val="nil"/>
            </w:tcBorders>
            <w:shd w:val="clear" w:color="auto" w:fill="auto"/>
            <w:vAlign w:val="center"/>
          </w:tcPr>
          <w:p w14:paraId="57A9E029">
            <w:pPr>
              <w:keepNext w:val="0"/>
              <w:keepLines w:val="0"/>
              <w:pageBreakBefore w:val="0"/>
              <w:widowControl/>
              <w:kinsoku/>
              <w:wordWrap/>
              <w:overflowPunct/>
              <w:topLinePunct w:val="0"/>
              <w:autoSpaceDE/>
              <w:autoSpaceDN/>
              <w:bidi w:val="0"/>
              <w:jc w:val="center"/>
              <w:textAlignment w:val="auto"/>
              <w:rPr>
                <w:rFonts w:hint="eastAsia"/>
                <w:color w:val="000000" w:themeColor="text1"/>
                <w:kern w:val="0"/>
                <w:szCs w:val="21"/>
                <w14:textFill>
                  <w14:solidFill>
                    <w14:schemeClr w14:val="tx1"/>
                  </w14:solidFill>
                </w14:textFill>
              </w:rPr>
            </w:pPr>
          </w:p>
        </w:tc>
        <w:tc>
          <w:tcPr>
            <w:tcW w:w="1988" w:type="dxa"/>
            <w:tcBorders>
              <w:tl2br w:val="nil"/>
              <w:tr2bl w:val="nil"/>
            </w:tcBorders>
            <w:shd w:val="clear" w:color="auto" w:fill="auto"/>
            <w:vAlign w:val="center"/>
          </w:tcPr>
          <w:p w14:paraId="3DCCEB6F">
            <w:pPr>
              <w:keepNext w:val="0"/>
              <w:keepLines w:val="0"/>
              <w:pageBreakBefore w:val="0"/>
              <w:kinsoku/>
              <w:wordWrap/>
              <w:overflowPunct/>
              <w:topLinePunct w:val="0"/>
              <w:autoSpaceDE/>
              <w:autoSpaceDN/>
              <w:bidi w:val="0"/>
              <w:spacing w:line="240" w:lineRule="auto"/>
              <w:jc w:val="center"/>
              <w:textAlignment w:val="auto"/>
              <w:rPr>
                <w:rFonts w:hint="eastAsia" w:cs="Times New Roman"/>
                <w:color w:val="000000"/>
                <w:kern w:val="2"/>
                <w:sz w:val="21"/>
                <w:szCs w:val="21"/>
                <w:lang w:val="en-US" w:eastAsia="zh-CN" w:bidi="ar-SA"/>
              </w:rPr>
            </w:pPr>
            <w:r>
              <w:rPr>
                <w:rFonts w:hint="eastAsia" w:cs="Times New Roman"/>
                <w:color w:val="000000"/>
                <w:kern w:val="2"/>
                <w:sz w:val="21"/>
                <w:szCs w:val="21"/>
                <w:lang w:val="en-US" w:eastAsia="zh-CN" w:bidi="ar-SA"/>
              </w:rPr>
              <w:t>风机</w:t>
            </w:r>
          </w:p>
        </w:tc>
        <w:tc>
          <w:tcPr>
            <w:tcW w:w="1305" w:type="dxa"/>
            <w:tcBorders>
              <w:tl2br w:val="nil"/>
              <w:tr2bl w:val="nil"/>
            </w:tcBorders>
            <w:shd w:val="clear" w:color="auto" w:fill="auto"/>
            <w:vAlign w:val="center"/>
          </w:tcPr>
          <w:p w14:paraId="17BD2F1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eastAsia" w:eastAsia="宋体" w:cs="Times New Roman"/>
                <w:color w:val="000000"/>
                <w:kern w:val="2"/>
                <w:sz w:val="21"/>
                <w:szCs w:val="21"/>
                <w:highlight w:val="none"/>
                <w:lang w:val="en-US" w:eastAsia="zh-CN" w:bidi="ar-SA"/>
              </w:rPr>
              <w:t>MB303L</w:t>
            </w:r>
          </w:p>
        </w:tc>
        <w:tc>
          <w:tcPr>
            <w:tcW w:w="1350" w:type="dxa"/>
            <w:tcBorders>
              <w:tl2br w:val="nil"/>
              <w:tr2bl w:val="nil"/>
            </w:tcBorders>
            <w:shd w:val="clear" w:color="auto" w:fill="auto"/>
            <w:vAlign w:val="center"/>
          </w:tcPr>
          <w:p w14:paraId="61B7188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4</w:t>
            </w:r>
          </w:p>
        </w:tc>
        <w:tc>
          <w:tcPr>
            <w:tcW w:w="1162" w:type="dxa"/>
            <w:tcBorders>
              <w:tl2br w:val="nil"/>
              <w:tr2bl w:val="nil"/>
            </w:tcBorders>
            <w:shd w:val="clear" w:color="auto" w:fill="auto"/>
            <w:vAlign w:val="center"/>
          </w:tcPr>
          <w:p w14:paraId="5F4B077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cs="Times New Roman"/>
                <w:b w:val="0"/>
                <w:bCs/>
                <w:color w:val="000000"/>
                <w:kern w:val="2"/>
                <w:sz w:val="21"/>
                <w:szCs w:val="21"/>
                <w:highlight w:val="none"/>
                <w:lang w:val="en-US" w:eastAsia="zh-CN" w:bidi="ar-SA"/>
              </w:rPr>
              <w:t>4</w:t>
            </w:r>
          </w:p>
        </w:tc>
        <w:tc>
          <w:tcPr>
            <w:tcW w:w="1393" w:type="dxa"/>
            <w:tcBorders>
              <w:tl2br w:val="nil"/>
              <w:tr2bl w:val="nil"/>
            </w:tcBorders>
            <w:shd w:val="clear" w:color="auto" w:fill="auto"/>
            <w:vAlign w:val="center"/>
          </w:tcPr>
          <w:p w14:paraId="40E46FEA">
            <w:pPr>
              <w:keepNext w:val="0"/>
              <w:keepLines w:val="0"/>
              <w:pageBreakBefore w:val="0"/>
              <w:kinsoku/>
              <w:wordWrap/>
              <w:overflowPunct/>
              <w:topLinePunct w:val="0"/>
              <w:autoSpaceDE/>
              <w:autoSpaceDN/>
              <w:bidi w:val="0"/>
              <w:spacing w:line="240" w:lineRule="auto"/>
              <w:jc w:val="center"/>
              <w:textAlignment w:val="auto"/>
              <w:rPr>
                <w:rFonts w:hint="default" w:cs="Times New Roman"/>
                <w:color w:val="000000"/>
                <w:kern w:val="2"/>
                <w:sz w:val="21"/>
                <w:szCs w:val="21"/>
                <w:lang w:val="en-US" w:eastAsia="zh-CN" w:bidi="ar-SA"/>
              </w:rPr>
            </w:pPr>
            <w:r>
              <w:rPr>
                <w:rFonts w:hint="eastAsia" w:cs="Times New Roman"/>
                <w:color w:val="000000"/>
                <w:kern w:val="2"/>
                <w:sz w:val="21"/>
                <w:szCs w:val="21"/>
                <w:lang w:val="en-US" w:eastAsia="zh-CN" w:bidi="ar-SA"/>
              </w:rPr>
              <w:t>与环评一致</w:t>
            </w:r>
          </w:p>
        </w:tc>
      </w:tr>
    </w:tbl>
    <w:p w14:paraId="5AD90B8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14:paraId="3FD65378">
      <w:pPr>
        <w:pStyle w:val="249"/>
        <w:bidi w:val="0"/>
        <w:outlineLvl w:val="2"/>
        <w:rPr>
          <w:rFonts w:hint="default"/>
        </w:rPr>
      </w:pPr>
      <w:bookmarkStart w:id="94" w:name="_Toc20839"/>
      <w:bookmarkStart w:id="95" w:name="_Toc6678"/>
      <w:bookmarkStart w:id="96" w:name="_Toc11399"/>
      <w:r>
        <w:rPr>
          <w:rFonts w:hint="eastAsia"/>
        </w:rPr>
        <w:t>3.</w:t>
      </w:r>
      <w:r>
        <w:rPr>
          <w:rFonts w:hint="eastAsia"/>
          <w:lang w:val="en-US" w:eastAsia="zh-CN"/>
        </w:rPr>
        <w:t>5.3</w:t>
      </w:r>
      <w:r>
        <w:rPr>
          <w:rFonts w:hint="eastAsia" w:ascii="宋体" w:hAnsi="宋体" w:eastAsia="宋体" w:cs="宋体"/>
        </w:rPr>
        <w:t>生产工艺过程含有风险工艺和设备情况</w:t>
      </w:r>
      <w:bookmarkEnd w:id="94"/>
      <w:bookmarkEnd w:id="95"/>
    </w:p>
    <w:p w14:paraId="7D23E6B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Theme="minorEastAsia"/>
          <w:color w:val="000000" w:themeColor="text1"/>
          <w14:textFill>
            <w14:solidFill>
              <w14:schemeClr w14:val="tx1"/>
            </w14:solidFill>
          </w14:textFill>
        </w:rPr>
      </w:pPr>
      <w:r>
        <w:rPr>
          <w:rFonts w:hint="default" w:ascii="Times New Roman" w:hAnsi="Times New Roman" w:eastAsia="宋体" w:cs="Times New Roman"/>
        </w:rPr>
        <w:t>对照《企业突发环境事件风险分级方法（发布稿）》中6.</w:t>
      </w:r>
      <w:r>
        <w:rPr>
          <w:rFonts w:hint="eastAsia" w:eastAsia="宋体" w:cs="Times New Roman"/>
          <w:lang w:eastAsia="zh-CN"/>
        </w:rPr>
        <w:t>2</w:t>
      </w:r>
      <w:r>
        <w:rPr>
          <w:rFonts w:hint="default" w:ascii="Times New Roman" w:hAnsi="Times New Roman" w:eastAsia="宋体" w:cs="Times New Roman"/>
        </w:rPr>
        <w:t>表1评估企业生产工艺情况。具有多套工艺单元的企业，对每套生产工艺分别评分并求和。企业生产工艺最高分值为30分，超过30分则按最高分计。</w:t>
      </w:r>
      <w:r>
        <w:rPr>
          <w:rFonts w:hint="default" w:ascii="Times New Roman" w:hAnsi="Times New Roman" w:cs="Times New Roman" w:eastAsiaTheme="minorEastAsia"/>
          <w:color w:val="000000" w:themeColor="text1"/>
          <w14:textFill>
            <w14:solidFill>
              <w14:schemeClr w14:val="tx1"/>
            </w14:solidFill>
          </w14:textFill>
        </w:rPr>
        <w:t>根据表</w:t>
      </w:r>
      <w:r>
        <w:rPr>
          <w:rFonts w:hint="eastAsia" w:cs="Times New Roman" w:eastAsiaTheme="minorEastAsia"/>
          <w:color w:val="000000" w:themeColor="text1"/>
          <w:lang w:val="en-US" w:eastAsia="zh-CN"/>
          <w14:textFill>
            <w14:solidFill>
              <w14:schemeClr w14:val="tx1"/>
            </w14:solidFill>
          </w14:textFill>
        </w:rPr>
        <w:t>3-13</w:t>
      </w:r>
      <w:r>
        <w:rPr>
          <w:rFonts w:hint="default" w:ascii="Times New Roman" w:hAnsi="Times New Roman" w:cs="Times New Roman" w:eastAsiaTheme="minorEastAsia"/>
          <w:color w:val="000000" w:themeColor="text1"/>
          <w14:textFill>
            <w14:solidFill>
              <w14:schemeClr w14:val="tx1"/>
            </w14:solidFill>
          </w14:textFill>
        </w:rPr>
        <w:t>，可知生产工艺分值为</w:t>
      </w:r>
      <w:r>
        <w:rPr>
          <w:rFonts w:hint="eastAsia" w:cs="Times New Roman" w:eastAsiaTheme="minorEastAsia"/>
          <w:color w:val="000000" w:themeColor="text1"/>
          <w:lang w:val="en-US" w:eastAsia="zh-CN"/>
          <w14:textFill>
            <w14:solidFill>
              <w14:schemeClr w14:val="tx1"/>
            </w14:solidFill>
          </w14:textFill>
        </w:rPr>
        <w:t>5</w:t>
      </w:r>
      <w:r>
        <w:rPr>
          <w:rFonts w:hint="default" w:ascii="Times New Roman" w:hAnsi="Times New Roman" w:cs="Times New Roman" w:eastAsiaTheme="minorEastAsia"/>
          <w:color w:val="000000" w:themeColor="text1"/>
          <w14:textFill>
            <w14:solidFill>
              <w14:schemeClr w14:val="tx1"/>
            </w14:solidFill>
          </w14:textFill>
        </w:rPr>
        <w:t>分。</w:t>
      </w:r>
    </w:p>
    <w:p w14:paraId="6D7F7EA5">
      <w:pPr>
        <w:pStyle w:val="252"/>
        <w:adjustRightInd w:val="0"/>
        <w:snapToGrid w:val="0"/>
        <w:ind w:firstLine="171" w:firstLineChars="71"/>
        <w:jc w:val="center"/>
        <w:rPr>
          <w:rFonts w:eastAsia="宋体"/>
          <w:b/>
          <w:sz w:val="24"/>
          <w:szCs w:val="24"/>
        </w:rPr>
      </w:pPr>
      <w:r>
        <w:rPr>
          <w:rFonts w:eastAsia="宋体"/>
          <w:b/>
          <w:sz w:val="24"/>
          <w:szCs w:val="24"/>
        </w:rPr>
        <w:t>表</w:t>
      </w:r>
      <w:r>
        <w:rPr>
          <w:rFonts w:hint="eastAsia" w:eastAsia="宋体"/>
          <w:b/>
          <w:sz w:val="24"/>
          <w:szCs w:val="24"/>
          <w:lang w:val="en-US" w:eastAsia="zh-CN"/>
        </w:rPr>
        <w:t>3-14</w:t>
      </w:r>
      <w:r>
        <w:rPr>
          <w:rFonts w:eastAsia="宋体"/>
          <w:b/>
          <w:sz w:val="24"/>
          <w:szCs w:val="24"/>
        </w:rPr>
        <w:t>企业生产工艺</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69"/>
        <w:gridCol w:w="867"/>
        <w:gridCol w:w="1864"/>
        <w:gridCol w:w="986"/>
      </w:tblGrid>
      <w:tr w14:paraId="44211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82" w:type="pct"/>
            <w:gridSpan w:val="2"/>
            <w:vAlign w:val="center"/>
          </w:tcPr>
          <w:p w14:paraId="1459539E">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企业突发环境事件风险评估指南</w:t>
            </w:r>
          </w:p>
        </w:tc>
        <w:tc>
          <w:tcPr>
            <w:tcW w:w="1518" w:type="pct"/>
            <w:gridSpan w:val="2"/>
            <w:vAlign w:val="center"/>
          </w:tcPr>
          <w:p w14:paraId="7A579CA3">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14:paraId="22E049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435C046A">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462" w:type="pct"/>
            <w:vAlign w:val="center"/>
          </w:tcPr>
          <w:p w14:paraId="361CAD10">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993" w:type="pct"/>
            <w:vAlign w:val="center"/>
          </w:tcPr>
          <w:p w14:paraId="1379C7F2">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525" w:type="pct"/>
            <w:vAlign w:val="center"/>
          </w:tcPr>
          <w:p w14:paraId="08EBC761">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14:paraId="58D29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670CD598">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462" w:type="pct"/>
            <w:vAlign w:val="center"/>
          </w:tcPr>
          <w:p w14:paraId="3634413D">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10/每套</w:t>
            </w:r>
          </w:p>
        </w:tc>
        <w:tc>
          <w:tcPr>
            <w:tcW w:w="993" w:type="pct"/>
            <w:vAlign w:val="center"/>
          </w:tcPr>
          <w:p w14:paraId="0FFC0FF8">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4C61CB82">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49635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1DB7C4AA">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其他高温或高压、涉及易燃易爆等物质的工艺过程</w:t>
            </w:r>
            <w:r>
              <w:rPr>
                <w:rFonts w:eastAsiaTheme="minorEastAsia"/>
                <w:color w:val="000000" w:themeColor="text1"/>
                <w:sz w:val="21"/>
                <w:szCs w:val="21"/>
                <w:vertAlign w:val="superscript"/>
                <w14:textFill>
                  <w14:solidFill>
                    <w14:schemeClr w14:val="tx1"/>
                  </w14:solidFill>
                </w14:textFill>
              </w:rPr>
              <w:t>1</w:t>
            </w:r>
          </w:p>
        </w:tc>
        <w:tc>
          <w:tcPr>
            <w:tcW w:w="462" w:type="pct"/>
            <w:vAlign w:val="center"/>
          </w:tcPr>
          <w:p w14:paraId="03E569C1">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57D854D6">
            <w:pPr>
              <w:pStyle w:val="4"/>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企业工艺过程使用水性漆等</w:t>
            </w:r>
          </w:p>
        </w:tc>
        <w:tc>
          <w:tcPr>
            <w:tcW w:w="525" w:type="pct"/>
            <w:vAlign w:val="center"/>
          </w:tcPr>
          <w:p w14:paraId="231F57A5">
            <w:pPr>
              <w:pStyle w:val="4"/>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5</w:t>
            </w:r>
          </w:p>
        </w:tc>
      </w:tr>
      <w:tr w14:paraId="76956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6F627704">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具有国家规定限期淘汰的工艺名录和设备</w:t>
            </w:r>
            <w:r>
              <w:rPr>
                <w:rFonts w:eastAsiaTheme="minorEastAsia"/>
                <w:color w:val="000000" w:themeColor="text1"/>
                <w:sz w:val="21"/>
                <w:szCs w:val="21"/>
                <w:vertAlign w:val="superscript"/>
                <w14:textFill>
                  <w14:solidFill>
                    <w14:schemeClr w14:val="tx1"/>
                  </w14:solidFill>
                </w14:textFill>
              </w:rPr>
              <w:t>2</w:t>
            </w:r>
          </w:p>
        </w:tc>
        <w:tc>
          <w:tcPr>
            <w:tcW w:w="462" w:type="pct"/>
            <w:vAlign w:val="center"/>
          </w:tcPr>
          <w:p w14:paraId="09018ED7">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2F3CF5A2">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6B20DF28">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13622F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238ED463">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不涉及以上危险工艺过程或国家规定的禁用工艺/设备</w:t>
            </w:r>
          </w:p>
        </w:tc>
        <w:tc>
          <w:tcPr>
            <w:tcW w:w="462" w:type="pct"/>
            <w:vAlign w:val="center"/>
          </w:tcPr>
          <w:p w14:paraId="6BBF0ECE">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993" w:type="pct"/>
            <w:vAlign w:val="center"/>
          </w:tcPr>
          <w:p w14:paraId="27D2B10E">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2371D5EF">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71E8E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31F8F495">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62" w:type="pct"/>
            <w:vAlign w:val="center"/>
          </w:tcPr>
          <w:p w14:paraId="33016BE9">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993" w:type="pct"/>
            <w:vAlign w:val="center"/>
          </w:tcPr>
          <w:p w14:paraId="3D4EEA9B">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525" w:type="pct"/>
            <w:vAlign w:val="center"/>
          </w:tcPr>
          <w:p w14:paraId="3B8FFFC8">
            <w:pPr>
              <w:pStyle w:val="4"/>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5</w:t>
            </w:r>
          </w:p>
        </w:tc>
      </w:tr>
    </w:tbl>
    <w:p w14:paraId="0739C7FD">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textAlignment w:val="auto"/>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，高压指压力容器的设计压力（p）≥10.0MPa，易燃易爆等物质是指按照《化学品分类、警示标签和警示性说明安全规范》所确定的化学物质；</w:t>
      </w:r>
    </w:p>
    <w:p w14:paraId="02574E5D">
      <w:pPr>
        <w:keepNext w:val="0"/>
        <w:keepLines w:val="0"/>
        <w:pageBreakBefore w:val="0"/>
        <w:widowControl w:val="0"/>
        <w:kinsoku/>
        <w:wordWrap/>
        <w:overflowPunct/>
        <w:topLinePunct w:val="0"/>
        <w:autoSpaceDE/>
        <w:autoSpaceDN/>
        <w:bidi w:val="0"/>
        <w:adjustRightInd w:val="0"/>
        <w:spacing w:line="240" w:lineRule="auto"/>
        <w:ind w:firstLine="360" w:firstLineChars="200"/>
        <w:jc w:val="left"/>
        <w:textAlignment w:val="auto"/>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14:paraId="5840825E">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97" w:name="_Toc28286"/>
      <w:bookmarkStart w:id="98" w:name="_Toc10361"/>
      <w:r>
        <w:rPr>
          <w:rFonts w:hint="default" w:ascii="Times New Roman" w:hAnsi="Times New Roman" w:eastAsia="宋体" w:cs="Times New Roman"/>
          <w:szCs w:val="24"/>
        </w:rPr>
        <w:t>3.</w:t>
      </w:r>
      <w:r>
        <w:rPr>
          <w:rFonts w:hint="eastAsia" w:eastAsia="宋体" w:cs="Times New Roman"/>
          <w:szCs w:val="24"/>
          <w:lang w:val="en-US" w:eastAsia="zh-CN"/>
        </w:rPr>
        <w:t>5</w:t>
      </w:r>
      <w:r>
        <w:rPr>
          <w:rFonts w:hint="default" w:ascii="Times New Roman" w:hAnsi="Times New Roman" w:eastAsia="宋体" w:cs="Times New Roman"/>
          <w:szCs w:val="24"/>
        </w:rPr>
        <w:t>.</w:t>
      </w:r>
      <w:r>
        <w:rPr>
          <w:rFonts w:hint="eastAsia" w:eastAsia="宋体" w:cs="Times New Roman"/>
          <w:szCs w:val="24"/>
          <w:lang w:val="en-US" w:eastAsia="zh-CN"/>
        </w:rPr>
        <w:t>4</w:t>
      </w:r>
      <w:r>
        <w:rPr>
          <w:rFonts w:hint="default" w:ascii="Times New Roman" w:hAnsi="Times New Roman" w:eastAsia="宋体" w:cs="Times New Roman"/>
          <w:szCs w:val="24"/>
        </w:rPr>
        <w:t>公用辅助工程情况</w:t>
      </w:r>
      <w:bookmarkEnd w:id="96"/>
      <w:bookmarkEnd w:id="97"/>
      <w:bookmarkEnd w:id="98"/>
    </w:p>
    <w:p w14:paraId="5F8AC72E">
      <w:pPr>
        <w:pStyle w:val="249"/>
        <w:pageBreakBefore w:val="0"/>
        <w:widowControl/>
        <w:kinsoku/>
        <w:wordWrap/>
        <w:overflowPunct/>
        <w:topLinePunct w:val="0"/>
        <w:autoSpaceDE/>
        <w:autoSpaceDN/>
        <w:bidi w:val="0"/>
        <w:adjustRightInd/>
        <w:snapToGrid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cs="Times New Roman"/>
          <w:sz w:val="24"/>
          <w:szCs w:val="24"/>
          <w:lang w:val="en-US" w:eastAsia="zh-CN"/>
        </w:rPr>
        <w:t>5</w:t>
      </w:r>
      <w:r>
        <w:rPr>
          <w:rFonts w:hint="default" w:ascii="Times New Roman" w:hAnsi="Times New Roman" w:cs="Times New Roman"/>
          <w:sz w:val="24"/>
          <w:szCs w:val="24"/>
        </w:rPr>
        <w:t>.</w:t>
      </w:r>
      <w:r>
        <w:rPr>
          <w:rFonts w:hint="eastAsia" w:cs="Times New Roman"/>
          <w:sz w:val="24"/>
          <w:szCs w:val="24"/>
          <w:lang w:val="en-US" w:eastAsia="zh-CN"/>
        </w:rPr>
        <w:t>4</w:t>
      </w:r>
      <w:r>
        <w:rPr>
          <w:rFonts w:hint="default" w:ascii="Times New Roman" w:hAnsi="Times New Roman" w:cs="Times New Roman"/>
          <w:sz w:val="24"/>
          <w:szCs w:val="24"/>
        </w:rPr>
        <w:t>.1</w:t>
      </w:r>
      <w:r>
        <w:rPr>
          <w:rFonts w:hint="default" w:ascii="Times New Roman" w:hAnsi="Times New Roman" w:eastAsia="宋体" w:cs="Times New Roman"/>
          <w:sz w:val="24"/>
          <w:szCs w:val="24"/>
        </w:rPr>
        <w:t>给水与排水</w:t>
      </w:r>
    </w:p>
    <w:p w14:paraId="0B622063">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（1）供水</w:t>
      </w:r>
    </w:p>
    <w:p w14:paraId="4DE5771D">
      <w:pPr>
        <w:snapToGrid w:val="0"/>
        <w:spacing w:line="500" w:lineRule="exact"/>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本项目用水由海安县经济开发区自来水管网引入，沿厂区道路两侧敷设，就近接入用水点。本项目主要用水环节为职工生活用水、绿化用水和水帘用水。</w:t>
      </w:r>
    </w:p>
    <w:p w14:paraId="075944FA">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（2）排水</w:t>
      </w:r>
    </w:p>
    <w:p w14:paraId="79A94605">
      <w:pPr>
        <w:numPr>
          <w:ilvl w:val="0"/>
          <w:numId w:val="0"/>
        </w:numPr>
        <w:bidi w:val="0"/>
        <w:adjustRightInd/>
        <w:snapToGrid w:val="0"/>
        <w:spacing w:line="500" w:lineRule="exact"/>
        <w:ind w:firstLine="480" w:firstLineChars="200"/>
        <w:jc w:val="left"/>
        <w:rPr>
          <w:rFonts w:hint="default" w:ascii="Times New Roman" w:hAnsi="Times New Roman" w:eastAsia="宋体" w:cs="Times New Roman"/>
        </w:rPr>
      </w:pPr>
      <w:bookmarkStart w:id="99" w:name="_Toc28463"/>
      <w:r>
        <w:rPr>
          <w:rFonts w:ascii="宋体" w:hAnsi="宋体" w:eastAsia="宋体" w:cs="宋体"/>
          <w:sz w:val="24"/>
          <w:szCs w:val="24"/>
        </w:rPr>
        <w:t>项目排水系统雨污分流、清污分流。雨水经雨水管网收集后就近排入水体，预处理后接管</w:t>
      </w:r>
      <w:r>
        <w:rPr>
          <w:rFonts w:hint="eastAsia" w:ascii="宋体" w:hAnsi="宋体" w:eastAsia="宋体" w:cs="宋体"/>
          <w:sz w:val="24"/>
          <w:szCs w:val="24"/>
          <w:lang w:val="en-US" w:eastAsia="zh-CN"/>
        </w:rPr>
        <w:t>海安惠泽净水有限公司</w:t>
      </w:r>
      <w:r>
        <w:rPr>
          <w:rFonts w:ascii="宋体" w:hAnsi="宋体" w:eastAsia="宋体" w:cs="宋体"/>
          <w:sz w:val="24"/>
          <w:szCs w:val="24"/>
        </w:rPr>
        <w:t>集中处理，尾水排入洋蛮河。</w:t>
      </w:r>
    </w:p>
    <w:p w14:paraId="79262412">
      <w:pPr>
        <w:pStyle w:val="249"/>
        <w:bidi w:val="0"/>
        <w:rPr>
          <w:rFonts w:hint="default" w:ascii="Times New Roman" w:hAnsi="Times New Roman" w:eastAsia="宋体" w:cs="Times New Roman"/>
        </w:rPr>
      </w:pPr>
      <w:r>
        <w:rPr>
          <w:rFonts w:hint="default" w:ascii="Times New Roman" w:hAnsi="Times New Roman" w:eastAsia="宋体" w:cs="Times New Roman"/>
        </w:rPr>
        <w:t>3.</w:t>
      </w:r>
      <w:r>
        <w:rPr>
          <w:rFonts w:hint="eastAsia" w:eastAsia="宋体" w:cs="Times New Roman"/>
          <w:lang w:val="en-US" w:eastAsia="zh-CN"/>
        </w:rPr>
        <w:t>5</w:t>
      </w:r>
      <w:r>
        <w:rPr>
          <w:rFonts w:hint="default" w:ascii="Times New Roman" w:hAnsi="Times New Roman" w:eastAsia="宋体" w:cs="Times New Roman"/>
        </w:rPr>
        <w:t>.</w:t>
      </w:r>
      <w:r>
        <w:rPr>
          <w:rFonts w:hint="eastAsia" w:eastAsia="宋体" w:cs="Times New Roman"/>
          <w:lang w:val="en-US" w:eastAsia="zh-CN"/>
        </w:rPr>
        <w:t>4</w:t>
      </w:r>
      <w:r>
        <w:rPr>
          <w:rFonts w:hint="default" w:ascii="Times New Roman" w:hAnsi="Times New Roman" w:eastAsia="宋体" w:cs="Times New Roman"/>
        </w:rPr>
        <w:t>.2供电、供热及电讯</w:t>
      </w:r>
      <w:bookmarkEnd w:id="99"/>
    </w:p>
    <w:p w14:paraId="747A712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（1）供电</w:t>
      </w:r>
    </w:p>
    <w:p w14:paraId="047601A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ascii="宋体" w:hAnsi="宋体" w:eastAsia="宋体" w:cs="宋体"/>
          <w:sz w:val="24"/>
          <w:szCs w:val="24"/>
        </w:rPr>
        <w:t>本项目年用电量为</w:t>
      </w:r>
      <w:r>
        <w:rPr>
          <w:rFonts w:hint="eastAsia" w:ascii="宋体" w:hAnsi="宋体" w:eastAsia="宋体" w:cs="宋体"/>
          <w:sz w:val="24"/>
          <w:szCs w:val="24"/>
          <w:lang w:val="en-US" w:eastAsia="zh-CN"/>
        </w:rPr>
        <w:t>15</w:t>
      </w:r>
      <w:r>
        <w:rPr>
          <w:rFonts w:ascii="宋体" w:hAnsi="宋体" w:eastAsia="宋体" w:cs="宋体"/>
          <w:sz w:val="24"/>
          <w:szCs w:val="24"/>
        </w:rPr>
        <w:t>万度，由开发区供电网管供给。</w:t>
      </w:r>
    </w:p>
    <w:p w14:paraId="3417AA70">
      <w:pPr>
        <w:keepNext w:val="0"/>
        <w:keepLines w:val="0"/>
        <w:pageBreakBefore w:val="0"/>
        <w:widowControl w:val="0"/>
        <w:numPr>
          <w:ilvl w:val="0"/>
          <w:numId w:val="4"/>
        </w:numP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通讯</w:t>
      </w:r>
    </w:p>
    <w:p w14:paraId="1CAFBED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公司根据国家有关规范和工艺流程对电讯的要求，设计装置专用电话线</w:t>
      </w:r>
      <w:r>
        <w:rPr>
          <w:rFonts w:hint="eastAsia" w:ascii="宋体" w:hAnsi="宋体" w:eastAsia="宋体" w:cs="宋体"/>
          <w:sz w:val="24"/>
          <w:szCs w:val="24"/>
        </w:rPr>
        <w:t>路。</w:t>
      </w:r>
    </w:p>
    <w:p w14:paraId="2606EE9F">
      <w:pPr>
        <w:pStyle w:val="249"/>
        <w:bidi w:val="0"/>
        <w:rPr>
          <w:rFonts w:hint="eastAsia"/>
        </w:rPr>
      </w:pPr>
      <w:bookmarkStart w:id="100" w:name="_Toc10586"/>
      <w:r>
        <w:rPr>
          <w:rFonts w:hint="eastAsia"/>
        </w:rPr>
        <w:t>3.</w:t>
      </w:r>
      <w:r>
        <w:rPr>
          <w:rFonts w:hint="eastAsia"/>
          <w:lang w:val="en-US" w:eastAsia="zh-CN"/>
        </w:rPr>
        <w:t>5</w:t>
      </w:r>
      <w:r>
        <w:rPr>
          <w:rFonts w:hint="eastAsia"/>
        </w:rPr>
        <w:t>.</w:t>
      </w:r>
      <w:r>
        <w:rPr>
          <w:rFonts w:hint="eastAsia"/>
          <w:lang w:val="en-US" w:eastAsia="zh-CN"/>
        </w:rPr>
        <w:t>4</w:t>
      </w:r>
      <w:r>
        <w:rPr>
          <w:rFonts w:hint="eastAsia"/>
        </w:rPr>
        <w:t>.3</w:t>
      </w:r>
      <w:r>
        <w:rPr>
          <w:rFonts w:hint="eastAsia" w:ascii="宋体" w:hAnsi="宋体" w:eastAsia="宋体" w:cs="宋体"/>
        </w:rPr>
        <w:t>仓储及运输</w:t>
      </w:r>
      <w:bookmarkEnd w:id="100"/>
    </w:p>
    <w:p w14:paraId="4A281CB5">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（1）仓储</w:t>
      </w:r>
    </w:p>
    <w:p w14:paraId="046B81A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项目划分有油漆仓库</w:t>
      </w:r>
      <w:r>
        <w:rPr>
          <w:rFonts w:hint="default" w:ascii="Times New Roman" w:hAnsi="Times New Roman" w:eastAsia="宋体" w:cs="Times New Roman"/>
          <w:sz w:val="24"/>
          <w:szCs w:val="24"/>
          <w:lang w:val="en-US" w:eastAsia="zh-CN"/>
        </w:rPr>
        <w:t>、</w:t>
      </w:r>
      <w:r>
        <w:rPr>
          <w:rFonts w:hint="eastAsia" w:eastAsia="宋体" w:cs="Times New Roman"/>
          <w:sz w:val="24"/>
          <w:szCs w:val="24"/>
          <w:lang w:val="en-US" w:eastAsia="zh-CN"/>
        </w:rPr>
        <w:t>一般固废仓库、危废仓库及</w:t>
      </w:r>
      <w:r>
        <w:rPr>
          <w:rFonts w:hint="default" w:ascii="Times New Roman" w:hAnsi="Times New Roman" w:eastAsia="宋体" w:cs="Times New Roman"/>
          <w:sz w:val="24"/>
          <w:szCs w:val="24"/>
          <w:lang w:val="en-US" w:eastAsia="zh-CN"/>
        </w:rPr>
        <w:t>成品仓库</w:t>
      </w:r>
      <w:r>
        <w:rPr>
          <w:rFonts w:hint="eastAsia" w:ascii="宋体" w:hAnsi="宋体" w:eastAsia="宋体" w:cs="宋体"/>
          <w:sz w:val="24"/>
          <w:szCs w:val="24"/>
          <w:highlight w:val="none"/>
        </w:rPr>
        <w:t>。</w:t>
      </w:r>
    </w:p>
    <w:p w14:paraId="66B847F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（2）运输</w:t>
      </w:r>
    </w:p>
    <w:p w14:paraId="2B16531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项目主要采用汽车公路运输。原料运输外委社会运输单位。产品购买单位自行运输，本公司不负责运输任务</w:t>
      </w:r>
      <w:r>
        <w:rPr>
          <w:rFonts w:hint="eastAsia" w:ascii="宋体" w:hAnsi="宋体" w:eastAsia="宋体" w:cs="宋体"/>
          <w:sz w:val="24"/>
          <w:szCs w:val="24"/>
        </w:rPr>
        <w:t>。</w:t>
      </w:r>
    </w:p>
    <w:p w14:paraId="16597D18">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Cs w:val="24"/>
        </w:rPr>
      </w:pPr>
      <w:bookmarkStart w:id="101" w:name="_Toc18121"/>
      <w:bookmarkStart w:id="102" w:name="_Toc27428"/>
      <w:bookmarkStart w:id="103" w:name="_Toc10543"/>
      <w:bookmarkStart w:id="104" w:name="_Toc535414245"/>
      <w:r>
        <w:rPr>
          <w:rFonts w:hint="default" w:ascii="Times New Roman" w:hAnsi="Times New Roman" w:eastAsia="宋体" w:cs="Times New Roman"/>
          <w:color w:val="auto"/>
          <w:szCs w:val="24"/>
        </w:rPr>
        <w:t>3.</w:t>
      </w:r>
      <w:r>
        <w:rPr>
          <w:rFonts w:hint="eastAsia" w:eastAsia="宋体" w:cs="Times New Roman"/>
          <w:color w:val="auto"/>
          <w:szCs w:val="24"/>
          <w:lang w:val="en-US" w:eastAsia="zh-CN"/>
        </w:rPr>
        <w:t>5</w:t>
      </w:r>
      <w:r>
        <w:rPr>
          <w:rFonts w:hint="default" w:ascii="Times New Roman" w:hAnsi="Times New Roman" w:eastAsia="宋体" w:cs="Times New Roman"/>
          <w:color w:val="auto"/>
          <w:szCs w:val="24"/>
        </w:rPr>
        <w:t>.</w:t>
      </w:r>
      <w:r>
        <w:rPr>
          <w:rFonts w:hint="eastAsia" w:eastAsia="宋体" w:cs="Times New Roman"/>
          <w:color w:val="auto"/>
          <w:szCs w:val="24"/>
          <w:lang w:val="en-US" w:eastAsia="zh-CN"/>
        </w:rPr>
        <w:t>5</w:t>
      </w:r>
      <w:r>
        <w:rPr>
          <w:rFonts w:hint="default" w:ascii="Times New Roman" w:hAnsi="Times New Roman" w:eastAsia="宋体" w:cs="Times New Roman"/>
          <w:color w:val="auto"/>
          <w:szCs w:val="24"/>
        </w:rPr>
        <w:t>“三</w:t>
      </w:r>
      <w:r>
        <w:rPr>
          <w:rFonts w:hint="default" w:ascii="Times New Roman" w:hAnsi="Times New Roman" w:eastAsia="宋体" w:cs="Times New Roman"/>
          <w:color w:val="auto"/>
          <w:szCs w:val="24"/>
          <w:highlight w:val="none"/>
        </w:rPr>
        <w:t>废”排放及处理情</w:t>
      </w:r>
      <w:r>
        <w:rPr>
          <w:rFonts w:hint="default" w:ascii="Times New Roman" w:hAnsi="Times New Roman" w:eastAsia="宋体" w:cs="Times New Roman"/>
          <w:color w:val="auto"/>
          <w:szCs w:val="24"/>
        </w:rPr>
        <w:t>况</w:t>
      </w:r>
      <w:bookmarkEnd w:id="101"/>
      <w:bookmarkEnd w:id="102"/>
      <w:bookmarkEnd w:id="103"/>
    </w:p>
    <w:p w14:paraId="20765DD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（1）大气污染源及污染物排放情况</w:t>
      </w:r>
    </w:p>
    <w:p w14:paraId="360462E0">
      <w:pPr>
        <w:adjustRightInd w:val="0"/>
        <w:snapToGrid w:val="0"/>
        <w:spacing w:line="500" w:lineRule="exact"/>
        <w:ind w:left="0" w:firstLine="480" w:firstLineChars="200"/>
        <w:rPr>
          <w:rFonts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本项目运营过程中，中央集尘系统20m高排气筒</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组，排气筒DA001；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干式除尘柜</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+20m高排气筒</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组，排气筒DA00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二级活性炭吸附</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+20m高排气筒</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组，排气筒DA00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3；</w:t>
      </w:r>
      <w:r>
        <w:rPr>
          <w:rFonts w:hint="eastAsia" w:eastAsia="宋体" w:cs="Times New Roman"/>
          <w:color w:val="000000" w:themeColor="text1"/>
          <w:lang w:val="en-US" w:eastAsia="zh-CN"/>
          <w14:textFill>
            <w14:solidFill>
              <w14:schemeClr w14:val="tx1"/>
            </w14:solidFill>
          </w14:textFill>
        </w:rPr>
        <w:t>根据2024检测报告</w:t>
      </w:r>
      <w:r>
        <w:rPr>
          <w:rFonts w:ascii="Times New Roman" w:hAnsi="Times New Roman" w:eastAsia="宋体" w:cs="Times New Roman"/>
          <w:color w:val="000000" w:themeColor="text1"/>
          <w14:textFill>
            <w14:solidFill>
              <w14:schemeClr w14:val="tx1"/>
            </w14:solidFill>
          </w14:textFill>
        </w:rPr>
        <w:t>废气产生</w:t>
      </w:r>
      <w:r>
        <w:rPr>
          <w:rFonts w:hint="eastAsia" w:eastAsia="宋体" w:cs="Times New Roman"/>
          <w:color w:val="000000" w:themeColor="text1"/>
          <w:lang w:val="en-US" w:eastAsia="zh-CN"/>
          <w14:textFill>
            <w14:solidFill>
              <w14:schemeClr w14:val="tx1"/>
            </w14:solidFill>
          </w14:textFill>
        </w:rPr>
        <w:t>及</w:t>
      </w:r>
      <w:r>
        <w:rPr>
          <w:rFonts w:ascii="Times New Roman" w:hAnsi="Times New Roman" w:eastAsia="宋体" w:cs="Times New Roman"/>
          <w:color w:val="000000" w:themeColor="text1"/>
          <w14:textFill>
            <w14:solidFill>
              <w14:schemeClr w14:val="tx1"/>
            </w14:solidFill>
          </w14:textFill>
        </w:rPr>
        <w:t>处理的情况见表3-1</w:t>
      </w:r>
      <w:r>
        <w:rPr>
          <w:rFonts w:hint="eastAsia" w:eastAsia="宋体" w:cs="Times New Roman"/>
          <w:color w:val="000000" w:themeColor="text1"/>
          <w:lang w:val="en-US" w:eastAsia="zh-CN"/>
          <w14:textFill>
            <w14:solidFill>
              <w14:schemeClr w14:val="tx1"/>
            </w14:solidFill>
          </w14:textFill>
        </w:rPr>
        <w:t>5</w:t>
      </w:r>
      <w:r>
        <w:rPr>
          <w:rFonts w:ascii="Times New Roman" w:hAnsi="Times New Roman" w:eastAsia="宋体" w:cs="Times New Roman"/>
          <w:color w:val="000000" w:themeColor="text1"/>
          <w14:textFill>
            <w14:solidFill>
              <w14:schemeClr w14:val="tx1"/>
            </w14:solidFill>
          </w14:textFill>
        </w:rPr>
        <w:t>。</w:t>
      </w:r>
    </w:p>
    <w:p w14:paraId="1BA63FD7">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15</w:t>
      </w:r>
      <w:r>
        <w:rPr>
          <w:rFonts w:hint="eastAsia" w:ascii="Times New Roman" w:hAnsi="Times New Roman" w:eastAsia="宋体" w:cs="Times New Roman"/>
          <w:b/>
          <w:bCs/>
          <w:sz w:val="24"/>
          <w:szCs w:val="24"/>
          <w:lang w:val="en-US" w:eastAsia="zh-CN"/>
        </w:rPr>
        <w:t>有组织废气产生</w:t>
      </w:r>
      <w:r>
        <w:rPr>
          <w:rFonts w:hint="eastAsia" w:eastAsia="宋体" w:cs="Times New Roman"/>
          <w:b/>
          <w:bCs/>
          <w:sz w:val="24"/>
          <w:szCs w:val="24"/>
          <w:lang w:val="en-US" w:eastAsia="zh-CN"/>
        </w:rPr>
        <w:t>及</w:t>
      </w:r>
      <w:r>
        <w:rPr>
          <w:rFonts w:hint="eastAsia" w:ascii="Times New Roman" w:hAnsi="Times New Roman" w:eastAsia="宋体" w:cs="Times New Roman"/>
          <w:b/>
          <w:bCs/>
          <w:sz w:val="24"/>
          <w:szCs w:val="24"/>
          <w:lang w:val="en-US" w:eastAsia="zh-CN"/>
        </w:rPr>
        <w:t>处理</w:t>
      </w:r>
      <w:r>
        <w:rPr>
          <w:rFonts w:hint="default" w:ascii="Times New Roman" w:hAnsi="Times New Roman" w:eastAsia="宋体" w:cs="Times New Roman"/>
          <w:b/>
          <w:bCs/>
          <w:sz w:val="24"/>
          <w:szCs w:val="24"/>
        </w:rPr>
        <w:t>一览表</w:t>
      </w:r>
    </w:p>
    <w:tbl>
      <w:tblPr>
        <w:tblStyle w:val="37"/>
        <w:tblW w:w="532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691"/>
        <w:gridCol w:w="1158"/>
        <w:gridCol w:w="1126"/>
        <w:gridCol w:w="1126"/>
        <w:gridCol w:w="1260"/>
        <w:gridCol w:w="983"/>
        <w:gridCol w:w="1391"/>
        <w:gridCol w:w="1056"/>
      </w:tblGrid>
      <w:tr w14:paraId="3B158C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4" w:hRule="atLeast"/>
          <w:jc w:val="center"/>
        </w:trPr>
        <w:tc>
          <w:tcPr>
            <w:tcW w:w="863" w:type="pct"/>
            <w:vMerge w:val="restart"/>
            <w:tcBorders>
              <w:tl2br w:val="nil"/>
              <w:tr2bl w:val="nil"/>
            </w:tcBorders>
            <w:vAlign w:val="center"/>
          </w:tcPr>
          <w:p w14:paraId="7B857A59">
            <w:pPr>
              <w:pStyle w:val="140"/>
              <w:spacing w:before="0" w:line="240" w:lineRule="auto"/>
              <w:ind w:left="0" w:right="0"/>
              <w:rPr>
                <w:rFonts w:ascii="Times New Roman" w:hAnsi="Times New Roman" w:cs="Times New Roman"/>
                <w:b/>
                <w:sz w:val="21"/>
              </w:rPr>
            </w:pPr>
            <w:r>
              <w:rPr>
                <w:rFonts w:ascii="Times New Roman" w:hAnsi="Times New Roman" w:cs="Times New Roman"/>
                <w:b/>
                <w:spacing w:val="-9"/>
                <w:sz w:val="21"/>
              </w:rPr>
              <w:t>污染</w:t>
            </w:r>
            <w:r>
              <w:rPr>
                <w:rFonts w:ascii="Times New Roman" w:hAnsi="Times New Roman" w:cs="Times New Roman"/>
                <w:b/>
                <w:sz w:val="21"/>
              </w:rPr>
              <w:t>源</w:t>
            </w:r>
            <w:r>
              <w:rPr>
                <w:rFonts w:ascii="Times New Roman" w:hAnsi="Times New Roman" w:cs="Times New Roman"/>
                <w:b/>
                <w:spacing w:val="-9"/>
                <w:sz w:val="21"/>
              </w:rPr>
              <w:t>名称</w:t>
            </w:r>
          </w:p>
        </w:tc>
        <w:tc>
          <w:tcPr>
            <w:tcW w:w="591" w:type="pct"/>
            <w:vMerge w:val="restart"/>
            <w:tcBorders>
              <w:tl2br w:val="nil"/>
              <w:tr2bl w:val="nil"/>
            </w:tcBorders>
            <w:vAlign w:val="center"/>
          </w:tcPr>
          <w:p w14:paraId="0C14CD52">
            <w:pPr>
              <w:pStyle w:val="140"/>
              <w:spacing w:line="240" w:lineRule="auto"/>
              <w:ind w:left="0" w:right="0" w:firstLine="0"/>
              <w:jc w:val="center"/>
              <w:rPr>
                <w:rFonts w:ascii="Times New Roman" w:hAnsi="Times New Roman" w:cs="Times New Roman"/>
                <w:b/>
                <w:sz w:val="21"/>
              </w:rPr>
            </w:pPr>
            <w:r>
              <w:rPr>
                <w:rFonts w:ascii="Times New Roman" w:hAnsi="Times New Roman" w:cs="Times New Roman"/>
                <w:b/>
                <w:sz w:val="21"/>
              </w:rPr>
              <w:t>污染物名称</w:t>
            </w:r>
          </w:p>
        </w:tc>
        <w:tc>
          <w:tcPr>
            <w:tcW w:w="1793" w:type="pct"/>
            <w:gridSpan w:val="3"/>
            <w:tcBorders>
              <w:tl2br w:val="nil"/>
              <w:tr2bl w:val="nil"/>
            </w:tcBorders>
            <w:vAlign w:val="center"/>
          </w:tcPr>
          <w:p w14:paraId="22886C36">
            <w:pPr>
              <w:pStyle w:val="140"/>
              <w:spacing w:before="0"/>
              <w:ind w:left="0"/>
              <w:jc w:val="center"/>
              <w:rPr>
                <w:rFonts w:ascii="Times New Roman" w:hAnsi="Times New Roman" w:cs="Times New Roman"/>
                <w:b/>
                <w:sz w:val="21"/>
              </w:rPr>
            </w:pPr>
            <w:r>
              <w:rPr>
                <w:rFonts w:ascii="Times New Roman" w:hAnsi="Times New Roman" w:cs="Times New Roman"/>
                <w:b/>
                <w:sz w:val="21"/>
              </w:rPr>
              <w:t>产生状况</w:t>
            </w:r>
          </w:p>
        </w:tc>
        <w:tc>
          <w:tcPr>
            <w:tcW w:w="502" w:type="pct"/>
            <w:vMerge w:val="restart"/>
            <w:tcBorders>
              <w:tl2br w:val="nil"/>
              <w:tr2bl w:val="nil"/>
            </w:tcBorders>
            <w:vAlign w:val="center"/>
          </w:tcPr>
          <w:p w14:paraId="6C82DE66">
            <w:pPr>
              <w:pStyle w:val="140"/>
              <w:ind w:left="0"/>
              <w:jc w:val="center"/>
              <w:rPr>
                <w:rFonts w:ascii="Times New Roman" w:hAnsi="Times New Roman" w:cs="Times New Roman"/>
                <w:b/>
                <w:sz w:val="21"/>
              </w:rPr>
            </w:pPr>
            <w:r>
              <w:rPr>
                <w:rFonts w:ascii="Times New Roman" w:hAnsi="Times New Roman" w:cs="Times New Roman"/>
                <w:b/>
                <w:w w:val="95"/>
                <w:sz w:val="21"/>
              </w:rPr>
              <w:t>排气量</w:t>
            </w:r>
          </w:p>
          <w:p w14:paraId="3C116029">
            <w:pPr>
              <w:pStyle w:val="140"/>
              <w:spacing w:before="0"/>
              <w:ind w:left="0"/>
              <w:jc w:val="center"/>
              <w:rPr>
                <w:rFonts w:ascii="Times New Roman" w:hAnsi="Times New Roman" w:cs="Times New Roman"/>
                <w:b/>
                <w:sz w:val="21"/>
              </w:rPr>
            </w:pPr>
            <w:r>
              <w:rPr>
                <w:rFonts w:ascii="Times New Roman" w:hAnsi="Times New Roman" w:cs="Times New Roman"/>
                <w:b/>
                <w:sz w:val="21"/>
              </w:rPr>
              <w:t>(m</w:t>
            </w:r>
            <w:r>
              <w:rPr>
                <w:rFonts w:ascii="Times New Roman" w:hAnsi="Times New Roman" w:cs="Times New Roman"/>
                <w:b/>
                <w:position w:val="7"/>
                <w:sz w:val="13"/>
              </w:rPr>
              <w:t>3</w:t>
            </w:r>
            <w:r>
              <w:rPr>
                <w:rFonts w:ascii="Times New Roman" w:hAnsi="Times New Roman" w:cs="Times New Roman"/>
                <w:b/>
                <w:sz w:val="21"/>
              </w:rPr>
              <w:t>/h)</w:t>
            </w:r>
          </w:p>
        </w:tc>
        <w:tc>
          <w:tcPr>
            <w:tcW w:w="710" w:type="pct"/>
            <w:vMerge w:val="restart"/>
            <w:tcBorders>
              <w:tl2br w:val="nil"/>
              <w:tr2bl w:val="nil"/>
            </w:tcBorders>
            <w:vAlign w:val="center"/>
          </w:tcPr>
          <w:p w14:paraId="4B937D16">
            <w:pPr>
              <w:pStyle w:val="140"/>
              <w:spacing w:line="240" w:lineRule="auto"/>
              <w:ind w:left="0" w:right="0"/>
              <w:jc w:val="center"/>
              <w:rPr>
                <w:rFonts w:ascii="Times New Roman" w:hAnsi="Times New Roman" w:cs="Times New Roman"/>
                <w:b/>
                <w:sz w:val="21"/>
              </w:rPr>
            </w:pPr>
            <w:r>
              <w:rPr>
                <w:rFonts w:ascii="Times New Roman" w:hAnsi="Times New Roman" w:cs="Times New Roman"/>
                <w:b/>
                <w:sz w:val="21"/>
              </w:rPr>
              <w:t>治理措施</w:t>
            </w:r>
          </w:p>
        </w:tc>
        <w:tc>
          <w:tcPr>
            <w:tcW w:w="539" w:type="pct"/>
            <w:vMerge w:val="restart"/>
            <w:tcBorders>
              <w:tl2br w:val="nil"/>
              <w:tr2bl w:val="nil"/>
            </w:tcBorders>
            <w:vAlign w:val="center"/>
          </w:tcPr>
          <w:p w14:paraId="05438DEE">
            <w:pPr>
              <w:pStyle w:val="140"/>
              <w:ind w:left="0"/>
              <w:jc w:val="center"/>
              <w:rPr>
                <w:rFonts w:ascii="Times New Roman" w:hAnsi="Times New Roman" w:cs="Times New Roman"/>
                <w:b/>
                <w:sz w:val="21"/>
              </w:rPr>
            </w:pPr>
            <w:r>
              <w:rPr>
                <w:rFonts w:ascii="Times New Roman" w:hAnsi="Times New Roman" w:cs="Times New Roman"/>
                <w:b/>
                <w:sz w:val="21"/>
              </w:rPr>
              <w:t>排气筒</w:t>
            </w:r>
          </w:p>
        </w:tc>
      </w:tr>
      <w:tr w14:paraId="056F54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863" w:type="pct"/>
            <w:vMerge w:val="continue"/>
            <w:tcBorders>
              <w:tl2br w:val="nil"/>
              <w:tr2bl w:val="nil"/>
            </w:tcBorders>
            <w:vAlign w:val="center"/>
          </w:tcPr>
          <w:p w14:paraId="09C5EAB7">
            <w:pPr>
              <w:jc w:val="center"/>
              <w:rPr>
                <w:sz w:val="2"/>
                <w:szCs w:val="2"/>
              </w:rPr>
            </w:pPr>
          </w:p>
        </w:tc>
        <w:tc>
          <w:tcPr>
            <w:tcW w:w="591" w:type="pct"/>
            <w:vMerge w:val="continue"/>
            <w:tcBorders>
              <w:tl2br w:val="nil"/>
              <w:tr2bl w:val="nil"/>
            </w:tcBorders>
            <w:vAlign w:val="center"/>
          </w:tcPr>
          <w:p w14:paraId="14508375">
            <w:pPr>
              <w:jc w:val="center"/>
              <w:rPr>
                <w:sz w:val="2"/>
                <w:szCs w:val="2"/>
              </w:rPr>
            </w:pPr>
          </w:p>
        </w:tc>
        <w:tc>
          <w:tcPr>
            <w:tcW w:w="575" w:type="pct"/>
            <w:tcBorders>
              <w:tl2br w:val="nil"/>
              <w:tr2bl w:val="nil"/>
            </w:tcBorders>
            <w:vAlign w:val="center"/>
          </w:tcPr>
          <w:p w14:paraId="70C26778">
            <w:pPr>
              <w:pStyle w:val="140"/>
              <w:spacing w:before="0" w:line="240" w:lineRule="auto"/>
              <w:ind w:left="0" w:right="0"/>
              <w:rPr>
                <w:rFonts w:hint="default" w:ascii="Times New Roman" w:hAnsi="Times New Roman" w:eastAsia="宋体" w:cs="Times New Roman"/>
                <w:b/>
                <w:sz w:val="21"/>
                <w:lang w:eastAsia="zh-CN"/>
              </w:rPr>
            </w:pPr>
            <w:r>
              <w:rPr>
                <w:rFonts w:ascii="Times New Roman" w:hAnsi="Times New Roman" w:cs="Times New Roman"/>
                <w:b/>
                <w:sz w:val="21"/>
              </w:rPr>
              <w:t>浓度</w:t>
            </w:r>
            <w:r>
              <w:rPr>
                <w:rFonts w:hint="eastAsia" w:ascii="Times New Roman" w:hAnsi="Times New Roman" w:cs="Times New Roman"/>
                <w:b/>
                <w:sz w:val="21"/>
                <w:lang w:eastAsia="zh-CN"/>
              </w:rPr>
              <w:t>（</w:t>
            </w:r>
            <w:r>
              <w:rPr>
                <w:rFonts w:ascii="Times New Roman" w:hAnsi="Times New Roman" w:cs="Times New Roman"/>
                <w:b/>
                <w:w w:val="95"/>
                <w:sz w:val="21"/>
              </w:rPr>
              <w:t>mg/m</w:t>
            </w:r>
            <w:r>
              <w:rPr>
                <w:rFonts w:ascii="Times New Roman" w:hAnsi="Times New Roman" w:cs="Times New Roman"/>
                <w:b/>
                <w:sz w:val="21"/>
                <w:szCs w:val="44"/>
                <w:vertAlign w:val="superscript"/>
              </w:rPr>
              <w:t>3</w:t>
            </w:r>
            <w:r>
              <w:rPr>
                <w:rFonts w:ascii="Times New Roman" w:hAnsi="Times New Roman" w:cs="Times New Roman"/>
                <w:b/>
                <w:sz w:val="21"/>
              </w:rPr>
              <w:t>)</w:t>
            </w:r>
          </w:p>
        </w:tc>
        <w:tc>
          <w:tcPr>
            <w:tcW w:w="575" w:type="pct"/>
            <w:tcBorders>
              <w:tl2br w:val="nil"/>
              <w:tr2bl w:val="nil"/>
            </w:tcBorders>
            <w:vAlign w:val="center"/>
          </w:tcPr>
          <w:p w14:paraId="361D6637">
            <w:pPr>
              <w:pStyle w:val="140"/>
              <w:spacing w:before="0"/>
              <w:ind w:left="0"/>
              <w:jc w:val="center"/>
              <w:rPr>
                <w:rFonts w:ascii="Times New Roman" w:hAnsi="Times New Roman" w:cs="Times New Roman"/>
                <w:b/>
                <w:sz w:val="21"/>
              </w:rPr>
            </w:pPr>
            <w:r>
              <w:rPr>
                <w:rFonts w:ascii="Times New Roman" w:hAnsi="Times New Roman" w:cs="Times New Roman"/>
                <w:b/>
                <w:sz w:val="21"/>
              </w:rPr>
              <w:t>速率</w:t>
            </w:r>
          </w:p>
          <w:p w14:paraId="43518882">
            <w:pPr>
              <w:pStyle w:val="140"/>
              <w:spacing w:before="0"/>
              <w:ind w:left="0"/>
              <w:jc w:val="center"/>
              <w:rPr>
                <w:rFonts w:ascii="Times New Roman" w:hAnsi="Times New Roman" w:cs="Times New Roman"/>
                <w:b/>
                <w:sz w:val="21"/>
              </w:rPr>
            </w:pPr>
            <w:r>
              <w:rPr>
                <w:rFonts w:ascii="Times New Roman" w:hAnsi="Times New Roman" w:cs="Times New Roman"/>
                <w:b/>
                <w:sz w:val="21"/>
              </w:rPr>
              <w:t>(kg/h)</w:t>
            </w:r>
          </w:p>
        </w:tc>
        <w:tc>
          <w:tcPr>
            <w:tcW w:w="642" w:type="pct"/>
            <w:tcBorders>
              <w:tl2br w:val="nil"/>
              <w:tr2bl w:val="nil"/>
            </w:tcBorders>
            <w:vAlign w:val="center"/>
          </w:tcPr>
          <w:p w14:paraId="717FC1E2">
            <w:pPr>
              <w:pStyle w:val="140"/>
              <w:spacing w:before="0"/>
              <w:ind w:left="0" w:right="0"/>
              <w:rPr>
                <w:rFonts w:ascii="Times New Roman" w:hAnsi="Times New Roman" w:cs="Times New Roman"/>
                <w:b/>
                <w:sz w:val="21"/>
              </w:rPr>
            </w:pPr>
            <w:r>
              <w:rPr>
                <w:rFonts w:ascii="Times New Roman" w:hAnsi="Times New Roman" w:cs="Times New Roman"/>
                <w:b/>
                <w:sz w:val="21"/>
              </w:rPr>
              <w:t>产生量</w:t>
            </w:r>
          </w:p>
          <w:p w14:paraId="05B1CE72">
            <w:pPr>
              <w:pStyle w:val="140"/>
              <w:spacing w:before="0"/>
              <w:ind w:left="0" w:right="0"/>
              <w:rPr>
                <w:rFonts w:ascii="Times New Roman" w:hAnsi="Times New Roman" w:cs="Times New Roman"/>
                <w:b/>
                <w:sz w:val="21"/>
              </w:rPr>
            </w:pPr>
            <w:r>
              <w:rPr>
                <w:rFonts w:ascii="Times New Roman" w:hAnsi="Times New Roman" w:cs="Times New Roman"/>
                <w:b/>
                <w:sz w:val="21"/>
              </w:rPr>
              <w:t>(t/a)</w:t>
            </w:r>
          </w:p>
        </w:tc>
        <w:tc>
          <w:tcPr>
            <w:tcW w:w="502" w:type="pct"/>
            <w:vMerge w:val="continue"/>
            <w:tcBorders>
              <w:tl2br w:val="nil"/>
              <w:tr2bl w:val="nil"/>
            </w:tcBorders>
            <w:vAlign w:val="center"/>
          </w:tcPr>
          <w:p w14:paraId="13DEE0E3">
            <w:pPr>
              <w:jc w:val="center"/>
              <w:rPr>
                <w:sz w:val="2"/>
                <w:szCs w:val="2"/>
              </w:rPr>
            </w:pPr>
          </w:p>
        </w:tc>
        <w:tc>
          <w:tcPr>
            <w:tcW w:w="710" w:type="pct"/>
            <w:vMerge w:val="continue"/>
            <w:tcBorders>
              <w:tl2br w:val="nil"/>
              <w:tr2bl w:val="nil"/>
            </w:tcBorders>
            <w:vAlign w:val="center"/>
          </w:tcPr>
          <w:p w14:paraId="7BFAAD5E">
            <w:pPr>
              <w:jc w:val="center"/>
              <w:rPr>
                <w:sz w:val="2"/>
                <w:szCs w:val="2"/>
              </w:rPr>
            </w:pPr>
          </w:p>
        </w:tc>
        <w:tc>
          <w:tcPr>
            <w:tcW w:w="539" w:type="pct"/>
            <w:vMerge w:val="continue"/>
            <w:tcBorders>
              <w:tl2br w:val="nil"/>
              <w:tr2bl w:val="nil"/>
            </w:tcBorders>
            <w:vAlign w:val="center"/>
          </w:tcPr>
          <w:p w14:paraId="06A7A6DA">
            <w:pPr>
              <w:jc w:val="center"/>
              <w:rPr>
                <w:sz w:val="2"/>
                <w:szCs w:val="2"/>
              </w:rPr>
            </w:pPr>
          </w:p>
        </w:tc>
      </w:tr>
      <w:tr w14:paraId="77C13C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45" w:hRule="atLeast"/>
          <w:jc w:val="center"/>
        </w:trPr>
        <w:tc>
          <w:tcPr>
            <w:tcW w:w="863" w:type="pct"/>
            <w:tcBorders>
              <w:tl2br w:val="nil"/>
              <w:tr2bl w:val="nil"/>
            </w:tcBorders>
            <w:vAlign w:val="center"/>
          </w:tcPr>
          <w:p w14:paraId="028C8C1A">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木工车间</w:t>
            </w:r>
          </w:p>
        </w:tc>
        <w:tc>
          <w:tcPr>
            <w:tcW w:w="591" w:type="pct"/>
            <w:tcBorders>
              <w:tl2br w:val="nil"/>
              <w:tr2bl w:val="nil"/>
            </w:tcBorders>
            <w:vAlign w:val="center"/>
          </w:tcPr>
          <w:p w14:paraId="1A8889A2">
            <w:pPr>
              <w:spacing w:before="0" w:line="240" w:lineRule="auto"/>
              <w:ind w:left="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vAlign w:val="center"/>
          </w:tcPr>
          <w:p w14:paraId="25FF7237">
            <w:pPr>
              <w:pStyle w:val="140"/>
              <w:spacing w:before="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4.43</w:t>
            </w:r>
          </w:p>
        </w:tc>
        <w:tc>
          <w:tcPr>
            <w:tcW w:w="575" w:type="pct"/>
            <w:tcBorders>
              <w:tl2br w:val="nil"/>
              <w:tr2bl w:val="nil"/>
            </w:tcBorders>
            <w:vAlign w:val="center"/>
          </w:tcPr>
          <w:p w14:paraId="21BD3FB9">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0.099</w:t>
            </w:r>
          </w:p>
        </w:tc>
        <w:tc>
          <w:tcPr>
            <w:tcW w:w="642" w:type="pct"/>
            <w:tcBorders>
              <w:tl2br w:val="nil"/>
              <w:tr2bl w:val="nil"/>
            </w:tcBorders>
            <w:vAlign w:val="center"/>
          </w:tcPr>
          <w:p w14:paraId="74BCD2A9">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0.2376</w:t>
            </w:r>
          </w:p>
        </w:tc>
        <w:tc>
          <w:tcPr>
            <w:tcW w:w="502" w:type="pct"/>
            <w:tcBorders>
              <w:tl2br w:val="nil"/>
              <w:tr2bl w:val="nil"/>
            </w:tcBorders>
            <w:vAlign w:val="center"/>
          </w:tcPr>
          <w:p w14:paraId="50482D3D">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22070</w:t>
            </w:r>
          </w:p>
        </w:tc>
        <w:tc>
          <w:tcPr>
            <w:tcW w:w="710" w:type="pct"/>
            <w:tcBorders>
              <w:tl2br w:val="nil"/>
              <w:tr2bl w:val="nil"/>
            </w:tcBorders>
            <w:vAlign w:val="center"/>
          </w:tcPr>
          <w:p w14:paraId="56194AB2">
            <w:pPr>
              <w:pStyle w:val="140"/>
              <w:spacing w:before="0" w:line="240" w:lineRule="auto"/>
              <w:ind w:left="0" w:leftChars="0"/>
              <w:jc w:val="center"/>
              <w:rPr>
                <w:rFonts w:hint="eastAsia"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中央集尘系统</w:t>
            </w:r>
          </w:p>
        </w:tc>
        <w:tc>
          <w:tcPr>
            <w:tcW w:w="539" w:type="pct"/>
            <w:tcBorders>
              <w:tl2br w:val="nil"/>
              <w:tr2bl w:val="nil"/>
            </w:tcBorders>
            <w:vAlign w:val="center"/>
          </w:tcPr>
          <w:p w14:paraId="4689A311">
            <w:pPr>
              <w:pStyle w:val="140"/>
              <w:spacing w:before="0" w:line="240" w:lineRule="auto"/>
              <w:ind w:left="0"/>
              <w:jc w:val="center"/>
              <w:rPr>
                <w:rFonts w:ascii="Times New Roman" w:hAnsi="Times New Roman" w:cs="Times New Roman"/>
                <w:sz w:val="21"/>
              </w:rPr>
            </w:pPr>
            <w:r>
              <w:rPr>
                <w:rFonts w:hint="eastAsia" w:ascii="Times New Roman" w:hAnsi="Times New Roman" w:cs="Times New Roman"/>
                <w:sz w:val="21"/>
                <w:lang w:val="en-US" w:eastAsia="zh-CN"/>
              </w:rPr>
              <w:t>1#20m排气筒排放</w:t>
            </w:r>
          </w:p>
        </w:tc>
      </w:tr>
      <w:tr w14:paraId="67089C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63" w:type="pct"/>
            <w:tcBorders>
              <w:tl2br w:val="nil"/>
              <w:tr2bl w:val="nil"/>
            </w:tcBorders>
            <w:vAlign w:val="center"/>
          </w:tcPr>
          <w:p w14:paraId="0186B0FC">
            <w:pPr>
              <w:pStyle w:val="140"/>
              <w:spacing w:before="0"/>
              <w:ind w:left="0" w:right="0"/>
              <w:rPr>
                <w:rFonts w:hint="eastAsia" w:ascii="Times New Roman" w:hAnsi="Times New Roman" w:cs="Times New Roman"/>
                <w:sz w:val="21"/>
                <w:lang w:val="en-US" w:eastAsia="zh-CN"/>
              </w:rPr>
            </w:pPr>
            <w:r>
              <w:rPr>
                <w:rFonts w:hint="eastAsia" w:ascii="Times New Roman" w:hAnsi="Times New Roman" w:eastAsia="宋体" w:cs="Times New Roman"/>
                <w:sz w:val="21"/>
                <w:lang w:val="en-US" w:eastAsia="zh-CN"/>
              </w:rPr>
              <w:t>打磨车间</w:t>
            </w:r>
          </w:p>
        </w:tc>
        <w:tc>
          <w:tcPr>
            <w:tcW w:w="591" w:type="pct"/>
            <w:tcBorders>
              <w:tl2br w:val="nil"/>
              <w:tr2bl w:val="nil"/>
            </w:tcBorders>
            <w:vAlign w:val="center"/>
          </w:tcPr>
          <w:p w14:paraId="557AAD9D">
            <w:pPr>
              <w:spacing w:before="0" w:line="240" w:lineRule="auto"/>
              <w:ind w:left="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vAlign w:val="center"/>
          </w:tcPr>
          <w:p w14:paraId="0FBB3085">
            <w:pPr>
              <w:pStyle w:val="140"/>
              <w:spacing w:before="0"/>
              <w:ind w:left="0" w:righ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3.37</w:t>
            </w:r>
          </w:p>
        </w:tc>
        <w:tc>
          <w:tcPr>
            <w:tcW w:w="575" w:type="pct"/>
            <w:tcBorders>
              <w:tl2br w:val="nil"/>
              <w:tr2bl w:val="nil"/>
            </w:tcBorders>
            <w:vAlign w:val="center"/>
          </w:tcPr>
          <w:p w14:paraId="5DC310B7">
            <w:pPr>
              <w:pStyle w:val="140"/>
              <w:spacing w:before="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0.018</w:t>
            </w:r>
          </w:p>
        </w:tc>
        <w:tc>
          <w:tcPr>
            <w:tcW w:w="642" w:type="pct"/>
            <w:tcBorders>
              <w:tl2br w:val="nil"/>
              <w:tr2bl w:val="nil"/>
            </w:tcBorders>
            <w:vAlign w:val="center"/>
          </w:tcPr>
          <w:p w14:paraId="708C2800">
            <w:pPr>
              <w:pStyle w:val="140"/>
              <w:spacing w:before="0"/>
              <w:ind w:left="0" w:right="0"/>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0.0432</w:t>
            </w:r>
          </w:p>
        </w:tc>
        <w:tc>
          <w:tcPr>
            <w:tcW w:w="502" w:type="pct"/>
            <w:tcBorders>
              <w:tl2br w:val="nil"/>
              <w:tr2bl w:val="nil"/>
            </w:tcBorders>
            <w:vAlign w:val="center"/>
          </w:tcPr>
          <w:p w14:paraId="187E20E2">
            <w:pPr>
              <w:pStyle w:val="140"/>
              <w:spacing w:before="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5390</w:t>
            </w:r>
          </w:p>
        </w:tc>
        <w:tc>
          <w:tcPr>
            <w:tcW w:w="710" w:type="pct"/>
            <w:tcBorders>
              <w:tl2br w:val="nil"/>
              <w:tr2bl w:val="nil"/>
            </w:tcBorders>
            <w:vAlign w:val="center"/>
          </w:tcPr>
          <w:p w14:paraId="741414C3">
            <w:pPr>
              <w:pStyle w:val="140"/>
              <w:spacing w:before="0" w:line="240" w:lineRule="auto"/>
              <w:ind w:left="0" w:left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干式除尘柜</w:t>
            </w:r>
          </w:p>
        </w:tc>
        <w:tc>
          <w:tcPr>
            <w:tcW w:w="539" w:type="pct"/>
            <w:tcBorders>
              <w:tl2br w:val="nil"/>
              <w:tr2bl w:val="nil"/>
            </w:tcBorders>
            <w:vAlign w:val="center"/>
          </w:tcPr>
          <w:p w14:paraId="64BF4F80">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2#20m排气筒排放</w:t>
            </w:r>
          </w:p>
        </w:tc>
      </w:tr>
      <w:tr w14:paraId="715B3B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63" w:type="pct"/>
            <w:vMerge w:val="restart"/>
            <w:tcBorders>
              <w:tl2br w:val="nil"/>
              <w:tr2bl w:val="nil"/>
            </w:tcBorders>
            <w:vAlign w:val="center"/>
          </w:tcPr>
          <w:p w14:paraId="4038EFAB">
            <w:pPr>
              <w:pStyle w:val="140"/>
              <w:spacing w:before="0"/>
              <w:ind w:left="0" w:right="0"/>
              <w:rPr>
                <w:rFonts w:hint="default" w:eastAsia="宋体"/>
                <w:lang w:val="en-US" w:eastAsia="zh-CN"/>
              </w:rPr>
            </w:pPr>
            <w:r>
              <w:rPr>
                <w:rFonts w:hint="eastAsia" w:ascii="Times New Roman" w:hAnsi="Times New Roman" w:eastAsia="宋体" w:cs="Times New Roman"/>
                <w:sz w:val="21"/>
                <w:lang w:val="en-US" w:eastAsia="zh-CN"/>
              </w:rPr>
              <w:t>喷漆车间</w:t>
            </w:r>
          </w:p>
        </w:tc>
        <w:tc>
          <w:tcPr>
            <w:tcW w:w="591" w:type="pct"/>
            <w:tcBorders>
              <w:tl2br w:val="nil"/>
              <w:tr2bl w:val="nil"/>
            </w:tcBorders>
            <w:vAlign w:val="center"/>
          </w:tcPr>
          <w:p w14:paraId="47339E86">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575" w:type="pct"/>
            <w:tcBorders>
              <w:tl2br w:val="nil"/>
              <w:tr2bl w:val="nil"/>
            </w:tcBorders>
            <w:vAlign w:val="center"/>
          </w:tcPr>
          <w:p w14:paraId="78B3EFBF">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0.986</w:t>
            </w:r>
          </w:p>
        </w:tc>
        <w:tc>
          <w:tcPr>
            <w:tcW w:w="575" w:type="pct"/>
            <w:tcBorders>
              <w:tl2br w:val="nil"/>
              <w:tr2bl w:val="nil"/>
            </w:tcBorders>
            <w:vAlign w:val="center"/>
          </w:tcPr>
          <w:p w14:paraId="625E99B1">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0.00717</w:t>
            </w:r>
          </w:p>
        </w:tc>
        <w:tc>
          <w:tcPr>
            <w:tcW w:w="642" w:type="pct"/>
            <w:tcBorders>
              <w:tl2br w:val="nil"/>
              <w:tr2bl w:val="nil"/>
            </w:tcBorders>
            <w:vAlign w:val="center"/>
          </w:tcPr>
          <w:p w14:paraId="5A164C06">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0.017208</w:t>
            </w:r>
          </w:p>
        </w:tc>
        <w:tc>
          <w:tcPr>
            <w:tcW w:w="502" w:type="pct"/>
            <w:vMerge w:val="restart"/>
            <w:tcBorders>
              <w:tl2br w:val="nil"/>
              <w:tr2bl w:val="nil"/>
            </w:tcBorders>
            <w:vAlign w:val="center"/>
          </w:tcPr>
          <w:p w14:paraId="4AFA33C3">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7275</w:t>
            </w:r>
          </w:p>
        </w:tc>
        <w:tc>
          <w:tcPr>
            <w:tcW w:w="710" w:type="pct"/>
            <w:vMerge w:val="restart"/>
            <w:tcBorders>
              <w:tl2br w:val="nil"/>
              <w:tr2bl w:val="nil"/>
            </w:tcBorders>
            <w:vAlign w:val="center"/>
          </w:tcPr>
          <w:p w14:paraId="36744AB5">
            <w:pPr>
              <w:pStyle w:val="140"/>
              <w:spacing w:before="0" w:line="240" w:lineRule="auto"/>
              <w:ind w:left="0" w:left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二级活性炭吸附</w:t>
            </w:r>
          </w:p>
        </w:tc>
        <w:tc>
          <w:tcPr>
            <w:tcW w:w="539" w:type="pct"/>
            <w:vMerge w:val="restart"/>
            <w:tcBorders>
              <w:tl2br w:val="nil"/>
              <w:tr2bl w:val="nil"/>
            </w:tcBorders>
            <w:vAlign w:val="center"/>
          </w:tcPr>
          <w:p w14:paraId="38890350">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3#20m排气筒排放</w:t>
            </w:r>
          </w:p>
        </w:tc>
      </w:tr>
      <w:tr w14:paraId="3DA680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63" w:type="pct"/>
            <w:vMerge w:val="continue"/>
            <w:tcBorders>
              <w:tl2br w:val="nil"/>
              <w:tr2bl w:val="nil"/>
            </w:tcBorders>
            <w:vAlign w:val="center"/>
          </w:tcPr>
          <w:p w14:paraId="0A54FB88">
            <w:pPr>
              <w:pStyle w:val="140"/>
              <w:spacing w:before="0"/>
              <w:ind w:left="0" w:right="0"/>
              <w:rPr>
                <w:rFonts w:hint="eastAsia" w:ascii="Times New Roman" w:hAnsi="Times New Roman" w:eastAsia="宋体" w:cs="Times New Roman"/>
                <w:sz w:val="21"/>
                <w:lang w:val="en-US" w:eastAsia="zh-CN"/>
              </w:rPr>
            </w:pPr>
          </w:p>
        </w:tc>
        <w:tc>
          <w:tcPr>
            <w:tcW w:w="591" w:type="pct"/>
            <w:tcBorders>
              <w:tl2br w:val="nil"/>
              <w:tr2bl w:val="nil"/>
            </w:tcBorders>
            <w:vAlign w:val="center"/>
          </w:tcPr>
          <w:p w14:paraId="072AD3C2">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kern w:val="2"/>
                <w:sz w:val="21"/>
                <w:szCs w:val="24"/>
                <w:lang w:val="en-US" w:eastAsia="zh-CN" w:bidi="ar-SA"/>
              </w:rPr>
              <w:t>颗粒物</w:t>
            </w:r>
          </w:p>
        </w:tc>
        <w:tc>
          <w:tcPr>
            <w:tcW w:w="575" w:type="pct"/>
            <w:tcBorders>
              <w:tl2br w:val="nil"/>
              <w:tr2bl w:val="nil"/>
            </w:tcBorders>
            <w:vAlign w:val="center"/>
          </w:tcPr>
          <w:p w14:paraId="30AA41CD">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2.5</w:t>
            </w:r>
          </w:p>
        </w:tc>
        <w:tc>
          <w:tcPr>
            <w:tcW w:w="575" w:type="pct"/>
            <w:tcBorders>
              <w:tl2br w:val="nil"/>
              <w:tr2bl w:val="nil"/>
            </w:tcBorders>
            <w:vAlign w:val="center"/>
          </w:tcPr>
          <w:p w14:paraId="59357FF2">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0.018</w:t>
            </w:r>
          </w:p>
        </w:tc>
        <w:tc>
          <w:tcPr>
            <w:tcW w:w="642" w:type="pct"/>
            <w:tcBorders>
              <w:tl2br w:val="nil"/>
              <w:tr2bl w:val="nil"/>
            </w:tcBorders>
            <w:vAlign w:val="center"/>
          </w:tcPr>
          <w:p w14:paraId="4927FABA">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0.0432</w:t>
            </w:r>
          </w:p>
        </w:tc>
        <w:tc>
          <w:tcPr>
            <w:tcW w:w="502" w:type="pct"/>
            <w:vMerge w:val="continue"/>
            <w:tcBorders>
              <w:tl2br w:val="nil"/>
              <w:tr2bl w:val="nil"/>
            </w:tcBorders>
            <w:vAlign w:val="center"/>
          </w:tcPr>
          <w:p w14:paraId="67BD8477">
            <w:pPr>
              <w:pStyle w:val="140"/>
              <w:spacing w:before="0" w:line="240" w:lineRule="auto"/>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5CA1D646">
            <w:pPr>
              <w:pStyle w:val="140"/>
              <w:spacing w:before="0" w:line="240" w:lineRule="auto"/>
              <w:ind w:left="0" w:leftChars="0"/>
              <w:jc w:val="center"/>
              <w:rPr>
                <w:rFonts w:hint="default" w:ascii="Times New Roman" w:hAnsi="Times New Roman" w:eastAsia="宋体" w:cs="Times New Roman"/>
                <w:sz w:val="21"/>
                <w:lang w:val="en-US" w:eastAsia="zh-CN"/>
              </w:rPr>
            </w:pPr>
          </w:p>
        </w:tc>
        <w:tc>
          <w:tcPr>
            <w:tcW w:w="539" w:type="pct"/>
            <w:vMerge w:val="continue"/>
            <w:tcBorders>
              <w:tl2br w:val="nil"/>
              <w:tr2bl w:val="nil"/>
            </w:tcBorders>
            <w:vAlign w:val="center"/>
          </w:tcPr>
          <w:p w14:paraId="6A5D8414">
            <w:pPr>
              <w:pStyle w:val="140"/>
              <w:spacing w:before="0" w:line="240" w:lineRule="auto"/>
              <w:ind w:left="0"/>
              <w:jc w:val="center"/>
              <w:rPr>
                <w:rFonts w:hint="eastAsia" w:ascii="Times New Roman" w:hAnsi="Times New Roman" w:cs="Times New Roman"/>
                <w:sz w:val="21"/>
                <w:lang w:val="en-US" w:eastAsia="zh-CN"/>
              </w:rPr>
            </w:pPr>
          </w:p>
        </w:tc>
      </w:tr>
    </w:tbl>
    <w:p w14:paraId="3C649C2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（2）水污染物排放情况</w:t>
      </w:r>
    </w:p>
    <w:p w14:paraId="17273E3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w:t>
      </w:r>
      <w:r>
        <w:rPr>
          <w:rFonts w:hint="eastAsia" w:eastAsia="宋体" w:cs="Times New Roman"/>
          <w:color w:val="000000" w:themeColor="text1"/>
          <w:lang w:val="en-US" w:eastAsia="zh-CN"/>
          <w14:textFill>
            <w14:solidFill>
              <w14:schemeClr w14:val="tx1"/>
            </w14:solidFill>
          </w14:textFill>
        </w:rPr>
        <w:t>产生的废水主要为生活污水</w:t>
      </w:r>
      <w:r>
        <w:rPr>
          <w:rFonts w:hint="default" w:ascii="Times New Roman" w:hAnsi="Times New Roman" w:eastAsia="宋体" w:cs="Times New Roman"/>
          <w:color w:val="000000" w:themeColor="text1"/>
          <w:lang w:val="en-US" w:eastAsia="zh-CN"/>
          <w14:textFill>
            <w14:solidFill>
              <w14:schemeClr w14:val="tx1"/>
            </w14:solidFill>
          </w14:textFill>
        </w:rPr>
        <w:t>。生活污水经化粪池处理后接管</w:t>
      </w:r>
      <w:r>
        <w:rPr>
          <w:rFonts w:hint="eastAsia" w:eastAsia="宋体" w:cs="Times New Roman"/>
          <w:color w:val="000000" w:themeColor="text1"/>
          <w:lang w:val="en-US" w:eastAsia="zh-CN"/>
          <w14:textFill>
            <w14:solidFill>
              <w14:schemeClr w14:val="tx1"/>
            </w14:solidFill>
          </w14:textFill>
        </w:rPr>
        <w:t>海安惠泽净水有限公司；</w:t>
      </w:r>
      <w:r>
        <w:rPr>
          <w:rFonts w:hint="eastAsia" w:ascii="Times New Roman" w:hAnsi="Times New Roman" w:cs="Times New Roman" w:eastAsiaTheme="minorEastAsia"/>
          <w:color w:val="auto"/>
          <w:sz w:val="24"/>
          <w:szCs w:val="24"/>
          <w:highlight w:val="none"/>
          <w:lang w:val="en-US" w:eastAsia="zh-CN"/>
        </w:rPr>
        <w:t>水帘废水经物化处理后全部回用于水帘用水、喷枪清洗废水及废气处理冷凝水全部回用于水帘补水，不外排</w:t>
      </w:r>
      <w:r>
        <w:rPr>
          <w:rFonts w:hint="eastAsia" w:eastAsia="宋体" w:cs="Times New Roman"/>
          <w:color w:val="000000" w:themeColor="text1"/>
          <w:lang w:val="en-US" w:eastAsia="zh-CN"/>
          <w14:textFill>
            <w14:solidFill>
              <w14:schemeClr w14:val="tx1"/>
            </w14:solidFill>
          </w14:textFill>
        </w:rPr>
        <w:t>。</w:t>
      </w:r>
    </w:p>
    <w:p w14:paraId="7F7BF1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废水产生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及排放的情况见表3-</w:t>
      </w:r>
      <w:r>
        <w:rPr>
          <w:rFonts w:hint="eastAsia" w:eastAsia="宋体" w:cs="Times New Roman"/>
          <w:color w:val="000000" w:themeColor="text1"/>
          <w:sz w:val="24"/>
          <w:szCs w:val="24"/>
          <w:lang w:val="en-US" w:eastAsia="zh-CN"/>
          <w14:textFill>
            <w14:solidFill>
              <w14:schemeClr w14:val="tx1"/>
            </w14:solidFill>
          </w14:textFill>
        </w:rPr>
        <w:t>16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3D1805D2">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16</w:t>
      </w:r>
      <w:r>
        <w:rPr>
          <w:rFonts w:hint="eastAsia" w:ascii="Times New Roman" w:hAnsi="Times New Roman" w:eastAsia="宋体" w:cs="Times New Roman"/>
          <w:b/>
          <w:bCs/>
          <w:sz w:val="24"/>
          <w:szCs w:val="24"/>
          <w:lang w:val="en-US" w:eastAsia="zh-CN"/>
        </w:rPr>
        <w:t>废水</w:t>
      </w:r>
      <w:r>
        <w:rPr>
          <w:rFonts w:hint="eastAsia" w:ascii="Times New Roman" w:hAnsi="Times New Roman" w:eastAsia="宋体" w:cs="Times New Roman"/>
          <w:b/>
          <w:bCs/>
          <w:sz w:val="24"/>
          <w:szCs w:val="24"/>
          <w:highlight w:val="none"/>
          <w:lang w:val="en-US" w:eastAsia="zh-CN"/>
        </w:rPr>
        <w:t>产生及</w:t>
      </w:r>
      <w:r>
        <w:rPr>
          <w:rFonts w:hint="default" w:ascii="Times New Roman" w:hAnsi="Times New Roman" w:eastAsia="宋体" w:cs="Times New Roman"/>
          <w:b/>
          <w:bCs/>
          <w:sz w:val="24"/>
          <w:szCs w:val="24"/>
        </w:rPr>
        <w:t>排放一览表</w:t>
      </w:r>
    </w:p>
    <w:tbl>
      <w:tblPr>
        <w:tblStyle w:val="37"/>
        <w:tblW w:w="504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03"/>
        <w:gridCol w:w="933"/>
        <w:gridCol w:w="972"/>
        <w:gridCol w:w="816"/>
        <w:gridCol w:w="1243"/>
        <w:gridCol w:w="946"/>
        <w:gridCol w:w="823"/>
        <w:gridCol w:w="1226"/>
        <w:gridCol w:w="1723"/>
      </w:tblGrid>
      <w:tr w14:paraId="4BF814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5" w:type="pct"/>
            <w:vMerge w:val="restart"/>
            <w:tcBorders>
              <w:tl2br w:val="nil"/>
              <w:tr2bl w:val="nil"/>
            </w:tcBorders>
            <w:vAlign w:val="center"/>
          </w:tcPr>
          <w:p w14:paraId="1527B1F3">
            <w:pPr>
              <w:pStyle w:val="140"/>
              <w:spacing w:before="0" w:line="240" w:lineRule="auto"/>
              <w:ind w:left="0" w:right="0"/>
              <w:rPr>
                <w:b/>
                <w:sz w:val="21"/>
              </w:rPr>
            </w:pPr>
            <w:r>
              <w:rPr>
                <w:b/>
                <w:sz w:val="21"/>
              </w:rPr>
              <w:t>类别</w:t>
            </w:r>
          </w:p>
        </w:tc>
        <w:tc>
          <w:tcPr>
            <w:tcW w:w="502" w:type="pct"/>
            <w:vMerge w:val="restart"/>
            <w:tcBorders>
              <w:tl2br w:val="nil"/>
              <w:tr2bl w:val="nil"/>
            </w:tcBorders>
            <w:vAlign w:val="center"/>
          </w:tcPr>
          <w:p w14:paraId="63623A40">
            <w:pPr>
              <w:pStyle w:val="140"/>
              <w:spacing w:before="0" w:line="240" w:lineRule="auto"/>
              <w:ind w:left="0" w:right="0" w:firstLine="0"/>
              <w:rPr>
                <w:rFonts w:ascii="Times New Roman" w:eastAsia="Times New Roman"/>
                <w:b/>
                <w:sz w:val="21"/>
              </w:rPr>
            </w:pPr>
            <w:r>
              <w:rPr>
                <w:b/>
                <w:sz w:val="21"/>
              </w:rPr>
              <w:t>废水量</w:t>
            </w:r>
            <w:r>
              <w:rPr>
                <w:rFonts w:ascii="Times New Roman" w:eastAsia="Times New Roman"/>
                <w:b/>
                <w:sz w:val="21"/>
              </w:rPr>
              <w:t>t/a</w:t>
            </w:r>
          </w:p>
        </w:tc>
        <w:tc>
          <w:tcPr>
            <w:tcW w:w="523" w:type="pct"/>
            <w:vMerge w:val="restart"/>
            <w:tcBorders>
              <w:tl2br w:val="nil"/>
              <w:tr2bl w:val="nil"/>
            </w:tcBorders>
            <w:vAlign w:val="center"/>
          </w:tcPr>
          <w:p w14:paraId="7E054A05">
            <w:pPr>
              <w:pStyle w:val="140"/>
              <w:spacing w:before="0" w:line="240" w:lineRule="auto"/>
              <w:ind w:left="0" w:right="0"/>
              <w:jc w:val="center"/>
              <w:rPr>
                <w:b/>
                <w:sz w:val="21"/>
              </w:rPr>
            </w:pPr>
            <w:r>
              <w:rPr>
                <w:b/>
                <w:sz w:val="21"/>
              </w:rPr>
              <w:t>污染物名称</w:t>
            </w:r>
          </w:p>
        </w:tc>
        <w:tc>
          <w:tcPr>
            <w:tcW w:w="1108" w:type="pct"/>
            <w:gridSpan w:val="2"/>
            <w:tcBorders>
              <w:tl2br w:val="nil"/>
              <w:tr2bl w:val="nil"/>
            </w:tcBorders>
            <w:vAlign w:val="center"/>
          </w:tcPr>
          <w:p w14:paraId="66ED182C">
            <w:pPr>
              <w:pStyle w:val="140"/>
              <w:spacing w:before="0"/>
              <w:ind w:left="0"/>
              <w:rPr>
                <w:b/>
                <w:sz w:val="21"/>
              </w:rPr>
            </w:pPr>
            <w:r>
              <w:rPr>
                <w:b/>
                <w:sz w:val="21"/>
              </w:rPr>
              <w:t>产生情况</w:t>
            </w:r>
          </w:p>
        </w:tc>
        <w:tc>
          <w:tcPr>
            <w:tcW w:w="509" w:type="pct"/>
            <w:tcBorders>
              <w:tl2br w:val="nil"/>
              <w:tr2bl w:val="nil"/>
            </w:tcBorders>
            <w:vAlign w:val="center"/>
          </w:tcPr>
          <w:p w14:paraId="7800D83D">
            <w:pPr>
              <w:pStyle w:val="140"/>
              <w:spacing w:before="0"/>
              <w:ind w:left="0" w:right="0"/>
              <w:jc w:val="center"/>
              <w:rPr>
                <w:b/>
                <w:sz w:val="21"/>
              </w:rPr>
            </w:pPr>
            <w:r>
              <w:rPr>
                <w:b/>
                <w:sz w:val="21"/>
              </w:rPr>
              <w:t>治理</w:t>
            </w:r>
          </w:p>
        </w:tc>
        <w:tc>
          <w:tcPr>
            <w:tcW w:w="1103" w:type="pct"/>
            <w:gridSpan w:val="2"/>
            <w:tcBorders>
              <w:tl2br w:val="nil"/>
              <w:tr2bl w:val="nil"/>
            </w:tcBorders>
            <w:vAlign w:val="center"/>
          </w:tcPr>
          <w:p w14:paraId="61C99C14">
            <w:pPr>
              <w:pStyle w:val="140"/>
              <w:spacing w:before="0"/>
              <w:ind w:left="0"/>
              <w:rPr>
                <w:b/>
                <w:sz w:val="21"/>
              </w:rPr>
            </w:pPr>
            <w:r>
              <w:rPr>
                <w:b/>
                <w:sz w:val="21"/>
              </w:rPr>
              <w:t>污染物接管量</w:t>
            </w:r>
          </w:p>
        </w:tc>
        <w:tc>
          <w:tcPr>
            <w:tcW w:w="927" w:type="pct"/>
            <w:vMerge w:val="restart"/>
            <w:tcBorders>
              <w:tl2br w:val="nil"/>
              <w:tr2bl w:val="nil"/>
            </w:tcBorders>
            <w:vAlign w:val="center"/>
          </w:tcPr>
          <w:p w14:paraId="6237239E">
            <w:pPr>
              <w:pStyle w:val="140"/>
              <w:spacing w:before="0" w:line="240" w:lineRule="auto"/>
              <w:ind w:left="0" w:right="0" w:firstLine="0"/>
              <w:rPr>
                <w:b/>
                <w:sz w:val="21"/>
              </w:rPr>
            </w:pPr>
            <w:r>
              <w:rPr>
                <w:b/>
                <w:sz w:val="21"/>
              </w:rPr>
              <w:t>排放方式与去向</w:t>
            </w:r>
          </w:p>
        </w:tc>
      </w:tr>
      <w:tr w14:paraId="0A2E34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325" w:type="pct"/>
            <w:vMerge w:val="continue"/>
            <w:tcBorders>
              <w:tl2br w:val="nil"/>
              <w:tr2bl w:val="nil"/>
            </w:tcBorders>
            <w:vAlign w:val="center"/>
          </w:tcPr>
          <w:p w14:paraId="0A93002A">
            <w:pPr>
              <w:jc w:val="center"/>
              <w:rPr>
                <w:sz w:val="2"/>
                <w:szCs w:val="2"/>
              </w:rPr>
            </w:pPr>
          </w:p>
        </w:tc>
        <w:tc>
          <w:tcPr>
            <w:tcW w:w="502" w:type="pct"/>
            <w:vMerge w:val="continue"/>
            <w:tcBorders>
              <w:tl2br w:val="nil"/>
              <w:tr2bl w:val="nil"/>
            </w:tcBorders>
            <w:vAlign w:val="center"/>
          </w:tcPr>
          <w:p w14:paraId="2151FA0A">
            <w:pPr>
              <w:pStyle w:val="140"/>
              <w:spacing w:before="0" w:line="240" w:lineRule="auto"/>
              <w:ind w:left="0" w:right="0" w:firstLine="0"/>
              <w:rPr>
                <w:rFonts w:ascii="Times New Roman" w:eastAsia="Times New Roman"/>
                <w:b/>
                <w:sz w:val="21"/>
              </w:rPr>
            </w:pPr>
          </w:p>
        </w:tc>
        <w:tc>
          <w:tcPr>
            <w:tcW w:w="523" w:type="pct"/>
            <w:vMerge w:val="continue"/>
            <w:tcBorders>
              <w:tl2br w:val="nil"/>
              <w:tr2bl w:val="nil"/>
            </w:tcBorders>
            <w:vAlign w:val="center"/>
          </w:tcPr>
          <w:p w14:paraId="57621547">
            <w:pPr>
              <w:pStyle w:val="140"/>
              <w:spacing w:before="0" w:line="240" w:lineRule="auto"/>
              <w:ind w:left="0" w:right="0"/>
              <w:jc w:val="center"/>
              <w:rPr>
                <w:b/>
                <w:sz w:val="21"/>
              </w:rPr>
            </w:pPr>
          </w:p>
        </w:tc>
        <w:tc>
          <w:tcPr>
            <w:tcW w:w="439" w:type="pct"/>
            <w:tcBorders>
              <w:tl2br w:val="nil"/>
              <w:tr2bl w:val="nil"/>
            </w:tcBorders>
            <w:vAlign w:val="center"/>
          </w:tcPr>
          <w:p w14:paraId="052B00EA">
            <w:pPr>
              <w:pStyle w:val="140"/>
              <w:spacing w:before="0"/>
              <w:ind w:left="0"/>
              <w:jc w:val="center"/>
              <w:rPr>
                <w:rFonts w:ascii="Times New Roman"/>
                <w:b/>
                <w:sz w:val="21"/>
              </w:rPr>
            </w:pPr>
            <w:r>
              <w:rPr>
                <w:b/>
                <w:sz w:val="21"/>
              </w:rPr>
              <w:t>产生浓度</w:t>
            </w:r>
            <w:r>
              <w:rPr>
                <w:rFonts w:ascii="Times New Roman" w:eastAsia="Times New Roman"/>
                <w:b/>
                <w:sz w:val="21"/>
              </w:rPr>
              <w:t>mg/</w:t>
            </w:r>
            <w:r>
              <w:rPr>
                <w:rFonts w:ascii="Times New Roman"/>
                <w:b/>
                <w:w w:val="100"/>
                <w:sz w:val="21"/>
              </w:rPr>
              <w:t>L</w:t>
            </w:r>
          </w:p>
        </w:tc>
        <w:tc>
          <w:tcPr>
            <w:tcW w:w="669" w:type="pct"/>
            <w:tcBorders>
              <w:tl2br w:val="nil"/>
              <w:tr2bl w:val="nil"/>
            </w:tcBorders>
            <w:vAlign w:val="center"/>
          </w:tcPr>
          <w:p w14:paraId="3A2ABEAE">
            <w:pPr>
              <w:pStyle w:val="140"/>
              <w:spacing w:before="0"/>
              <w:ind w:left="0" w:right="0"/>
              <w:jc w:val="center"/>
              <w:rPr>
                <w:rFonts w:ascii="Times New Roman"/>
                <w:b/>
                <w:sz w:val="21"/>
              </w:rPr>
            </w:pPr>
            <w:r>
              <w:rPr>
                <w:b/>
                <w:sz w:val="21"/>
              </w:rPr>
              <w:t>产生量</w:t>
            </w:r>
            <w:r>
              <w:rPr>
                <w:rFonts w:ascii="Times New Roman"/>
                <w:b/>
                <w:sz w:val="21"/>
              </w:rPr>
              <w:t>t/a</w:t>
            </w:r>
          </w:p>
        </w:tc>
        <w:tc>
          <w:tcPr>
            <w:tcW w:w="509" w:type="pct"/>
            <w:tcBorders>
              <w:tl2br w:val="nil"/>
              <w:tr2bl w:val="nil"/>
            </w:tcBorders>
            <w:vAlign w:val="center"/>
          </w:tcPr>
          <w:p w14:paraId="2DA21E54">
            <w:pPr>
              <w:pStyle w:val="140"/>
              <w:ind w:left="0" w:right="0"/>
              <w:jc w:val="center"/>
              <w:rPr>
                <w:b/>
                <w:sz w:val="21"/>
              </w:rPr>
            </w:pPr>
            <w:r>
              <w:rPr>
                <w:b/>
                <w:sz w:val="21"/>
              </w:rPr>
              <w:t>措施</w:t>
            </w:r>
          </w:p>
        </w:tc>
        <w:tc>
          <w:tcPr>
            <w:tcW w:w="443" w:type="pct"/>
            <w:tcBorders>
              <w:tl2br w:val="nil"/>
              <w:tr2bl w:val="nil"/>
            </w:tcBorders>
            <w:vAlign w:val="center"/>
          </w:tcPr>
          <w:p w14:paraId="38708709">
            <w:pPr>
              <w:pStyle w:val="140"/>
              <w:spacing w:before="0"/>
              <w:jc w:val="center"/>
              <w:rPr>
                <w:rFonts w:ascii="Times New Roman"/>
                <w:b/>
                <w:sz w:val="21"/>
              </w:rPr>
            </w:pPr>
            <w:r>
              <w:rPr>
                <w:b/>
                <w:sz w:val="21"/>
              </w:rPr>
              <w:t>接管浓度</w:t>
            </w:r>
            <w:r>
              <w:rPr>
                <w:rFonts w:ascii="Times New Roman" w:eastAsia="Times New Roman"/>
                <w:b/>
                <w:sz w:val="21"/>
              </w:rPr>
              <w:t>mg/</w:t>
            </w:r>
            <w:r>
              <w:rPr>
                <w:rFonts w:ascii="Times New Roman"/>
                <w:b/>
                <w:w w:val="100"/>
                <w:sz w:val="21"/>
              </w:rPr>
              <w:t>L</w:t>
            </w:r>
          </w:p>
        </w:tc>
        <w:tc>
          <w:tcPr>
            <w:tcW w:w="659" w:type="pct"/>
            <w:tcBorders>
              <w:tl2br w:val="nil"/>
              <w:tr2bl w:val="nil"/>
            </w:tcBorders>
            <w:vAlign w:val="center"/>
          </w:tcPr>
          <w:p w14:paraId="5E1CB67A">
            <w:pPr>
              <w:pStyle w:val="140"/>
              <w:spacing w:before="0"/>
              <w:ind w:left="0" w:right="0"/>
              <w:jc w:val="center"/>
              <w:rPr>
                <w:rFonts w:ascii="Times New Roman"/>
                <w:b/>
                <w:sz w:val="21"/>
              </w:rPr>
            </w:pPr>
            <w:r>
              <w:rPr>
                <w:b/>
                <w:sz w:val="21"/>
              </w:rPr>
              <w:t>排放量</w:t>
            </w:r>
            <w:r>
              <w:rPr>
                <w:rFonts w:ascii="Times New Roman"/>
                <w:b/>
                <w:sz w:val="21"/>
              </w:rPr>
              <w:t>t/a</w:t>
            </w:r>
          </w:p>
        </w:tc>
        <w:tc>
          <w:tcPr>
            <w:tcW w:w="927" w:type="pct"/>
            <w:vMerge w:val="continue"/>
            <w:tcBorders>
              <w:tl2br w:val="nil"/>
              <w:tr2bl w:val="nil"/>
            </w:tcBorders>
            <w:vAlign w:val="center"/>
          </w:tcPr>
          <w:p w14:paraId="642FB130">
            <w:pPr>
              <w:pStyle w:val="140"/>
              <w:spacing w:before="0" w:line="240" w:lineRule="auto"/>
              <w:ind w:left="0" w:right="0" w:firstLine="0"/>
              <w:rPr>
                <w:b/>
                <w:sz w:val="21"/>
              </w:rPr>
            </w:pPr>
          </w:p>
        </w:tc>
      </w:tr>
      <w:tr w14:paraId="511815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5" w:type="pct"/>
            <w:vMerge w:val="restart"/>
            <w:tcBorders>
              <w:tl2br w:val="nil"/>
              <w:tr2bl w:val="nil"/>
            </w:tcBorders>
            <w:vAlign w:val="center"/>
          </w:tcPr>
          <w:p w14:paraId="3569E0EF">
            <w:pPr>
              <w:pStyle w:val="140"/>
              <w:spacing w:before="0" w:line="240" w:lineRule="auto"/>
              <w:ind w:left="0" w:leftChars="0" w:right="0" w:rightChars="0"/>
              <w:jc w:val="center"/>
              <w:rPr>
                <w:rFonts w:ascii="宋体" w:hAnsi="宋体" w:eastAsia="宋体" w:cs="宋体"/>
                <w:kern w:val="2"/>
                <w:sz w:val="21"/>
                <w:szCs w:val="24"/>
                <w:lang w:val="en-US" w:eastAsia="zh-CN" w:bidi="ar-SA"/>
              </w:rPr>
            </w:pPr>
            <w:r>
              <w:rPr>
                <w:sz w:val="21"/>
              </w:rPr>
              <w:t>生活污水</w:t>
            </w:r>
          </w:p>
        </w:tc>
        <w:tc>
          <w:tcPr>
            <w:tcW w:w="502" w:type="pct"/>
            <w:vMerge w:val="restart"/>
            <w:tcBorders>
              <w:tl2br w:val="nil"/>
              <w:tr2bl w:val="nil"/>
            </w:tcBorders>
            <w:vAlign w:val="center"/>
          </w:tcPr>
          <w:p w14:paraId="38E58928">
            <w:pPr>
              <w:pStyle w:val="140"/>
              <w:spacing w:before="0"/>
              <w:ind w:left="0" w:leftChars="0"/>
              <w:rPr>
                <w:rFonts w:hint="default" w:ascii="Times New Roman" w:hAnsi="宋体" w:eastAsia="宋体" w:cs="宋体"/>
                <w:kern w:val="2"/>
                <w:sz w:val="21"/>
                <w:szCs w:val="24"/>
                <w:lang w:val="en-US" w:eastAsia="zh-CN" w:bidi="ar-SA"/>
              </w:rPr>
            </w:pPr>
            <w:r>
              <w:rPr>
                <w:rFonts w:hint="eastAsia" w:ascii="Times New Roman"/>
                <w:sz w:val="21"/>
                <w:lang w:val="en-US" w:eastAsia="zh-CN"/>
              </w:rPr>
              <w:t>1728</w:t>
            </w:r>
          </w:p>
        </w:tc>
        <w:tc>
          <w:tcPr>
            <w:tcW w:w="523" w:type="pct"/>
            <w:tcBorders>
              <w:tl2br w:val="nil"/>
              <w:tr2bl w:val="nil"/>
            </w:tcBorders>
            <w:vAlign w:val="center"/>
          </w:tcPr>
          <w:p w14:paraId="6839A16E">
            <w:pPr>
              <w:pStyle w:val="140"/>
              <w:spacing w:before="0"/>
              <w:ind w:left="0" w:right="0"/>
              <w:jc w:val="center"/>
              <w:rPr>
                <w:rFonts w:ascii="Times New Roman"/>
                <w:sz w:val="21"/>
              </w:rPr>
            </w:pPr>
            <w:r>
              <w:rPr>
                <w:rFonts w:ascii="Times New Roman"/>
                <w:sz w:val="21"/>
              </w:rPr>
              <w:t>COD</w:t>
            </w:r>
          </w:p>
        </w:tc>
        <w:tc>
          <w:tcPr>
            <w:tcW w:w="816" w:type="dxa"/>
            <w:tcBorders>
              <w:tl2br w:val="nil"/>
              <w:tr2bl w:val="nil"/>
            </w:tcBorders>
            <w:vAlign w:val="center"/>
          </w:tcPr>
          <w:p w14:paraId="790C135F">
            <w:pPr>
              <w:pStyle w:val="179"/>
              <w:rPr>
                <w:rFonts w:hint="default" w:ascii="Times New Roman" w:eastAsia="宋体"/>
                <w:sz w:val="21"/>
                <w:lang w:val="en-US" w:eastAsia="zh-CN"/>
              </w:rPr>
            </w:pPr>
            <w:r>
              <w:rPr>
                <w:rFonts w:hint="eastAsia"/>
              </w:rPr>
              <w:t>40</w:t>
            </w:r>
            <w:r>
              <w:t>0</w:t>
            </w:r>
          </w:p>
        </w:tc>
        <w:tc>
          <w:tcPr>
            <w:tcW w:w="1243" w:type="dxa"/>
            <w:tcBorders>
              <w:tl2br w:val="nil"/>
              <w:tr2bl w:val="nil"/>
            </w:tcBorders>
            <w:vAlign w:val="center"/>
          </w:tcPr>
          <w:p w14:paraId="6124C243">
            <w:pPr>
              <w:pStyle w:val="179"/>
              <w:rPr>
                <w:rFonts w:hint="default" w:ascii="Times New Roman" w:eastAsia="宋体"/>
                <w:sz w:val="21"/>
                <w:lang w:val="en-US" w:eastAsia="zh-CN"/>
              </w:rPr>
            </w:pPr>
            <w:r>
              <w:rPr>
                <w:rFonts w:hint="eastAsia"/>
              </w:rPr>
              <w:t>0</w:t>
            </w:r>
            <w:r>
              <w:t>.691</w:t>
            </w:r>
          </w:p>
        </w:tc>
        <w:tc>
          <w:tcPr>
            <w:tcW w:w="509" w:type="pct"/>
            <w:vMerge w:val="restart"/>
            <w:tcBorders>
              <w:tl2br w:val="nil"/>
              <w:tr2bl w:val="nil"/>
            </w:tcBorders>
            <w:vAlign w:val="center"/>
          </w:tcPr>
          <w:p w14:paraId="152ADCFA">
            <w:pPr>
              <w:pStyle w:val="140"/>
              <w:spacing w:line="240" w:lineRule="auto"/>
              <w:ind w:left="0" w:leftChars="0" w:right="0" w:rightChars="0" w:firstLine="0" w:firstLineChars="0"/>
              <w:rPr>
                <w:rFonts w:ascii="宋体" w:hAnsi="宋体" w:eastAsia="宋体" w:cs="宋体"/>
                <w:kern w:val="2"/>
                <w:sz w:val="21"/>
                <w:szCs w:val="24"/>
                <w:lang w:val="en-US" w:eastAsia="zh-CN" w:bidi="ar-SA"/>
              </w:rPr>
            </w:pPr>
            <w:r>
              <w:rPr>
                <w:sz w:val="21"/>
              </w:rPr>
              <w:t>化粪池</w:t>
            </w:r>
          </w:p>
        </w:tc>
        <w:tc>
          <w:tcPr>
            <w:tcW w:w="823" w:type="dxa"/>
            <w:tcBorders>
              <w:tl2br w:val="nil"/>
              <w:tr2bl w:val="nil"/>
            </w:tcBorders>
            <w:vAlign w:val="center"/>
          </w:tcPr>
          <w:p w14:paraId="0065801C">
            <w:pPr>
              <w:pStyle w:val="179"/>
              <w:rPr>
                <w:rFonts w:hint="default" w:ascii="Times New Roman" w:eastAsia="宋体"/>
                <w:sz w:val="21"/>
                <w:lang w:val="en-US" w:eastAsia="zh-CN"/>
              </w:rPr>
            </w:pPr>
            <w:r>
              <w:rPr>
                <w:rFonts w:hint="eastAsia"/>
              </w:rPr>
              <w:t>4</w:t>
            </w:r>
            <w:r>
              <w:t>00</w:t>
            </w:r>
          </w:p>
        </w:tc>
        <w:tc>
          <w:tcPr>
            <w:tcW w:w="1226" w:type="dxa"/>
            <w:tcBorders>
              <w:tl2br w:val="nil"/>
              <w:tr2bl w:val="nil"/>
            </w:tcBorders>
            <w:vAlign w:val="center"/>
          </w:tcPr>
          <w:p w14:paraId="62659D67">
            <w:pPr>
              <w:pStyle w:val="179"/>
              <w:rPr>
                <w:rFonts w:hint="default" w:ascii="Times New Roman" w:hAnsi="宋体" w:eastAsia="宋体" w:cs="宋体"/>
                <w:kern w:val="2"/>
                <w:sz w:val="21"/>
                <w:szCs w:val="24"/>
                <w:lang w:val="en-US" w:eastAsia="zh-CN" w:bidi="ar-SA"/>
              </w:rPr>
            </w:pPr>
            <w:r>
              <w:rPr>
                <w:rFonts w:hint="eastAsia"/>
              </w:rPr>
              <w:t>0</w:t>
            </w:r>
            <w:r>
              <w:t>.691</w:t>
            </w:r>
          </w:p>
        </w:tc>
        <w:tc>
          <w:tcPr>
            <w:tcW w:w="927" w:type="pct"/>
            <w:vMerge w:val="restart"/>
            <w:tcBorders>
              <w:tl2br w:val="nil"/>
              <w:tr2bl w:val="nil"/>
            </w:tcBorders>
            <w:vAlign w:val="center"/>
          </w:tcPr>
          <w:p w14:paraId="0D759709">
            <w:pPr>
              <w:jc w:val="center"/>
              <w:rPr>
                <w:rFonts w:hint="default" w:eastAsia="宋体"/>
                <w:sz w:val="2"/>
                <w:szCs w:val="2"/>
                <w:lang w:val="en-US" w:eastAsia="zh-CN"/>
              </w:rPr>
            </w:pPr>
            <w:r>
              <w:rPr>
                <w:rFonts w:hint="eastAsia" w:ascii="宋体" w:hAnsi="宋体" w:eastAsia="宋体" w:cs="宋体"/>
                <w:sz w:val="21"/>
                <w:lang w:val="en-US" w:eastAsia="zh-CN"/>
              </w:rPr>
              <w:t>接管至海安惠泽净水有限公司处理</w:t>
            </w:r>
          </w:p>
        </w:tc>
      </w:tr>
      <w:tr w14:paraId="5B9C43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5" w:type="pct"/>
            <w:vMerge w:val="continue"/>
            <w:tcBorders>
              <w:tl2br w:val="nil"/>
              <w:tr2bl w:val="nil"/>
            </w:tcBorders>
            <w:vAlign w:val="center"/>
          </w:tcPr>
          <w:p w14:paraId="37DBE6BA">
            <w:pPr>
              <w:jc w:val="center"/>
              <w:rPr>
                <w:sz w:val="2"/>
                <w:szCs w:val="2"/>
              </w:rPr>
            </w:pPr>
          </w:p>
        </w:tc>
        <w:tc>
          <w:tcPr>
            <w:tcW w:w="502" w:type="pct"/>
            <w:vMerge w:val="continue"/>
            <w:tcBorders>
              <w:tl2br w:val="nil"/>
              <w:tr2bl w:val="nil"/>
            </w:tcBorders>
            <w:vAlign w:val="center"/>
          </w:tcPr>
          <w:p w14:paraId="18BCB681">
            <w:pPr>
              <w:jc w:val="center"/>
              <w:rPr>
                <w:sz w:val="2"/>
                <w:szCs w:val="2"/>
              </w:rPr>
            </w:pPr>
          </w:p>
        </w:tc>
        <w:tc>
          <w:tcPr>
            <w:tcW w:w="523" w:type="pct"/>
            <w:tcBorders>
              <w:tl2br w:val="nil"/>
              <w:tr2bl w:val="nil"/>
            </w:tcBorders>
            <w:vAlign w:val="center"/>
          </w:tcPr>
          <w:p w14:paraId="4FFDDBE6">
            <w:pPr>
              <w:pStyle w:val="140"/>
              <w:spacing w:before="0"/>
              <w:ind w:left="0" w:right="0"/>
              <w:jc w:val="center"/>
              <w:rPr>
                <w:rFonts w:ascii="Times New Roman"/>
                <w:sz w:val="21"/>
              </w:rPr>
            </w:pPr>
            <w:r>
              <w:rPr>
                <w:rFonts w:ascii="Times New Roman"/>
                <w:sz w:val="21"/>
              </w:rPr>
              <w:t>SS</w:t>
            </w:r>
          </w:p>
        </w:tc>
        <w:tc>
          <w:tcPr>
            <w:tcW w:w="816" w:type="dxa"/>
            <w:tcBorders>
              <w:tl2br w:val="nil"/>
              <w:tr2bl w:val="nil"/>
            </w:tcBorders>
            <w:vAlign w:val="center"/>
          </w:tcPr>
          <w:p w14:paraId="434C76DB">
            <w:pPr>
              <w:pStyle w:val="179"/>
              <w:rPr>
                <w:rFonts w:hint="default" w:ascii="Times New Roman" w:eastAsia="宋体"/>
                <w:sz w:val="21"/>
                <w:lang w:val="en-US" w:eastAsia="zh-CN"/>
              </w:rPr>
            </w:pPr>
            <w:r>
              <w:rPr>
                <w:rFonts w:hint="eastAsia"/>
              </w:rPr>
              <w:t>20</w:t>
            </w:r>
            <w:r>
              <w:t>0</w:t>
            </w:r>
          </w:p>
        </w:tc>
        <w:tc>
          <w:tcPr>
            <w:tcW w:w="1243" w:type="dxa"/>
            <w:tcBorders>
              <w:tl2br w:val="nil"/>
              <w:tr2bl w:val="nil"/>
            </w:tcBorders>
            <w:vAlign w:val="center"/>
          </w:tcPr>
          <w:p w14:paraId="407DBCBA">
            <w:pPr>
              <w:pStyle w:val="179"/>
              <w:rPr>
                <w:rFonts w:hint="default" w:ascii="Times New Roman" w:eastAsia="宋体"/>
                <w:sz w:val="21"/>
                <w:lang w:val="en-US" w:eastAsia="zh-CN"/>
              </w:rPr>
            </w:pPr>
            <w:r>
              <w:rPr>
                <w:rFonts w:hint="eastAsia"/>
              </w:rPr>
              <w:t>0</w:t>
            </w:r>
            <w:r>
              <w:t>.432</w:t>
            </w:r>
          </w:p>
        </w:tc>
        <w:tc>
          <w:tcPr>
            <w:tcW w:w="509" w:type="pct"/>
            <w:vMerge w:val="continue"/>
            <w:tcBorders>
              <w:tl2br w:val="nil"/>
              <w:tr2bl w:val="nil"/>
            </w:tcBorders>
            <w:vAlign w:val="center"/>
          </w:tcPr>
          <w:p w14:paraId="6426E14D">
            <w:pPr>
              <w:jc w:val="center"/>
              <w:rPr>
                <w:sz w:val="2"/>
                <w:szCs w:val="2"/>
              </w:rPr>
            </w:pPr>
          </w:p>
        </w:tc>
        <w:tc>
          <w:tcPr>
            <w:tcW w:w="823" w:type="dxa"/>
            <w:tcBorders>
              <w:tl2br w:val="nil"/>
              <w:tr2bl w:val="nil"/>
            </w:tcBorders>
            <w:vAlign w:val="center"/>
          </w:tcPr>
          <w:p w14:paraId="082120FF">
            <w:pPr>
              <w:pStyle w:val="179"/>
              <w:rPr>
                <w:rFonts w:hint="default" w:ascii="Times New Roman" w:eastAsia="宋体"/>
                <w:sz w:val="21"/>
                <w:lang w:val="en-US" w:eastAsia="zh-CN"/>
              </w:rPr>
            </w:pPr>
            <w:r>
              <w:rPr>
                <w:rFonts w:hint="eastAsia"/>
              </w:rPr>
              <w:t>2</w:t>
            </w:r>
            <w:r>
              <w:t>00</w:t>
            </w:r>
          </w:p>
        </w:tc>
        <w:tc>
          <w:tcPr>
            <w:tcW w:w="1226" w:type="dxa"/>
            <w:tcBorders>
              <w:tl2br w:val="nil"/>
              <w:tr2bl w:val="nil"/>
            </w:tcBorders>
            <w:vAlign w:val="center"/>
          </w:tcPr>
          <w:p w14:paraId="50CCE6D5">
            <w:pPr>
              <w:pStyle w:val="179"/>
              <w:rPr>
                <w:rFonts w:hint="default" w:ascii="Times New Roman" w:hAnsi="宋体" w:eastAsia="宋体" w:cs="宋体"/>
                <w:kern w:val="2"/>
                <w:sz w:val="21"/>
                <w:szCs w:val="24"/>
                <w:lang w:val="en-US" w:eastAsia="zh-CN" w:bidi="ar-SA"/>
              </w:rPr>
            </w:pPr>
            <w:r>
              <w:rPr>
                <w:rFonts w:hint="eastAsia"/>
              </w:rPr>
              <w:t>0</w:t>
            </w:r>
            <w:r>
              <w:t>.432</w:t>
            </w:r>
          </w:p>
        </w:tc>
        <w:tc>
          <w:tcPr>
            <w:tcW w:w="927" w:type="pct"/>
            <w:vMerge w:val="continue"/>
            <w:tcBorders>
              <w:tl2br w:val="nil"/>
              <w:tr2bl w:val="nil"/>
            </w:tcBorders>
            <w:vAlign w:val="center"/>
          </w:tcPr>
          <w:p w14:paraId="24CD980B">
            <w:pPr>
              <w:jc w:val="center"/>
              <w:rPr>
                <w:sz w:val="2"/>
                <w:szCs w:val="2"/>
              </w:rPr>
            </w:pPr>
          </w:p>
        </w:tc>
      </w:tr>
      <w:tr w14:paraId="6D4D7D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5" w:type="pct"/>
            <w:vMerge w:val="continue"/>
            <w:tcBorders>
              <w:tl2br w:val="nil"/>
              <w:tr2bl w:val="nil"/>
            </w:tcBorders>
            <w:vAlign w:val="center"/>
          </w:tcPr>
          <w:p w14:paraId="5BFA1C1F">
            <w:pPr>
              <w:jc w:val="center"/>
              <w:rPr>
                <w:sz w:val="2"/>
                <w:szCs w:val="2"/>
              </w:rPr>
            </w:pPr>
          </w:p>
        </w:tc>
        <w:tc>
          <w:tcPr>
            <w:tcW w:w="502" w:type="pct"/>
            <w:vMerge w:val="continue"/>
            <w:tcBorders>
              <w:tl2br w:val="nil"/>
              <w:tr2bl w:val="nil"/>
            </w:tcBorders>
            <w:vAlign w:val="center"/>
          </w:tcPr>
          <w:p w14:paraId="19CD9157">
            <w:pPr>
              <w:jc w:val="center"/>
              <w:rPr>
                <w:sz w:val="2"/>
                <w:szCs w:val="2"/>
              </w:rPr>
            </w:pPr>
          </w:p>
        </w:tc>
        <w:tc>
          <w:tcPr>
            <w:tcW w:w="523" w:type="pct"/>
            <w:tcBorders>
              <w:tl2br w:val="nil"/>
              <w:tr2bl w:val="nil"/>
            </w:tcBorders>
            <w:vAlign w:val="center"/>
          </w:tcPr>
          <w:p w14:paraId="0305099D">
            <w:pPr>
              <w:pStyle w:val="140"/>
              <w:spacing w:before="0"/>
              <w:ind w:left="0" w:right="0"/>
              <w:jc w:val="center"/>
              <w:rPr>
                <w:sz w:val="21"/>
              </w:rPr>
            </w:pPr>
            <w:r>
              <w:rPr>
                <w:sz w:val="21"/>
              </w:rPr>
              <w:t>氨氮</w:t>
            </w:r>
          </w:p>
        </w:tc>
        <w:tc>
          <w:tcPr>
            <w:tcW w:w="816" w:type="dxa"/>
            <w:tcBorders>
              <w:tl2br w:val="nil"/>
              <w:tr2bl w:val="nil"/>
            </w:tcBorders>
            <w:vAlign w:val="center"/>
          </w:tcPr>
          <w:p w14:paraId="03B97AD9">
            <w:pPr>
              <w:pStyle w:val="179"/>
              <w:rPr>
                <w:rFonts w:hint="default" w:ascii="Times New Roman" w:eastAsia="宋体"/>
                <w:sz w:val="21"/>
                <w:lang w:val="en-US" w:eastAsia="zh-CN"/>
              </w:rPr>
            </w:pPr>
            <w:r>
              <w:rPr>
                <w:rFonts w:hint="eastAsia"/>
              </w:rPr>
              <w:t>25</w:t>
            </w:r>
          </w:p>
        </w:tc>
        <w:tc>
          <w:tcPr>
            <w:tcW w:w="1243" w:type="dxa"/>
            <w:tcBorders>
              <w:tl2br w:val="nil"/>
              <w:tr2bl w:val="nil"/>
            </w:tcBorders>
            <w:vAlign w:val="center"/>
          </w:tcPr>
          <w:p w14:paraId="6A958111">
            <w:pPr>
              <w:pStyle w:val="179"/>
              <w:rPr>
                <w:rFonts w:hint="default" w:ascii="Times New Roman" w:eastAsia="宋体"/>
                <w:sz w:val="21"/>
                <w:lang w:val="en-US" w:eastAsia="zh-CN"/>
              </w:rPr>
            </w:pPr>
            <w:r>
              <w:rPr>
                <w:rFonts w:hint="eastAsia"/>
              </w:rPr>
              <w:t>0</w:t>
            </w:r>
            <w:r>
              <w:t>.043</w:t>
            </w:r>
          </w:p>
        </w:tc>
        <w:tc>
          <w:tcPr>
            <w:tcW w:w="509" w:type="pct"/>
            <w:vMerge w:val="continue"/>
            <w:tcBorders>
              <w:tl2br w:val="nil"/>
              <w:tr2bl w:val="nil"/>
            </w:tcBorders>
            <w:vAlign w:val="center"/>
          </w:tcPr>
          <w:p w14:paraId="642078E1">
            <w:pPr>
              <w:jc w:val="center"/>
              <w:rPr>
                <w:sz w:val="2"/>
                <w:szCs w:val="2"/>
              </w:rPr>
            </w:pPr>
          </w:p>
        </w:tc>
        <w:tc>
          <w:tcPr>
            <w:tcW w:w="823" w:type="dxa"/>
            <w:tcBorders>
              <w:tl2br w:val="nil"/>
              <w:tr2bl w:val="nil"/>
            </w:tcBorders>
            <w:vAlign w:val="center"/>
          </w:tcPr>
          <w:p w14:paraId="5ABE61DB">
            <w:pPr>
              <w:pStyle w:val="179"/>
              <w:rPr>
                <w:rFonts w:ascii="Times New Roman"/>
                <w:sz w:val="21"/>
              </w:rPr>
            </w:pPr>
            <w:r>
              <w:rPr>
                <w:rFonts w:hint="eastAsia"/>
              </w:rPr>
              <w:t>2</w:t>
            </w:r>
            <w:r>
              <w:t>5</w:t>
            </w:r>
          </w:p>
        </w:tc>
        <w:tc>
          <w:tcPr>
            <w:tcW w:w="1226" w:type="dxa"/>
            <w:tcBorders>
              <w:tl2br w:val="nil"/>
              <w:tr2bl w:val="nil"/>
            </w:tcBorders>
            <w:vAlign w:val="center"/>
          </w:tcPr>
          <w:p w14:paraId="5DBCF695">
            <w:pPr>
              <w:pStyle w:val="179"/>
              <w:rPr>
                <w:rFonts w:hint="default" w:ascii="Times New Roman" w:hAnsi="宋体" w:eastAsia="宋体" w:cs="宋体"/>
                <w:kern w:val="2"/>
                <w:sz w:val="21"/>
                <w:szCs w:val="24"/>
                <w:lang w:val="en-US" w:eastAsia="zh-CN" w:bidi="ar-SA"/>
              </w:rPr>
            </w:pPr>
            <w:r>
              <w:rPr>
                <w:rFonts w:hint="eastAsia"/>
              </w:rPr>
              <w:t>0</w:t>
            </w:r>
            <w:r>
              <w:t>.043</w:t>
            </w:r>
          </w:p>
        </w:tc>
        <w:tc>
          <w:tcPr>
            <w:tcW w:w="927" w:type="pct"/>
            <w:vMerge w:val="continue"/>
            <w:tcBorders>
              <w:tl2br w:val="nil"/>
              <w:tr2bl w:val="nil"/>
            </w:tcBorders>
            <w:vAlign w:val="center"/>
          </w:tcPr>
          <w:p w14:paraId="06E50DCD">
            <w:pPr>
              <w:jc w:val="center"/>
              <w:rPr>
                <w:sz w:val="2"/>
                <w:szCs w:val="2"/>
              </w:rPr>
            </w:pPr>
          </w:p>
        </w:tc>
      </w:tr>
      <w:tr w14:paraId="0D7B75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25" w:type="pct"/>
            <w:vMerge w:val="continue"/>
            <w:tcBorders>
              <w:tl2br w:val="nil"/>
              <w:tr2bl w:val="nil"/>
            </w:tcBorders>
            <w:vAlign w:val="center"/>
          </w:tcPr>
          <w:p w14:paraId="213862A3">
            <w:pPr>
              <w:jc w:val="center"/>
              <w:rPr>
                <w:sz w:val="2"/>
                <w:szCs w:val="2"/>
              </w:rPr>
            </w:pPr>
          </w:p>
        </w:tc>
        <w:tc>
          <w:tcPr>
            <w:tcW w:w="502" w:type="pct"/>
            <w:vMerge w:val="continue"/>
            <w:tcBorders>
              <w:tl2br w:val="nil"/>
              <w:tr2bl w:val="nil"/>
            </w:tcBorders>
            <w:vAlign w:val="center"/>
          </w:tcPr>
          <w:p w14:paraId="5E4CD00B">
            <w:pPr>
              <w:jc w:val="center"/>
              <w:rPr>
                <w:sz w:val="2"/>
                <w:szCs w:val="2"/>
              </w:rPr>
            </w:pPr>
          </w:p>
        </w:tc>
        <w:tc>
          <w:tcPr>
            <w:tcW w:w="523" w:type="pct"/>
            <w:tcBorders>
              <w:tl2br w:val="nil"/>
              <w:tr2bl w:val="nil"/>
            </w:tcBorders>
            <w:vAlign w:val="center"/>
          </w:tcPr>
          <w:p w14:paraId="1FDC5B75">
            <w:pPr>
              <w:pStyle w:val="140"/>
              <w:spacing w:before="0"/>
              <w:ind w:left="0" w:right="0"/>
              <w:jc w:val="center"/>
              <w:rPr>
                <w:sz w:val="21"/>
              </w:rPr>
            </w:pPr>
            <w:r>
              <w:rPr>
                <w:sz w:val="21"/>
              </w:rPr>
              <w:t>总磷</w:t>
            </w:r>
          </w:p>
        </w:tc>
        <w:tc>
          <w:tcPr>
            <w:tcW w:w="816" w:type="dxa"/>
            <w:tcBorders>
              <w:tl2br w:val="nil"/>
              <w:tr2bl w:val="nil"/>
            </w:tcBorders>
            <w:vAlign w:val="center"/>
          </w:tcPr>
          <w:p w14:paraId="0C5BC0F6">
            <w:pPr>
              <w:pStyle w:val="179"/>
              <w:rPr>
                <w:rFonts w:hint="eastAsia" w:ascii="Times New Roman" w:eastAsia="宋体"/>
                <w:sz w:val="21"/>
                <w:lang w:eastAsia="zh-CN"/>
              </w:rPr>
            </w:pPr>
            <w:r>
              <w:rPr>
                <w:rFonts w:hint="eastAsia"/>
              </w:rPr>
              <w:t>3</w:t>
            </w:r>
          </w:p>
        </w:tc>
        <w:tc>
          <w:tcPr>
            <w:tcW w:w="1243" w:type="dxa"/>
            <w:tcBorders>
              <w:tl2br w:val="nil"/>
              <w:tr2bl w:val="nil"/>
            </w:tcBorders>
            <w:vAlign w:val="center"/>
          </w:tcPr>
          <w:p w14:paraId="37B46D98">
            <w:pPr>
              <w:pStyle w:val="179"/>
              <w:rPr>
                <w:rFonts w:hint="default" w:ascii="Times New Roman" w:eastAsia="宋体"/>
                <w:sz w:val="21"/>
                <w:lang w:val="en-US" w:eastAsia="zh-CN"/>
              </w:rPr>
            </w:pPr>
            <w:r>
              <w:rPr>
                <w:rFonts w:hint="eastAsia"/>
              </w:rPr>
              <w:t>0</w:t>
            </w:r>
            <w:r>
              <w:t>.007</w:t>
            </w:r>
          </w:p>
        </w:tc>
        <w:tc>
          <w:tcPr>
            <w:tcW w:w="509" w:type="pct"/>
            <w:vMerge w:val="continue"/>
            <w:tcBorders>
              <w:tl2br w:val="nil"/>
              <w:tr2bl w:val="nil"/>
            </w:tcBorders>
            <w:vAlign w:val="center"/>
          </w:tcPr>
          <w:p w14:paraId="0603E999">
            <w:pPr>
              <w:jc w:val="center"/>
              <w:rPr>
                <w:sz w:val="2"/>
                <w:szCs w:val="2"/>
              </w:rPr>
            </w:pPr>
          </w:p>
        </w:tc>
        <w:tc>
          <w:tcPr>
            <w:tcW w:w="823" w:type="dxa"/>
            <w:tcBorders>
              <w:tl2br w:val="nil"/>
              <w:tr2bl w:val="nil"/>
            </w:tcBorders>
            <w:vAlign w:val="center"/>
          </w:tcPr>
          <w:p w14:paraId="0FC98C1A">
            <w:pPr>
              <w:pStyle w:val="179"/>
              <w:rPr>
                <w:rFonts w:hint="eastAsia" w:ascii="Times New Roman" w:eastAsia="宋体"/>
                <w:sz w:val="21"/>
                <w:lang w:eastAsia="zh-CN"/>
              </w:rPr>
            </w:pPr>
            <w:r>
              <w:rPr>
                <w:rFonts w:hint="eastAsia"/>
              </w:rPr>
              <w:t>3</w:t>
            </w:r>
          </w:p>
        </w:tc>
        <w:tc>
          <w:tcPr>
            <w:tcW w:w="1226" w:type="dxa"/>
            <w:tcBorders>
              <w:tl2br w:val="nil"/>
              <w:tr2bl w:val="nil"/>
            </w:tcBorders>
            <w:vAlign w:val="center"/>
          </w:tcPr>
          <w:p w14:paraId="207584CE">
            <w:pPr>
              <w:pStyle w:val="179"/>
              <w:rPr>
                <w:rFonts w:hint="default" w:ascii="Times New Roman" w:hAnsi="宋体" w:eastAsia="宋体" w:cs="宋体"/>
                <w:kern w:val="2"/>
                <w:sz w:val="21"/>
                <w:szCs w:val="24"/>
                <w:lang w:val="en-US" w:eastAsia="zh-CN" w:bidi="ar-SA"/>
              </w:rPr>
            </w:pPr>
            <w:r>
              <w:rPr>
                <w:rFonts w:hint="eastAsia"/>
              </w:rPr>
              <w:t>0</w:t>
            </w:r>
            <w:r>
              <w:t>.007</w:t>
            </w:r>
          </w:p>
        </w:tc>
        <w:tc>
          <w:tcPr>
            <w:tcW w:w="927" w:type="pct"/>
            <w:vMerge w:val="continue"/>
            <w:tcBorders>
              <w:tl2br w:val="nil"/>
              <w:tr2bl w:val="nil"/>
            </w:tcBorders>
            <w:vAlign w:val="center"/>
          </w:tcPr>
          <w:p w14:paraId="13A0C20A">
            <w:pPr>
              <w:jc w:val="center"/>
              <w:rPr>
                <w:sz w:val="2"/>
                <w:szCs w:val="2"/>
              </w:rPr>
            </w:pPr>
          </w:p>
        </w:tc>
      </w:tr>
    </w:tbl>
    <w:p w14:paraId="7389AC3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（3）固废排放情况</w:t>
      </w:r>
    </w:p>
    <w:p w14:paraId="3BA8B00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建设项目产生的固废主要为生活垃圾、</w:t>
      </w:r>
      <w:r>
        <w:rPr>
          <w:rFonts w:ascii="Times New Roman" w:hAnsi="Times New Roman" w:eastAsia="宋体" w:cs="Times New Roman"/>
          <w:i w:val="0"/>
          <w:iCs w:val="0"/>
          <w:caps w:val="0"/>
          <w:color w:val="000000" w:themeColor="text1"/>
          <w:spacing w:val="0"/>
          <w:sz w:val="24"/>
          <w:szCs w:val="24"/>
          <w:shd w:val="clear" w:fill="auto"/>
          <w14:textFill>
            <w14:solidFill>
              <w14:schemeClr w14:val="tx1"/>
            </w14:solidFill>
          </w14:textFill>
        </w:rPr>
        <w:t>除尘器粉尘</w:t>
      </w:r>
      <w:r>
        <w:rPr>
          <w:rFonts w:hint="default" w:eastAsia="宋体" w:cs="Times New Roman"/>
          <w:color w:val="000000" w:themeColor="text1"/>
          <w:lang w:val="en-US" w:eastAsia="zh-CN"/>
          <w14:textFill>
            <w14:solidFill>
              <w14:schemeClr w14:val="tx1"/>
            </w14:solidFill>
          </w14:textFill>
        </w:rPr>
        <w:t>、</w:t>
      </w:r>
      <w:r>
        <w:rPr>
          <w:rFonts w:ascii="Times New Roman" w:hAnsi="Times New Roman" w:eastAsia="宋体" w:cs="Times New Roman"/>
          <w:i w:val="0"/>
          <w:iCs w:val="0"/>
          <w:caps w:val="0"/>
          <w:color w:val="000000" w:themeColor="text1"/>
          <w:spacing w:val="0"/>
          <w:sz w:val="24"/>
          <w:szCs w:val="24"/>
          <w:shd w:val="clear" w:fill="auto"/>
          <w14:textFill>
            <w14:solidFill>
              <w14:schemeClr w14:val="tx1"/>
            </w14:solidFill>
          </w14:textFill>
        </w:rPr>
        <w:t>废木料</w:t>
      </w:r>
      <w:r>
        <w:rPr>
          <w:rFonts w:hint="default" w:eastAsia="宋体" w:cs="Times New Roman"/>
          <w:color w:val="000000" w:themeColor="text1"/>
          <w:lang w:val="en-US" w:eastAsia="zh-CN"/>
          <w14:textFill>
            <w14:solidFill>
              <w14:schemeClr w14:val="tx1"/>
            </w14:solidFill>
          </w14:textFill>
        </w:rPr>
        <w:t>、含油废水、废活性炭、灰渣、漆渣、气浮渣、废包装桶、胶渣</w:t>
      </w:r>
      <w:r>
        <w:rPr>
          <w:rFonts w:hint="default" w:ascii="Times New Roman" w:hAnsi="Times New Roman" w:eastAsia="宋体" w:cs="Times New Roman"/>
          <w:color w:val="000000" w:themeColor="text1"/>
          <w:lang w:val="en-US" w:eastAsia="zh-CN"/>
          <w14:textFill>
            <w14:solidFill>
              <w14:schemeClr w14:val="tx1"/>
            </w14:solidFill>
          </w14:textFill>
        </w:rPr>
        <w:t>。</w:t>
      </w:r>
    </w:p>
    <w:p w14:paraId="6156C7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kern w:val="2"/>
          <w:sz w:val="24"/>
          <w:szCs w:val="24"/>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生活垃圾由环卫清运；</w:t>
      </w:r>
      <w:r>
        <w:rPr>
          <w:rFonts w:hint="eastAsia" w:ascii="Times New Roman" w:hAnsi="Times New Roman" w:eastAsia="宋体" w:cs="Times New Roman"/>
          <w:i w:val="0"/>
          <w:iCs w:val="0"/>
          <w:caps w:val="0"/>
          <w:color w:val="000000" w:themeColor="text1"/>
          <w:spacing w:val="0"/>
          <w:sz w:val="24"/>
          <w:szCs w:val="24"/>
          <w:shd w:val="clear"/>
          <w14:textFill>
            <w14:solidFill>
              <w14:schemeClr w14:val="tx1"/>
            </w14:solidFill>
          </w14:textFill>
        </w:rPr>
        <w:t>除尘器粉尘</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ascii="Times New Roman" w:hAnsi="Times New Roman" w:eastAsia="宋体" w:cs="Times New Roman"/>
          <w:i w:val="0"/>
          <w:iCs w:val="0"/>
          <w:caps w:val="0"/>
          <w:color w:val="000000" w:themeColor="text1"/>
          <w:spacing w:val="0"/>
          <w:sz w:val="24"/>
          <w:szCs w:val="24"/>
          <w:shd w:val="clear"/>
          <w14:textFill>
            <w14:solidFill>
              <w14:schemeClr w14:val="tx1"/>
            </w14:solidFill>
          </w14:textFill>
        </w:rPr>
        <w:t>废木料</w:t>
      </w:r>
      <w:r>
        <w:rPr>
          <w:rFonts w:hint="eastAsia" w:eastAsia="宋体" w:cs="Times New Roman"/>
          <w:color w:val="000000" w:themeColor="text1"/>
          <w:lang w:val="en-US" w:eastAsia="zh-CN"/>
          <w14:textFill>
            <w14:solidFill>
              <w14:schemeClr w14:val="tx1"/>
            </w14:solidFill>
          </w14:textFill>
        </w:rPr>
        <w:t>收集后外售综合利用；</w:t>
      </w:r>
      <w:r>
        <w:rPr>
          <w:rFonts w:hint="default" w:ascii="Times New Roman" w:hAnsi="Times New Roman" w:eastAsia="宋体" w:cs="Times New Roman"/>
          <w:b w:val="0"/>
          <w:bCs w:val="0"/>
          <w:color w:val="000000" w:themeColor="text1"/>
          <w:kern w:val="0"/>
          <w:sz w:val="24"/>
          <w:szCs w:val="24"/>
          <w:highlight w:val="none"/>
          <w:lang w:val="en-US" w:eastAsia="zh-CN" w:bidi="ar-SA"/>
          <w14:textFill>
            <w14:solidFill>
              <w14:schemeClr w14:val="tx1"/>
            </w14:solidFill>
          </w14:textFill>
        </w:rPr>
        <w:t>废包装桶、打磨灰渣、废纸质过滤器、漆渣、气浮渣、废辊涂刷、废刷子、胶渣、废过滤棉、废活性炭、含油废水、废劳保用品</w:t>
      </w:r>
      <w:r>
        <w:rPr>
          <w:rFonts w:hint="eastAsia" w:eastAsia="宋体" w:cs="Times New Roman"/>
          <w:color w:val="000000" w:themeColor="text1"/>
          <w:lang w:val="en-US" w:eastAsia="zh-CN"/>
          <w14:textFill>
            <w14:solidFill>
              <w14:schemeClr w14:val="tx1"/>
            </w14:solidFill>
          </w14:textFill>
        </w:rPr>
        <w:t>收集后由</w:t>
      </w:r>
      <w:r>
        <w:rPr>
          <w:rFonts w:hint="eastAsia" w:eastAsia="宋体" w:cs="Times New Roman"/>
          <w:color w:val="000000" w:themeColor="text1"/>
          <w:sz w:val="24"/>
          <w:szCs w:val="24"/>
          <w:lang w:eastAsia="zh-CN"/>
          <w14:textFill>
            <w14:solidFill>
              <w14:schemeClr w14:val="tx1"/>
            </w14:solidFill>
          </w14:textFill>
        </w:rPr>
        <w:t>海安蔚蓝环保服务有限公司</w:t>
      </w:r>
      <w:r>
        <w:rPr>
          <w:rFonts w:hint="eastAsia" w:eastAsia="宋体" w:cs="Times New Roman"/>
          <w:color w:val="000000" w:themeColor="text1"/>
          <w:sz w:val="24"/>
          <w:szCs w:val="24"/>
          <w:lang w:val="en-US" w:eastAsia="zh-CN"/>
          <w14:textFill>
            <w14:solidFill>
              <w14:schemeClr w14:val="tx1"/>
            </w14:solidFill>
          </w14:textFill>
        </w:rPr>
        <w:t>处</w:t>
      </w:r>
      <w:r>
        <w:rPr>
          <w:rFonts w:hint="eastAsia" w:eastAsia="宋体" w:cs="Times New Roman"/>
          <w:color w:val="000000" w:themeColor="text1"/>
          <w:lang w:val="en-US" w:eastAsia="zh-CN"/>
          <w14:textFill>
            <w14:solidFill>
              <w14:schemeClr w14:val="tx1"/>
            </w14:solidFill>
          </w14:textFill>
        </w:rPr>
        <w:t>置。</w:t>
      </w:r>
    </w:p>
    <w:p w14:paraId="0A185B4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危险固（液）体废物和一般固体废物产生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情况见表3-</w:t>
      </w:r>
      <w:r>
        <w:rPr>
          <w:rFonts w:hint="eastAsia" w:eastAsia="宋体" w:cs="Times New Roman"/>
          <w:color w:val="000000" w:themeColor="text1"/>
          <w:sz w:val="24"/>
          <w:szCs w:val="24"/>
          <w:lang w:val="en-US" w:eastAsia="zh-CN"/>
          <w14:textFill>
            <w14:solidFill>
              <w14:schemeClr w14:val="tx1"/>
            </w14:solidFill>
          </w14:textFill>
        </w:rPr>
        <w:t>17、3-18</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4C83769A">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17</w:t>
      </w:r>
      <w:r>
        <w:rPr>
          <w:rFonts w:hint="default" w:ascii="Times New Roman" w:hAnsi="Times New Roman" w:eastAsia="宋体" w:cs="Times New Roman"/>
          <w:b/>
          <w:bCs/>
          <w:sz w:val="24"/>
          <w:szCs w:val="24"/>
        </w:rPr>
        <w:t>危险</w:t>
      </w:r>
      <w:r>
        <w:rPr>
          <w:rFonts w:hint="default" w:ascii="Times New Roman" w:hAnsi="Times New Roman" w:eastAsia="宋体" w:cs="Times New Roman"/>
          <w:b/>
          <w:bCs/>
          <w:sz w:val="24"/>
          <w:szCs w:val="24"/>
          <w:highlight w:val="none"/>
        </w:rPr>
        <w:t>固（液）体</w:t>
      </w:r>
      <w:r>
        <w:rPr>
          <w:rFonts w:hint="eastAsia" w:eastAsia="宋体" w:cs="Times New Roman"/>
          <w:b/>
          <w:bCs/>
          <w:sz w:val="24"/>
          <w:szCs w:val="24"/>
          <w:highlight w:val="none"/>
          <w:lang w:val="en-US" w:eastAsia="zh-CN"/>
        </w:rPr>
        <w:t>废物和一般固废产</w:t>
      </w:r>
      <w:r>
        <w:rPr>
          <w:rFonts w:hint="eastAsia" w:eastAsia="宋体" w:cs="Times New Roman"/>
          <w:b/>
          <w:bCs/>
          <w:sz w:val="24"/>
          <w:szCs w:val="24"/>
          <w:lang w:val="en-US" w:eastAsia="zh-CN"/>
        </w:rPr>
        <w:t>生</w:t>
      </w:r>
      <w:r>
        <w:rPr>
          <w:rFonts w:hint="default" w:ascii="Times New Roman" w:hAnsi="Times New Roman" w:eastAsia="宋体" w:cs="Times New Roman"/>
          <w:b/>
          <w:bCs/>
          <w:sz w:val="24"/>
          <w:szCs w:val="24"/>
        </w:rPr>
        <w:t>情况一览表</w:t>
      </w:r>
    </w:p>
    <w:tbl>
      <w:tblPr>
        <w:tblStyle w:val="37"/>
        <w:tblW w:w="920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82"/>
        <w:gridCol w:w="918"/>
        <w:gridCol w:w="976"/>
        <w:gridCol w:w="732"/>
        <w:gridCol w:w="713"/>
        <w:gridCol w:w="923"/>
        <w:gridCol w:w="1121"/>
        <w:gridCol w:w="1389"/>
        <w:gridCol w:w="2046"/>
      </w:tblGrid>
      <w:tr w14:paraId="580ABF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382" w:type="dxa"/>
            <w:tcBorders>
              <w:tl2br w:val="nil"/>
              <w:tr2bl w:val="nil"/>
            </w:tcBorders>
            <w:vAlign w:val="center"/>
          </w:tcPr>
          <w:p w14:paraId="513139F5">
            <w:pPr>
              <w:pStyle w:val="140"/>
              <w:ind w:left="0" w:right="0"/>
              <w:jc w:val="center"/>
              <w:rPr>
                <w:rFonts w:hint="default" w:ascii="Times New Roman" w:hAnsi="Times New Roman" w:cs="Times New Roman"/>
                <w:sz w:val="21"/>
              </w:rPr>
            </w:pPr>
            <w:r>
              <w:rPr>
                <w:rFonts w:hint="default" w:ascii="Times New Roman" w:hAnsi="Times New Roman" w:cs="Times New Roman"/>
                <w:sz w:val="21"/>
              </w:rPr>
              <w:t>序号</w:t>
            </w:r>
          </w:p>
        </w:tc>
        <w:tc>
          <w:tcPr>
            <w:tcW w:w="918" w:type="dxa"/>
            <w:tcBorders>
              <w:tl2br w:val="nil"/>
              <w:tr2bl w:val="nil"/>
            </w:tcBorders>
            <w:vAlign w:val="center"/>
          </w:tcPr>
          <w:p w14:paraId="5D5A9067">
            <w:pPr>
              <w:pStyle w:val="140"/>
              <w:ind w:left="0"/>
              <w:jc w:val="center"/>
              <w:rPr>
                <w:rFonts w:hint="default" w:ascii="Times New Roman" w:hAnsi="Times New Roman" w:cs="Times New Roman"/>
                <w:sz w:val="21"/>
              </w:rPr>
            </w:pPr>
            <w:r>
              <w:rPr>
                <w:rFonts w:hint="default" w:ascii="Times New Roman" w:hAnsi="Times New Roman" w:cs="Times New Roman"/>
                <w:sz w:val="21"/>
              </w:rPr>
              <w:t>固废名称</w:t>
            </w:r>
          </w:p>
        </w:tc>
        <w:tc>
          <w:tcPr>
            <w:tcW w:w="976" w:type="dxa"/>
            <w:tcBorders>
              <w:tl2br w:val="nil"/>
              <w:tr2bl w:val="nil"/>
            </w:tcBorders>
            <w:vAlign w:val="center"/>
          </w:tcPr>
          <w:p w14:paraId="08EB9DE4">
            <w:pPr>
              <w:pStyle w:val="140"/>
              <w:spacing w:before="0" w:line="240" w:lineRule="auto"/>
              <w:ind w:left="0" w:right="0" w:firstLine="0"/>
              <w:rPr>
                <w:rFonts w:hint="default" w:ascii="Times New Roman" w:hAnsi="Times New Roman" w:cs="Times New Roman"/>
                <w:sz w:val="21"/>
              </w:rPr>
            </w:pPr>
            <w:r>
              <w:rPr>
                <w:rFonts w:hint="default" w:ascii="Times New Roman" w:hAnsi="Times New Roman" w:cs="Times New Roman"/>
                <w:sz w:val="21"/>
              </w:rPr>
              <w:t>产生工序</w:t>
            </w:r>
          </w:p>
        </w:tc>
        <w:tc>
          <w:tcPr>
            <w:tcW w:w="732" w:type="dxa"/>
            <w:tcBorders>
              <w:tl2br w:val="nil"/>
              <w:tr2bl w:val="nil"/>
            </w:tcBorders>
            <w:vAlign w:val="center"/>
          </w:tcPr>
          <w:p w14:paraId="462CA7EF">
            <w:pPr>
              <w:pStyle w:val="140"/>
              <w:ind w:right="0"/>
              <w:jc w:val="center"/>
              <w:rPr>
                <w:rFonts w:hint="default" w:ascii="Times New Roman" w:hAnsi="Times New Roman" w:cs="Times New Roman"/>
                <w:sz w:val="21"/>
              </w:rPr>
            </w:pPr>
            <w:r>
              <w:rPr>
                <w:rFonts w:hint="default" w:ascii="Times New Roman" w:hAnsi="Times New Roman" w:cs="Times New Roman"/>
                <w:w w:val="100"/>
                <w:sz w:val="21"/>
              </w:rPr>
              <w:t>形态</w:t>
            </w:r>
          </w:p>
        </w:tc>
        <w:tc>
          <w:tcPr>
            <w:tcW w:w="713" w:type="dxa"/>
            <w:tcBorders>
              <w:tl2br w:val="nil"/>
              <w:tr2bl w:val="nil"/>
            </w:tcBorders>
            <w:vAlign w:val="center"/>
          </w:tcPr>
          <w:p w14:paraId="6431A1DE">
            <w:pPr>
              <w:pStyle w:val="140"/>
              <w:ind w:left="0"/>
              <w:rPr>
                <w:rFonts w:hint="default" w:ascii="Times New Roman" w:hAnsi="Times New Roman" w:cs="Times New Roman"/>
                <w:sz w:val="21"/>
              </w:rPr>
            </w:pPr>
            <w:r>
              <w:rPr>
                <w:rFonts w:hint="default" w:ascii="Times New Roman" w:hAnsi="Times New Roman" w:cs="Times New Roman"/>
                <w:sz w:val="21"/>
              </w:rPr>
              <w:t>属性</w:t>
            </w:r>
          </w:p>
        </w:tc>
        <w:tc>
          <w:tcPr>
            <w:tcW w:w="923" w:type="dxa"/>
            <w:tcBorders>
              <w:tl2br w:val="nil"/>
              <w:tr2bl w:val="nil"/>
            </w:tcBorders>
            <w:vAlign w:val="center"/>
          </w:tcPr>
          <w:p w14:paraId="69F77A05">
            <w:pPr>
              <w:pStyle w:val="14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废物类别</w:t>
            </w:r>
          </w:p>
        </w:tc>
        <w:tc>
          <w:tcPr>
            <w:tcW w:w="1121" w:type="dxa"/>
            <w:tcBorders>
              <w:tl2br w:val="nil"/>
              <w:tr2bl w:val="nil"/>
            </w:tcBorders>
            <w:vAlign w:val="center"/>
          </w:tcPr>
          <w:p w14:paraId="373924BB">
            <w:pPr>
              <w:pStyle w:val="140"/>
              <w:ind w:left="0" w:right="0"/>
              <w:jc w:val="center"/>
              <w:rPr>
                <w:rFonts w:hint="default" w:ascii="Times New Roman" w:hAnsi="Times New Roman" w:cs="Times New Roman"/>
                <w:sz w:val="21"/>
              </w:rPr>
            </w:pPr>
            <w:r>
              <w:rPr>
                <w:rFonts w:hint="default" w:ascii="Times New Roman" w:hAnsi="Times New Roman" w:cs="Times New Roman"/>
                <w:sz w:val="21"/>
              </w:rPr>
              <w:t>废物代码</w:t>
            </w:r>
          </w:p>
        </w:tc>
        <w:tc>
          <w:tcPr>
            <w:tcW w:w="1389" w:type="dxa"/>
            <w:tcBorders>
              <w:tl2br w:val="nil"/>
              <w:tr2bl w:val="nil"/>
            </w:tcBorders>
            <w:vAlign w:val="center"/>
          </w:tcPr>
          <w:p w14:paraId="4003362A">
            <w:pPr>
              <w:pStyle w:val="140"/>
              <w:spacing w:before="0" w:line="240" w:lineRule="auto"/>
              <w:ind w:left="0"/>
              <w:rPr>
                <w:rFonts w:hint="default" w:ascii="Times New Roman" w:hAnsi="Times New Roman" w:cs="Times New Roman"/>
                <w:sz w:val="21"/>
              </w:rPr>
            </w:pPr>
            <w:r>
              <w:rPr>
                <w:rFonts w:hint="default" w:ascii="Times New Roman" w:hAnsi="Times New Roman" w:cs="Times New Roman"/>
                <w:sz w:val="21"/>
              </w:rPr>
              <w:t>产生量（t/a）</w:t>
            </w:r>
          </w:p>
        </w:tc>
        <w:tc>
          <w:tcPr>
            <w:tcW w:w="2046" w:type="dxa"/>
            <w:tcBorders>
              <w:tl2br w:val="nil"/>
              <w:tr2bl w:val="nil"/>
            </w:tcBorders>
            <w:vAlign w:val="center"/>
          </w:tcPr>
          <w:p w14:paraId="35707BD5">
            <w:pPr>
              <w:pStyle w:val="140"/>
              <w:ind w:left="0"/>
              <w:rPr>
                <w:rFonts w:hint="default" w:ascii="Times New Roman" w:hAnsi="Times New Roman" w:cs="Times New Roman"/>
                <w:sz w:val="21"/>
              </w:rPr>
            </w:pPr>
            <w:r>
              <w:rPr>
                <w:rFonts w:hint="default" w:ascii="Times New Roman" w:hAnsi="Times New Roman" w:cs="Times New Roman"/>
                <w:sz w:val="21"/>
              </w:rPr>
              <w:t>处置方式</w:t>
            </w:r>
          </w:p>
        </w:tc>
      </w:tr>
      <w:tr w14:paraId="369C01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382" w:type="dxa"/>
            <w:tcBorders>
              <w:tl2br w:val="nil"/>
              <w:tr2bl w:val="nil"/>
            </w:tcBorders>
            <w:vAlign w:val="center"/>
          </w:tcPr>
          <w:p w14:paraId="037B7270">
            <w:pPr>
              <w:pStyle w:val="14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1</w:t>
            </w:r>
          </w:p>
        </w:tc>
        <w:tc>
          <w:tcPr>
            <w:tcW w:w="918" w:type="dxa"/>
            <w:tcBorders>
              <w:tl2br w:val="nil"/>
              <w:tr2bl w:val="nil"/>
            </w:tcBorders>
            <w:shd w:val="clear" w:color="auto" w:fill="auto"/>
            <w:vAlign w:val="center"/>
          </w:tcPr>
          <w:p w14:paraId="39497F1F">
            <w:pPr>
              <w:pStyle w:val="140"/>
              <w:jc w:val="center"/>
              <w:rPr>
                <w:rFonts w:hint="default" w:ascii="宋体" w:hAnsi="Times New Roman" w:eastAsia="Times New Roman" w:cs="Times New Roman"/>
                <w:kern w:val="2"/>
                <w:sz w:val="21"/>
                <w:szCs w:val="24"/>
                <w:lang w:val="en-US" w:eastAsia="zh-CN" w:bidi="zh-CN"/>
              </w:rPr>
            </w:pPr>
            <w:r>
              <w:rPr>
                <w:rFonts w:hint="eastAsia" w:ascii="宋体" w:cs="Times New Roman"/>
                <w:kern w:val="2"/>
                <w:sz w:val="21"/>
                <w:szCs w:val="24"/>
                <w:lang w:val="en-US" w:eastAsia="zh-CN" w:bidi="zh-CN"/>
              </w:rPr>
              <w:t>废包装桶</w:t>
            </w:r>
          </w:p>
        </w:tc>
        <w:tc>
          <w:tcPr>
            <w:tcW w:w="976" w:type="dxa"/>
            <w:tcBorders>
              <w:tl2br w:val="nil"/>
              <w:tr2bl w:val="nil"/>
            </w:tcBorders>
            <w:vAlign w:val="center"/>
          </w:tcPr>
          <w:p w14:paraId="20FBC176">
            <w:pPr>
              <w:jc w:val="center"/>
              <w:rPr>
                <w:rFonts w:hint="default" w:ascii="Times New Roman" w:hAnsi="Times New Roman" w:cs="Times New Roman"/>
                <w:sz w:val="21"/>
                <w:lang w:val="en-US" w:eastAsia="zh-CN"/>
              </w:rPr>
            </w:pPr>
            <w:r>
              <w:rPr>
                <w:rFonts w:hint="default" w:ascii="Times New Roman" w:hAnsi="Times New Roman" w:eastAsia="宋体" w:cs="Times New Roman"/>
                <w:sz w:val="21"/>
                <w:szCs w:val="21"/>
              </w:rPr>
              <w:t>物料</w:t>
            </w:r>
            <w:r>
              <w:rPr>
                <w:rFonts w:hint="default" w:ascii="Times New Roman" w:hAnsi="Times New Roman" w:eastAsia="宋体" w:cs="Times New Roman"/>
                <w:sz w:val="21"/>
                <w:szCs w:val="21"/>
                <w:lang w:val="en-US" w:eastAsia="zh-CN"/>
              </w:rPr>
              <w:t>使用</w:t>
            </w:r>
          </w:p>
        </w:tc>
        <w:tc>
          <w:tcPr>
            <w:tcW w:w="732" w:type="dxa"/>
            <w:tcBorders>
              <w:tl2br w:val="nil"/>
              <w:tr2bl w:val="nil"/>
            </w:tcBorders>
            <w:vAlign w:val="center"/>
          </w:tcPr>
          <w:p w14:paraId="5D2C74A5">
            <w:pPr>
              <w:ind w:right="0"/>
              <w:jc w:val="center"/>
              <w:rPr>
                <w:rFonts w:hint="eastAsia" w:ascii="Times New Roman" w:hAnsi="Times New Roman" w:eastAsia="宋体" w:cs="Times New Roman"/>
                <w:w w:val="100"/>
                <w:sz w:val="21"/>
                <w:lang w:val="en-US" w:eastAsia="zh-CN"/>
              </w:rPr>
            </w:pPr>
            <w:r>
              <w:rPr>
                <w:rFonts w:hint="default" w:ascii="Times New Roman" w:hAnsi="Times New Roman" w:cs="Times New Roman"/>
                <w:w w:val="100"/>
                <w:sz w:val="21"/>
              </w:rPr>
              <w:t>固态</w:t>
            </w:r>
          </w:p>
        </w:tc>
        <w:tc>
          <w:tcPr>
            <w:tcW w:w="713" w:type="dxa"/>
            <w:vMerge w:val="restart"/>
            <w:tcBorders>
              <w:tl2br w:val="nil"/>
              <w:tr2bl w:val="nil"/>
            </w:tcBorders>
            <w:vAlign w:val="center"/>
          </w:tcPr>
          <w:p w14:paraId="2E5E0F03">
            <w:pPr>
              <w:pStyle w:val="140"/>
              <w:spacing w:before="0"/>
              <w:ind w:left="0"/>
              <w:rPr>
                <w:rFonts w:hint="default" w:ascii="Times New Roman" w:hAnsi="Times New Roman" w:cs="Times New Roman"/>
                <w:sz w:val="21"/>
              </w:rPr>
            </w:pPr>
            <w:r>
              <w:rPr>
                <w:rFonts w:hint="default" w:ascii="Times New Roman" w:hAnsi="Times New Roman" w:cs="Times New Roman"/>
                <w:sz w:val="21"/>
              </w:rPr>
              <w:t>危险固废</w:t>
            </w:r>
          </w:p>
        </w:tc>
        <w:tc>
          <w:tcPr>
            <w:tcW w:w="923" w:type="dxa"/>
            <w:tcBorders>
              <w:tl2br w:val="nil"/>
              <w:tr2bl w:val="nil"/>
            </w:tcBorders>
            <w:vAlign w:val="center"/>
          </w:tcPr>
          <w:p w14:paraId="26729737">
            <w:pPr>
              <w:pStyle w:val="140"/>
              <w:ind w:left="0" w:righ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336403CD">
            <w:pPr>
              <w:widowControl/>
              <w:jc w:val="center"/>
              <w:rPr>
                <w:rFonts w:hint="default" w:ascii="Times New Roman" w:hAnsi="Times New Roman" w:eastAsia="宋体" w:cs="Times New Roman"/>
                <w:sz w:val="21"/>
                <w:lang w:val="en-US" w:eastAsia="zh-CN"/>
              </w:rPr>
            </w:pPr>
            <w:r>
              <w:rPr>
                <w:rFonts w:hint="eastAsia" w:cs="Times New Roman"/>
                <w:sz w:val="21"/>
                <w:szCs w:val="21"/>
                <w:lang w:val="en-US" w:eastAsia="zh-CN"/>
              </w:rPr>
              <w:t>900-041-49</w:t>
            </w:r>
          </w:p>
        </w:tc>
        <w:tc>
          <w:tcPr>
            <w:tcW w:w="1389" w:type="dxa"/>
            <w:tcBorders>
              <w:tl2br w:val="nil"/>
              <w:tr2bl w:val="nil"/>
            </w:tcBorders>
            <w:vAlign w:val="center"/>
          </w:tcPr>
          <w:p w14:paraId="2C909C93">
            <w:pPr>
              <w:pStyle w:val="100"/>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3.3</w:t>
            </w:r>
          </w:p>
        </w:tc>
        <w:tc>
          <w:tcPr>
            <w:tcW w:w="2046" w:type="dxa"/>
            <w:vMerge w:val="restart"/>
            <w:tcBorders>
              <w:tl2br w:val="nil"/>
              <w:tr2bl w:val="nil"/>
            </w:tcBorders>
            <w:vAlign w:val="center"/>
          </w:tcPr>
          <w:p w14:paraId="118D44D4">
            <w:pPr>
              <w:pStyle w:val="140"/>
              <w:spacing w:before="0" w:line="240" w:lineRule="auto"/>
              <w:ind w:left="0" w:right="0"/>
              <w:jc w:val="center"/>
              <w:rPr>
                <w:rFonts w:hint="default" w:ascii="Times New Roman" w:hAnsi="Times New Roman" w:cs="Times New Roman"/>
                <w:sz w:val="21"/>
              </w:rPr>
            </w:pPr>
            <w:r>
              <w:rPr>
                <w:rFonts w:hint="default" w:ascii="Times New Roman" w:hAnsi="Times New Roman" w:cs="Times New Roman"/>
                <w:color w:val="auto"/>
                <w:sz w:val="21"/>
              </w:rPr>
              <w:t>收集后由</w:t>
            </w:r>
            <w:r>
              <w:rPr>
                <w:rFonts w:hint="eastAsia" w:ascii="Times New Roman" w:hAnsi="Times New Roman" w:cs="Times New Roman"/>
                <w:color w:val="auto"/>
                <w:sz w:val="21"/>
                <w:lang w:eastAsia="zh-CN"/>
              </w:rPr>
              <w:t>海安蔚蓝环保服务有限公司</w:t>
            </w:r>
            <w:r>
              <w:rPr>
                <w:rFonts w:hint="eastAsia" w:ascii="Times New Roman" w:hAnsi="Times New Roman" w:cs="Times New Roman"/>
                <w:color w:val="auto"/>
                <w:sz w:val="21"/>
                <w:lang w:val="en-US" w:eastAsia="zh-CN"/>
              </w:rPr>
              <w:t>进行处置</w:t>
            </w:r>
          </w:p>
        </w:tc>
      </w:tr>
      <w:tr w14:paraId="3315FC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382" w:type="dxa"/>
            <w:tcBorders>
              <w:tl2br w:val="nil"/>
              <w:tr2bl w:val="nil"/>
            </w:tcBorders>
            <w:vAlign w:val="center"/>
          </w:tcPr>
          <w:p w14:paraId="2FD83C92">
            <w:pPr>
              <w:pStyle w:val="14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2</w:t>
            </w:r>
          </w:p>
        </w:tc>
        <w:tc>
          <w:tcPr>
            <w:tcW w:w="918" w:type="dxa"/>
            <w:tcBorders>
              <w:tl2br w:val="nil"/>
              <w:tr2bl w:val="nil"/>
            </w:tcBorders>
            <w:shd w:val="clear" w:color="auto" w:fill="auto"/>
            <w:vAlign w:val="center"/>
          </w:tcPr>
          <w:p w14:paraId="00BA7695">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打磨灰渣</w:t>
            </w:r>
          </w:p>
        </w:tc>
        <w:tc>
          <w:tcPr>
            <w:tcW w:w="976" w:type="dxa"/>
            <w:tcBorders>
              <w:tl2br w:val="nil"/>
              <w:tr2bl w:val="nil"/>
            </w:tcBorders>
            <w:vAlign w:val="center"/>
          </w:tcPr>
          <w:p w14:paraId="6760CE7C">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1"/>
              </w:rPr>
            </w:pPr>
            <w:r>
              <w:rPr>
                <w:rFonts w:hint="default" w:ascii="Times New Roman" w:hAnsi="Times New Roman" w:eastAsia="宋体" w:cs="Times New Roman"/>
                <w:sz w:val="21"/>
                <w:szCs w:val="21"/>
                <w:lang w:val="en-US" w:eastAsia="zh-CN"/>
              </w:rPr>
              <w:t>底漆</w:t>
            </w:r>
            <w:r>
              <w:rPr>
                <w:rFonts w:hint="default" w:ascii="Times New Roman" w:hAnsi="Times New Roman" w:eastAsia="宋体" w:cs="Times New Roman"/>
                <w:sz w:val="21"/>
                <w:szCs w:val="21"/>
              </w:rPr>
              <w:t>打磨</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辊涂线(砂光)</w:t>
            </w:r>
          </w:p>
        </w:tc>
        <w:tc>
          <w:tcPr>
            <w:tcW w:w="732" w:type="dxa"/>
            <w:tcBorders>
              <w:tl2br w:val="nil"/>
              <w:tr2bl w:val="nil"/>
            </w:tcBorders>
            <w:vAlign w:val="center"/>
          </w:tcPr>
          <w:p w14:paraId="5946CC63">
            <w:pPr>
              <w:ind w:right="0"/>
              <w:jc w:val="center"/>
              <w:rPr>
                <w:rFonts w:hint="default" w:ascii="Times New Roman" w:hAnsi="Times New Roman" w:cs="Times New Roman"/>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78BD4522">
            <w:pPr>
              <w:pStyle w:val="140"/>
              <w:spacing w:before="0"/>
              <w:ind w:left="0"/>
              <w:rPr>
                <w:rFonts w:hint="default" w:ascii="Times New Roman" w:hAnsi="Times New Roman" w:cs="Times New Roman"/>
                <w:sz w:val="21"/>
              </w:rPr>
            </w:pPr>
          </w:p>
        </w:tc>
        <w:tc>
          <w:tcPr>
            <w:tcW w:w="923" w:type="dxa"/>
            <w:tcBorders>
              <w:tl2br w:val="nil"/>
              <w:tr2bl w:val="nil"/>
            </w:tcBorders>
            <w:vAlign w:val="center"/>
          </w:tcPr>
          <w:p w14:paraId="20011720">
            <w:pPr>
              <w:pStyle w:val="14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HW12</w:t>
            </w:r>
          </w:p>
        </w:tc>
        <w:tc>
          <w:tcPr>
            <w:tcW w:w="1121" w:type="dxa"/>
            <w:tcBorders>
              <w:tl2br w:val="nil"/>
              <w:tr2bl w:val="nil"/>
            </w:tcBorders>
            <w:vAlign w:val="center"/>
          </w:tcPr>
          <w:p w14:paraId="3C5B73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szCs w:val="21"/>
                <w:lang w:val="en-US" w:eastAsia="zh-CN"/>
              </w:rPr>
              <w:t>900-252-12</w:t>
            </w:r>
          </w:p>
        </w:tc>
        <w:tc>
          <w:tcPr>
            <w:tcW w:w="1389" w:type="dxa"/>
            <w:tcBorders>
              <w:tl2br w:val="nil"/>
              <w:tr2bl w:val="nil"/>
            </w:tcBorders>
            <w:vAlign w:val="center"/>
          </w:tcPr>
          <w:p w14:paraId="0C26EF97">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kern w:val="2"/>
                <w:sz w:val="21"/>
                <w:szCs w:val="21"/>
                <w:lang w:val="en-US" w:eastAsia="zh-CN" w:bidi="ar-SA"/>
              </w:rPr>
              <w:t>1.0</w:t>
            </w:r>
          </w:p>
        </w:tc>
        <w:tc>
          <w:tcPr>
            <w:tcW w:w="2046" w:type="dxa"/>
            <w:vMerge w:val="continue"/>
            <w:tcBorders>
              <w:tl2br w:val="nil"/>
              <w:tr2bl w:val="nil"/>
            </w:tcBorders>
            <w:vAlign w:val="center"/>
          </w:tcPr>
          <w:p w14:paraId="4D496F0E">
            <w:pPr>
              <w:pStyle w:val="140"/>
              <w:spacing w:before="0" w:line="240" w:lineRule="auto"/>
              <w:ind w:left="0" w:right="0"/>
              <w:jc w:val="center"/>
              <w:rPr>
                <w:rFonts w:hint="default" w:ascii="Times New Roman" w:hAnsi="Times New Roman" w:cs="Times New Roman"/>
                <w:sz w:val="21"/>
              </w:rPr>
            </w:pPr>
          </w:p>
        </w:tc>
      </w:tr>
      <w:tr w14:paraId="3A4E90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382" w:type="dxa"/>
            <w:tcBorders>
              <w:tl2br w:val="nil"/>
              <w:tr2bl w:val="nil"/>
            </w:tcBorders>
            <w:vAlign w:val="center"/>
          </w:tcPr>
          <w:p w14:paraId="2F4883A7">
            <w:pPr>
              <w:pStyle w:val="14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3</w:t>
            </w:r>
          </w:p>
        </w:tc>
        <w:tc>
          <w:tcPr>
            <w:tcW w:w="918" w:type="dxa"/>
            <w:tcBorders>
              <w:tl2br w:val="nil"/>
              <w:tr2bl w:val="nil"/>
            </w:tcBorders>
            <w:shd w:val="clear" w:color="auto" w:fill="auto"/>
            <w:vAlign w:val="center"/>
          </w:tcPr>
          <w:p w14:paraId="52F8538A">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漆渣、气浮渣</w:t>
            </w:r>
          </w:p>
        </w:tc>
        <w:tc>
          <w:tcPr>
            <w:tcW w:w="976" w:type="dxa"/>
            <w:tcBorders>
              <w:tl2br w:val="nil"/>
              <w:tr2bl w:val="nil"/>
            </w:tcBorders>
            <w:vAlign w:val="center"/>
          </w:tcPr>
          <w:p w14:paraId="1B42DC5A">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1"/>
                <w:lang w:val="en-US"/>
              </w:rPr>
            </w:pPr>
            <w:r>
              <w:rPr>
                <w:rFonts w:hint="default" w:ascii="Times New Roman" w:hAnsi="Times New Roman" w:eastAsia="宋体" w:cs="Times New Roman"/>
                <w:sz w:val="21"/>
                <w:szCs w:val="21"/>
              </w:rPr>
              <w:t>喷漆</w:t>
            </w:r>
          </w:p>
        </w:tc>
        <w:tc>
          <w:tcPr>
            <w:tcW w:w="732" w:type="dxa"/>
            <w:tcBorders>
              <w:tl2br w:val="nil"/>
              <w:tr2bl w:val="nil"/>
            </w:tcBorders>
            <w:vAlign w:val="center"/>
          </w:tcPr>
          <w:p w14:paraId="068F0E4A">
            <w:pPr>
              <w:ind w:right="0"/>
              <w:jc w:val="center"/>
              <w:rPr>
                <w:rFonts w:hint="default" w:ascii="Times New Roman" w:hAnsi="Times New Roman" w:cs="Times New Roman"/>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4ED17CE9">
            <w:pPr>
              <w:jc w:val="center"/>
              <w:rPr>
                <w:rFonts w:hint="default" w:eastAsia="宋体"/>
                <w:sz w:val="2"/>
                <w:szCs w:val="2"/>
              </w:rPr>
            </w:pPr>
          </w:p>
        </w:tc>
        <w:tc>
          <w:tcPr>
            <w:tcW w:w="923" w:type="dxa"/>
            <w:tcBorders>
              <w:tl2br w:val="nil"/>
              <w:tr2bl w:val="nil"/>
            </w:tcBorders>
            <w:vAlign w:val="center"/>
          </w:tcPr>
          <w:p w14:paraId="40BAA360">
            <w:pPr>
              <w:pStyle w:val="14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HW12</w:t>
            </w:r>
          </w:p>
        </w:tc>
        <w:tc>
          <w:tcPr>
            <w:tcW w:w="1121" w:type="dxa"/>
            <w:tcBorders>
              <w:tl2br w:val="nil"/>
              <w:tr2bl w:val="nil"/>
            </w:tcBorders>
            <w:vAlign w:val="center"/>
          </w:tcPr>
          <w:p w14:paraId="1E731D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szCs w:val="21"/>
                <w:lang w:val="en-US" w:eastAsia="zh-CN"/>
              </w:rPr>
              <w:t>900-252-12</w:t>
            </w:r>
          </w:p>
        </w:tc>
        <w:tc>
          <w:tcPr>
            <w:tcW w:w="1389" w:type="dxa"/>
            <w:tcBorders>
              <w:tl2br w:val="nil"/>
              <w:tr2bl w:val="nil"/>
            </w:tcBorders>
            <w:vAlign w:val="center"/>
          </w:tcPr>
          <w:p w14:paraId="2AF8ECAA">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kern w:val="2"/>
                <w:sz w:val="21"/>
                <w:szCs w:val="21"/>
                <w:highlight w:val="none"/>
                <w:lang w:val="en-US" w:eastAsia="zh-CN" w:bidi="ar-SA"/>
              </w:rPr>
              <w:t>50</w:t>
            </w:r>
          </w:p>
        </w:tc>
        <w:tc>
          <w:tcPr>
            <w:tcW w:w="2046" w:type="dxa"/>
            <w:vMerge w:val="continue"/>
            <w:tcBorders>
              <w:tl2br w:val="nil"/>
              <w:tr2bl w:val="nil"/>
            </w:tcBorders>
            <w:vAlign w:val="center"/>
          </w:tcPr>
          <w:p w14:paraId="4D798765">
            <w:pPr>
              <w:jc w:val="center"/>
              <w:rPr>
                <w:rFonts w:hint="default" w:eastAsia="宋体"/>
                <w:sz w:val="2"/>
                <w:szCs w:val="2"/>
              </w:rPr>
            </w:pPr>
          </w:p>
        </w:tc>
      </w:tr>
      <w:tr w14:paraId="6EF691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2" w:type="dxa"/>
            <w:tcBorders>
              <w:tl2br w:val="nil"/>
              <w:tr2bl w:val="nil"/>
            </w:tcBorders>
            <w:vAlign w:val="center"/>
          </w:tcPr>
          <w:p w14:paraId="7A796EF5">
            <w:pPr>
              <w:pStyle w:val="14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4</w:t>
            </w:r>
          </w:p>
        </w:tc>
        <w:tc>
          <w:tcPr>
            <w:tcW w:w="918" w:type="dxa"/>
            <w:tcBorders>
              <w:tl2br w:val="nil"/>
              <w:tr2bl w:val="nil"/>
            </w:tcBorders>
            <w:shd w:val="clear" w:color="auto" w:fill="auto"/>
            <w:vAlign w:val="center"/>
          </w:tcPr>
          <w:p w14:paraId="03D07358">
            <w:pPr>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废纸质过滤器</w:t>
            </w:r>
          </w:p>
        </w:tc>
        <w:tc>
          <w:tcPr>
            <w:tcW w:w="976" w:type="dxa"/>
            <w:tcBorders>
              <w:tl2br w:val="nil"/>
              <w:tr2bl w:val="nil"/>
            </w:tcBorders>
            <w:vAlign w:val="center"/>
          </w:tcPr>
          <w:p w14:paraId="1FA26045">
            <w:pPr>
              <w:jc w:val="center"/>
              <w:rPr>
                <w:rFonts w:hint="default" w:ascii="Times New Roman" w:hAnsi="Times New Roman" w:cs="Times New Roman"/>
                <w:sz w:val="21"/>
              </w:rPr>
            </w:pPr>
            <w:r>
              <w:rPr>
                <w:rFonts w:hint="default" w:ascii="Times New Roman" w:hAnsi="Times New Roman" w:eastAsia="宋体" w:cs="Times New Roman"/>
                <w:sz w:val="21"/>
                <w:szCs w:val="21"/>
                <w:lang w:val="en-US" w:eastAsia="zh-CN"/>
              </w:rPr>
              <w:t>喷漆</w:t>
            </w:r>
          </w:p>
        </w:tc>
        <w:tc>
          <w:tcPr>
            <w:tcW w:w="732" w:type="dxa"/>
            <w:tcBorders>
              <w:tl2br w:val="nil"/>
              <w:tr2bl w:val="nil"/>
            </w:tcBorders>
            <w:vAlign w:val="center"/>
          </w:tcPr>
          <w:p w14:paraId="59FCF97D">
            <w:pPr>
              <w:spacing w:before="0"/>
              <w:ind w:right="0"/>
              <w:jc w:val="center"/>
              <w:rPr>
                <w:rFonts w:hint="default" w:ascii="Times New Roman" w:hAnsi="Times New Roman" w:cs="Times New Roman"/>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5B09273A">
            <w:pPr>
              <w:jc w:val="center"/>
              <w:rPr>
                <w:rFonts w:hint="default" w:eastAsia="宋体"/>
                <w:sz w:val="2"/>
                <w:szCs w:val="2"/>
              </w:rPr>
            </w:pPr>
          </w:p>
        </w:tc>
        <w:tc>
          <w:tcPr>
            <w:tcW w:w="923" w:type="dxa"/>
            <w:tcBorders>
              <w:tl2br w:val="nil"/>
              <w:tr2bl w:val="nil"/>
            </w:tcBorders>
            <w:vAlign w:val="center"/>
          </w:tcPr>
          <w:p w14:paraId="32962591">
            <w:pPr>
              <w:pStyle w:val="140"/>
              <w:spacing w:before="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516135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1"/>
              </w:rPr>
            </w:pPr>
            <w:r>
              <w:rPr>
                <w:rFonts w:hint="default" w:ascii="Times New Roman" w:hAnsi="Times New Roman" w:eastAsia="宋体" w:cs="Times New Roman"/>
                <w:sz w:val="21"/>
                <w:szCs w:val="21"/>
                <w:lang w:val="en-US" w:eastAsia="zh-CN"/>
              </w:rPr>
              <w:t>900-041-49</w:t>
            </w:r>
          </w:p>
        </w:tc>
        <w:tc>
          <w:tcPr>
            <w:tcW w:w="1389" w:type="dxa"/>
            <w:tcBorders>
              <w:tl2br w:val="nil"/>
              <w:tr2bl w:val="nil"/>
            </w:tcBorders>
            <w:vAlign w:val="center"/>
          </w:tcPr>
          <w:p w14:paraId="58BB1AD2">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kern w:val="2"/>
                <w:sz w:val="21"/>
                <w:szCs w:val="21"/>
                <w:lang w:val="en-US" w:eastAsia="zh-CN" w:bidi="ar-SA"/>
              </w:rPr>
              <w:t>8.7</w:t>
            </w:r>
          </w:p>
        </w:tc>
        <w:tc>
          <w:tcPr>
            <w:tcW w:w="2046" w:type="dxa"/>
            <w:vMerge w:val="continue"/>
            <w:tcBorders>
              <w:tl2br w:val="nil"/>
              <w:tr2bl w:val="nil"/>
            </w:tcBorders>
            <w:vAlign w:val="center"/>
          </w:tcPr>
          <w:p w14:paraId="1CC917DB">
            <w:pPr>
              <w:jc w:val="center"/>
              <w:rPr>
                <w:rFonts w:hint="default" w:eastAsia="宋体"/>
                <w:sz w:val="2"/>
                <w:szCs w:val="2"/>
              </w:rPr>
            </w:pPr>
          </w:p>
        </w:tc>
      </w:tr>
      <w:tr w14:paraId="2CD5D9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2" w:type="dxa"/>
            <w:tcBorders>
              <w:tl2br w:val="nil"/>
              <w:tr2bl w:val="nil"/>
            </w:tcBorders>
            <w:vAlign w:val="center"/>
          </w:tcPr>
          <w:p w14:paraId="178321B0">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5</w:t>
            </w:r>
          </w:p>
        </w:tc>
        <w:tc>
          <w:tcPr>
            <w:tcW w:w="918" w:type="dxa"/>
            <w:tcBorders>
              <w:tl2br w:val="nil"/>
              <w:tr2bl w:val="nil"/>
            </w:tcBorders>
            <w:shd w:val="clear" w:color="auto" w:fill="auto"/>
            <w:vAlign w:val="center"/>
          </w:tcPr>
          <w:p w14:paraId="400BE2EF">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废辊涂刷</w:t>
            </w:r>
          </w:p>
        </w:tc>
        <w:tc>
          <w:tcPr>
            <w:tcW w:w="976" w:type="dxa"/>
            <w:tcBorders>
              <w:tl2br w:val="nil"/>
              <w:tr2bl w:val="nil"/>
            </w:tcBorders>
            <w:vAlign w:val="center"/>
          </w:tcPr>
          <w:p w14:paraId="4235D858">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cs="Times New Roman"/>
                <w:sz w:val="21"/>
              </w:rPr>
            </w:pPr>
            <w:r>
              <w:rPr>
                <w:rFonts w:hint="default" w:ascii="Times New Roman" w:hAnsi="Times New Roman" w:eastAsia="宋体" w:cs="Times New Roman"/>
                <w:sz w:val="21"/>
                <w:szCs w:val="21"/>
                <w:lang w:val="en-US" w:eastAsia="zh-CN"/>
              </w:rPr>
              <w:t>辊涂</w:t>
            </w:r>
          </w:p>
        </w:tc>
        <w:tc>
          <w:tcPr>
            <w:tcW w:w="732" w:type="dxa"/>
            <w:tcBorders>
              <w:tl2br w:val="nil"/>
              <w:tr2bl w:val="nil"/>
            </w:tcBorders>
            <w:vAlign w:val="center"/>
          </w:tcPr>
          <w:p w14:paraId="29E20F0A">
            <w:pPr>
              <w:ind w:right="0"/>
              <w:jc w:val="center"/>
              <w:rPr>
                <w:rFonts w:hint="default" w:ascii="Times New Roman" w:hAnsi="Times New Roman" w:cs="Times New Roman"/>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18CA334C">
            <w:pPr>
              <w:jc w:val="center"/>
              <w:rPr>
                <w:rFonts w:hint="default" w:eastAsia="宋体"/>
                <w:sz w:val="2"/>
                <w:szCs w:val="2"/>
              </w:rPr>
            </w:pPr>
          </w:p>
        </w:tc>
        <w:tc>
          <w:tcPr>
            <w:tcW w:w="923" w:type="dxa"/>
            <w:tcBorders>
              <w:tl2br w:val="nil"/>
              <w:tr2bl w:val="nil"/>
            </w:tcBorders>
            <w:vAlign w:val="center"/>
          </w:tcPr>
          <w:p w14:paraId="60532925">
            <w:pPr>
              <w:pStyle w:val="140"/>
              <w:ind w:left="0" w:leftChars="0" w:right="0" w:righ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36A298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szCs w:val="21"/>
                <w:lang w:val="en-US" w:eastAsia="zh-CN"/>
              </w:rPr>
              <w:t>900-041-49</w:t>
            </w:r>
          </w:p>
        </w:tc>
        <w:tc>
          <w:tcPr>
            <w:tcW w:w="1389" w:type="dxa"/>
            <w:tcBorders>
              <w:tl2br w:val="nil"/>
              <w:tr2bl w:val="nil"/>
            </w:tcBorders>
            <w:vAlign w:val="center"/>
          </w:tcPr>
          <w:p w14:paraId="77DFFD13">
            <w:pPr>
              <w:jc w:val="center"/>
              <w:rPr>
                <w:rFonts w:hint="default"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kern w:val="2"/>
                <w:sz w:val="21"/>
                <w:szCs w:val="21"/>
                <w:lang w:val="en-US" w:eastAsia="zh-CN" w:bidi="ar-SA"/>
              </w:rPr>
              <w:t>0.2</w:t>
            </w:r>
          </w:p>
        </w:tc>
        <w:tc>
          <w:tcPr>
            <w:tcW w:w="2046" w:type="dxa"/>
            <w:vMerge w:val="continue"/>
            <w:tcBorders>
              <w:tl2br w:val="nil"/>
              <w:tr2bl w:val="nil"/>
            </w:tcBorders>
            <w:vAlign w:val="center"/>
          </w:tcPr>
          <w:p w14:paraId="6EE31656">
            <w:pPr>
              <w:jc w:val="center"/>
              <w:rPr>
                <w:rFonts w:hint="default" w:eastAsia="宋体"/>
                <w:sz w:val="2"/>
                <w:szCs w:val="2"/>
              </w:rPr>
            </w:pPr>
          </w:p>
        </w:tc>
      </w:tr>
      <w:tr w14:paraId="026C32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2" w:type="dxa"/>
            <w:tcBorders>
              <w:tl2br w:val="nil"/>
              <w:tr2bl w:val="nil"/>
            </w:tcBorders>
            <w:vAlign w:val="center"/>
          </w:tcPr>
          <w:p w14:paraId="163D13C0">
            <w:pPr>
              <w:pStyle w:val="140"/>
              <w:spacing w:before="0"/>
              <w:ind w:left="0" w:leftChars="0"/>
              <w:jc w:val="center"/>
              <w:rPr>
                <w:rFonts w:hint="eastAsia" w:ascii="Times New Roman" w:hAnsi="Times New Roman" w:eastAsia="宋体" w:cs="Times New Roman"/>
                <w:w w:val="99"/>
                <w:sz w:val="21"/>
                <w:lang w:val="en-US" w:eastAsia="zh-CN"/>
              </w:rPr>
            </w:pPr>
            <w:r>
              <w:rPr>
                <w:rFonts w:hint="eastAsia" w:ascii="Times New Roman" w:hAnsi="Times New Roman" w:cs="Times New Roman"/>
                <w:w w:val="99"/>
                <w:sz w:val="21"/>
                <w:lang w:val="en-US" w:eastAsia="zh-CN"/>
              </w:rPr>
              <w:t>6</w:t>
            </w:r>
          </w:p>
        </w:tc>
        <w:tc>
          <w:tcPr>
            <w:tcW w:w="918" w:type="dxa"/>
            <w:tcBorders>
              <w:tl2br w:val="nil"/>
              <w:tr2bl w:val="nil"/>
            </w:tcBorders>
            <w:shd w:val="clear" w:color="auto" w:fill="auto"/>
            <w:vAlign w:val="center"/>
          </w:tcPr>
          <w:p w14:paraId="3AE667C4">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废过滤棉</w:t>
            </w:r>
          </w:p>
        </w:tc>
        <w:tc>
          <w:tcPr>
            <w:tcW w:w="976" w:type="dxa"/>
            <w:tcBorders>
              <w:tl2br w:val="nil"/>
              <w:tr2bl w:val="nil"/>
            </w:tcBorders>
            <w:vAlign w:val="center"/>
          </w:tcPr>
          <w:p w14:paraId="54B55E64">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sz w:val="21"/>
                <w:lang w:val="en-US" w:eastAsia="zh-CN"/>
              </w:rPr>
            </w:pPr>
            <w:r>
              <w:rPr>
                <w:rFonts w:hint="default" w:ascii="Times New Roman" w:hAnsi="Times New Roman" w:eastAsia="宋体" w:cs="Times New Roman"/>
                <w:sz w:val="21"/>
                <w:szCs w:val="21"/>
              </w:rPr>
              <w:t>废气处理</w:t>
            </w:r>
          </w:p>
        </w:tc>
        <w:tc>
          <w:tcPr>
            <w:tcW w:w="732" w:type="dxa"/>
            <w:tcBorders>
              <w:tl2br w:val="nil"/>
              <w:tr2bl w:val="nil"/>
            </w:tcBorders>
            <w:vAlign w:val="center"/>
          </w:tcPr>
          <w:p w14:paraId="4A572816">
            <w:pPr>
              <w:ind w:right="0"/>
              <w:jc w:val="center"/>
              <w:rPr>
                <w:rFonts w:hint="default" w:ascii="Times New Roman" w:hAnsi="Times New Roman" w:cs="Times New Roman"/>
                <w:w w:val="100"/>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06157353">
            <w:pPr>
              <w:jc w:val="center"/>
              <w:rPr>
                <w:rFonts w:hint="default" w:eastAsia="宋体"/>
                <w:sz w:val="2"/>
                <w:szCs w:val="2"/>
              </w:rPr>
            </w:pPr>
          </w:p>
        </w:tc>
        <w:tc>
          <w:tcPr>
            <w:tcW w:w="923" w:type="dxa"/>
            <w:tcBorders>
              <w:tl2br w:val="nil"/>
              <w:tr2bl w:val="nil"/>
            </w:tcBorders>
            <w:vAlign w:val="center"/>
          </w:tcPr>
          <w:p w14:paraId="36EB7356">
            <w:pPr>
              <w:pStyle w:val="140"/>
              <w:ind w:left="0" w:leftChars="0" w:right="0" w:righ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67C336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Times New Roman"/>
                <w:sz w:val="21"/>
                <w:lang w:val="en-US" w:eastAsia="zh-CN"/>
              </w:rPr>
            </w:pPr>
            <w:r>
              <w:rPr>
                <w:rFonts w:hint="default" w:ascii="Times New Roman" w:hAnsi="Times New Roman" w:eastAsia="宋体" w:cs="Times New Roman"/>
                <w:sz w:val="21"/>
                <w:szCs w:val="21"/>
                <w:lang w:val="en-US" w:eastAsia="zh-CN"/>
              </w:rPr>
              <w:t>900-041-49</w:t>
            </w:r>
          </w:p>
        </w:tc>
        <w:tc>
          <w:tcPr>
            <w:tcW w:w="1389" w:type="dxa"/>
            <w:tcBorders>
              <w:tl2br w:val="nil"/>
              <w:tr2bl w:val="nil"/>
            </w:tcBorders>
            <w:vAlign w:val="center"/>
          </w:tcPr>
          <w:p w14:paraId="4293D7E5">
            <w:pPr>
              <w:jc w:val="center"/>
              <w:rPr>
                <w:rFonts w:hint="eastAsia" w:ascii="Times New Roman"/>
                <w:sz w:val="21"/>
                <w:lang w:val="en-US" w:eastAsia="zh-CN"/>
              </w:rPr>
            </w:pPr>
            <w:r>
              <w:rPr>
                <w:rFonts w:hint="eastAsia" w:ascii="Times New Roman" w:hAnsi="Times New Roman" w:eastAsia="宋体" w:cs="Times New Roman"/>
                <w:kern w:val="2"/>
                <w:sz w:val="21"/>
                <w:szCs w:val="21"/>
                <w:lang w:val="en-US" w:eastAsia="zh-CN" w:bidi="ar-SA"/>
              </w:rPr>
              <w:t>2.6</w:t>
            </w:r>
          </w:p>
        </w:tc>
        <w:tc>
          <w:tcPr>
            <w:tcW w:w="2046" w:type="dxa"/>
            <w:vMerge w:val="continue"/>
            <w:tcBorders>
              <w:tl2br w:val="nil"/>
              <w:tr2bl w:val="nil"/>
            </w:tcBorders>
            <w:vAlign w:val="center"/>
          </w:tcPr>
          <w:p w14:paraId="0F4586D7">
            <w:pPr>
              <w:jc w:val="center"/>
              <w:rPr>
                <w:rFonts w:hint="default" w:eastAsia="宋体"/>
                <w:sz w:val="2"/>
                <w:szCs w:val="2"/>
              </w:rPr>
            </w:pPr>
          </w:p>
        </w:tc>
      </w:tr>
      <w:tr w14:paraId="03C2BF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2" w:type="dxa"/>
            <w:tcBorders>
              <w:tl2br w:val="nil"/>
              <w:tr2bl w:val="nil"/>
            </w:tcBorders>
            <w:vAlign w:val="center"/>
          </w:tcPr>
          <w:p w14:paraId="6AB47A25">
            <w:pPr>
              <w:pStyle w:val="140"/>
              <w:spacing w:before="0"/>
              <w:ind w:left="0" w:leftChars="0"/>
              <w:jc w:val="center"/>
              <w:rPr>
                <w:rFonts w:hint="eastAsia" w:ascii="Times New Roman" w:hAnsi="Times New Roman" w:cs="Times New Roman"/>
                <w:w w:val="99"/>
                <w:sz w:val="21"/>
                <w:lang w:val="en-US" w:eastAsia="zh-CN"/>
              </w:rPr>
            </w:pPr>
          </w:p>
        </w:tc>
        <w:tc>
          <w:tcPr>
            <w:tcW w:w="918" w:type="dxa"/>
            <w:tcBorders>
              <w:tl2br w:val="nil"/>
              <w:tr2bl w:val="nil"/>
            </w:tcBorders>
            <w:shd w:val="clear" w:color="auto" w:fill="auto"/>
            <w:vAlign w:val="center"/>
          </w:tcPr>
          <w:p w14:paraId="1A62C963">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废刷子</w:t>
            </w:r>
          </w:p>
        </w:tc>
        <w:tc>
          <w:tcPr>
            <w:tcW w:w="976" w:type="dxa"/>
            <w:tcBorders>
              <w:tl2br w:val="nil"/>
              <w:tr2bl w:val="nil"/>
            </w:tcBorders>
            <w:vAlign w:val="center"/>
          </w:tcPr>
          <w:p w14:paraId="028F1044">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sz w:val="21"/>
                <w:lang w:val="en-US" w:eastAsia="zh-CN"/>
              </w:rPr>
            </w:pPr>
            <w:r>
              <w:rPr>
                <w:rFonts w:hint="default" w:ascii="Times New Roman" w:hAnsi="Times New Roman" w:eastAsia="宋体" w:cs="Times New Roman"/>
                <w:sz w:val="21"/>
                <w:szCs w:val="21"/>
                <w:lang w:eastAsia="zh-CN"/>
              </w:rPr>
              <w:t>贴海绵</w:t>
            </w:r>
          </w:p>
        </w:tc>
        <w:tc>
          <w:tcPr>
            <w:tcW w:w="732" w:type="dxa"/>
            <w:tcBorders>
              <w:tl2br w:val="nil"/>
              <w:tr2bl w:val="nil"/>
            </w:tcBorders>
            <w:vAlign w:val="center"/>
          </w:tcPr>
          <w:p w14:paraId="3FD849A1">
            <w:pPr>
              <w:ind w:right="0"/>
              <w:jc w:val="center"/>
              <w:rPr>
                <w:rFonts w:hint="default" w:ascii="Times New Roman" w:hAnsi="Times New Roman" w:cs="Times New Roman"/>
                <w:w w:val="100"/>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5BDCDB80">
            <w:pPr>
              <w:jc w:val="center"/>
              <w:rPr>
                <w:rFonts w:hint="default" w:eastAsia="宋体"/>
                <w:sz w:val="2"/>
                <w:szCs w:val="2"/>
              </w:rPr>
            </w:pPr>
          </w:p>
        </w:tc>
        <w:tc>
          <w:tcPr>
            <w:tcW w:w="923" w:type="dxa"/>
            <w:tcBorders>
              <w:tl2br w:val="nil"/>
              <w:tr2bl w:val="nil"/>
            </w:tcBorders>
            <w:vAlign w:val="center"/>
          </w:tcPr>
          <w:p w14:paraId="13021875">
            <w:pPr>
              <w:pStyle w:val="140"/>
              <w:ind w:left="0" w:leftChars="0" w:right="0" w:righ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5E2EC9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spacing w:val="3"/>
                <w:sz w:val="20"/>
                <w:szCs w:val="20"/>
              </w:rPr>
            </w:pPr>
            <w:r>
              <w:rPr>
                <w:rFonts w:hint="default" w:ascii="Times New Roman" w:hAnsi="Times New Roman" w:eastAsia="宋体" w:cs="Times New Roman"/>
                <w:sz w:val="21"/>
                <w:szCs w:val="21"/>
                <w:lang w:val="en-US" w:eastAsia="zh-CN"/>
              </w:rPr>
              <w:t>900-041-49</w:t>
            </w:r>
          </w:p>
        </w:tc>
        <w:tc>
          <w:tcPr>
            <w:tcW w:w="1389" w:type="dxa"/>
            <w:tcBorders>
              <w:tl2br w:val="nil"/>
              <w:tr2bl w:val="nil"/>
            </w:tcBorders>
            <w:vAlign w:val="center"/>
          </w:tcPr>
          <w:p w14:paraId="39354F0B">
            <w:pPr>
              <w:jc w:val="center"/>
              <w:rPr>
                <w:rFonts w:ascii="Times New Roman" w:hAnsi="Times New Roman" w:eastAsia="Times New Roman" w:cs="Times New Roman"/>
                <w:spacing w:val="-4"/>
                <w:sz w:val="20"/>
                <w:szCs w:val="20"/>
              </w:rPr>
            </w:pPr>
            <w:r>
              <w:rPr>
                <w:rFonts w:hint="eastAsia" w:ascii="Times New Roman" w:hAnsi="Times New Roman" w:eastAsia="宋体" w:cs="Times New Roman"/>
                <w:kern w:val="2"/>
                <w:sz w:val="21"/>
                <w:szCs w:val="21"/>
                <w:lang w:val="en-US" w:eastAsia="zh-CN" w:bidi="ar-SA"/>
              </w:rPr>
              <w:t>0.01</w:t>
            </w:r>
          </w:p>
        </w:tc>
        <w:tc>
          <w:tcPr>
            <w:tcW w:w="2046" w:type="dxa"/>
            <w:vMerge w:val="continue"/>
            <w:tcBorders>
              <w:tl2br w:val="nil"/>
              <w:tr2bl w:val="nil"/>
            </w:tcBorders>
            <w:vAlign w:val="center"/>
          </w:tcPr>
          <w:p w14:paraId="34F913F3">
            <w:pPr>
              <w:jc w:val="center"/>
              <w:rPr>
                <w:rFonts w:hint="default" w:eastAsia="宋体"/>
                <w:sz w:val="2"/>
                <w:szCs w:val="2"/>
              </w:rPr>
            </w:pPr>
          </w:p>
        </w:tc>
      </w:tr>
      <w:tr w14:paraId="629A12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2" w:type="dxa"/>
            <w:tcBorders>
              <w:tl2br w:val="nil"/>
              <w:tr2bl w:val="nil"/>
            </w:tcBorders>
            <w:vAlign w:val="center"/>
          </w:tcPr>
          <w:p w14:paraId="0FD7BF84">
            <w:pPr>
              <w:pStyle w:val="140"/>
              <w:spacing w:before="0"/>
              <w:ind w:left="0" w:leftChars="0"/>
              <w:jc w:val="center"/>
              <w:rPr>
                <w:rFonts w:hint="eastAsia" w:ascii="Times New Roman" w:hAnsi="Times New Roman" w:cs="Times New Roman"/>
                <w:w w:val="99"/>
                <w:sz w:val="21"/>
                <w:lang w:val="en-US" w:eastAsia="zh-CN"/>
              </w:rPr>
            </w:pPr>
          </w:p>
        </w:tc>
        <w:tc>
          <w:tcPr>
            <w:tcW w:w="918" w:type="dxa"/>
            <w:tcBorders>
              <w:tl2br w:val="nil"/>
              <w:tr2bl w:val="nil"/>
            </w:tcBorders>
            <w:shd w:val="clear" w:color="auto" w:fill="auto"/>
            <w:vAlign w:val="center"/>
          </w:tcPr>
          <w:p w14:paraId="7A2AC322">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胶渣</w:t>
            </w:r>
          </w:p>
        </w:tc>
        <w:tc>
          <w:tcPr>
            <w:tcW w:w="976" w:type="dxa"/>
            <w:tcBorders>
              <w:tl2br w:val="nil"/>
              <w:tr2bl w:val="nil"/>
            </w:tcBorders>
            <w:vAlign w:val="center"/>
          </w:tcPr>
          <w:p w14:paraId="1656D3B1">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sz w:val="21"/>
                <w:lang w:val="en-US" w:eastAsia="zh-CN"/>
              </w:rPr>
            </w:pPr>
            <w:r>
              <w:rPr>
                <w:rFonts w:hint="default" w:ascii="Times New Roman" w:hAnsi="Times New Roman" w:eastAsia="宋体" w:cs="Times New Roman"/>
                <w:sz w:val="21"/>
                <w:szCs w:val="21"/>
                <w:lang w:eastAsia="zh-CN"/>
              </w:rPr>
              <w:t>贴海绵</w:t>
            </w:r>
          </w:p>
        </w:tc>
        <w:tc>
          <w:tcPr>
            <w:tcW w:w="732" w:type="dxa"/>
            <w:tcBorders>
              <w:tl2br w:val="nil"/>
              <w:tr2bl w:val="nil"/>
            </w:tcBorders>
            <w:vAlign w:val="center"/>
          </w:tcPr>
          <w:p w14:paraId="7D6B56E5">
            <w:pPr>
              <w:ind w:right="0"/>
              <w:jc w:val="center"/>
              <w:rPr>
                <w:rFonts w:hint="default" w:ascii="Times New Roman" w:hAnsi="Times New Roman" w:cs="Times New Roman"/>
                <w:w w:val="100"/>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0D67729C">
            <w:pPr>
              <w:jc w:val="center"/>
              <w:rPr>
                <w:rFonts w:hint="default" w:eastAsia="宋体"/>
                <w:sz w:val="2"/>
                <w:szCs w:val="2"/>
              </w:rPr>
            </w:pPr>
          </w:p>
        </w:tc>
        <w:tc>
          <w:tcPr>
            <w:tcW w:w="923" w:type="dxa"/>
            <w:tcBorders>
              <w:tl2br w:val="nil"/>
              <w:tr2bl w:val="nil"/>
            </w:tcBorders>
            <w:vAlign w:val="center"/>
          </w:tcPr>
          <w:p w14:paraId="66136F49">
            <w:pPr>
              <w:pStyle w:val="140"/>
              <w:ind w:left="0" w:leftChars="0" w:right="0" w:righ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49F6AF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spacing w:val="3"/>
                <w:sz w:val="20"/>
                <w:szCs w:val="20"/>
              </w:rPr>
            </w:pPr>
            <w:r>
              <w:rPr>
                <w:rFonts w:hint="default" w:ascii="Times New Roman" w:hAnsi="Times New Roman" w:eastAsia="宋体" w:cs="Times New Roman"/>
                <w:sz w:val="21"/>
                <w:szCs w:val="21"/>
                <w:lang w:val="en-US" w:eastAsia="zh-CN"/>
              </w:rPr>
              <w:t>900-014-13</w:t>
            </w:r>
          </w:p>
        </w:tc>
        <w:tc>
          <w:tcPr>
            <w:tcW w:w="1389" w:type="dxa"/>
            <w:tcBorders>
              <w:tl2br w:val="nil"/>
              <w:tr2bl w:val="nil"/>
            </w:tcBorders>
            <w:vAlign w:val="center"/>
          </w:tcPr>
          <w:p w14:paraId="296395C3">
            <w:pPr>
              <w:jc w:val="center"/>
              <w:rPr>
                <w:rFonts w:ascii="Times New Roman" w:hAnsi="Times New Roman" w:eastAsia="Times New Roman" w:cs="Times New Roman"/>
                <w:spacing w:val="-4"/>
                <w:sz w:val="20"/>
                <w:szCs w:val="20"/>
              </w:rPr>
            </w:pPr>
            <w:r>
              <w:rPr>
                <w:rFonts w:hint="eastAsia" w:ascii="Times New Roman" w:hAnsi="Times New Roman" w:eastAsia="宋体" w:cs="Times New Roman"/>
                <w:kern w:val="2"/>
                <w:sz w:val="21"/>
                <w:szCs w:val="21"/>
                <w:lang w:val="en-US" w:eastAsia="zh-CN" w:bidi="ar-SA"/>
              </w:rPr>
              <w:t>0.2</w:t>
            </w:r>
          </w:p>
        </w:tc>
        <w:tc>
          <w:tcPr>
            <w:tcW w:w="2046" w:type="dxa"/>
            <w:vMerge w:val="continue"/>
            <w:tcBorders>
              <w:tl2br w:val="nil"/>
              <w:tr2bl w:val="nil"/>
            </w:tcBorders>
            <w:vAlign w:val="center"/>
          </w:tcPr>
          <w:p w14:paraId="3020122A">
            <w:pPr>
              <w:jc w:val="center"/>
              <w:rPr>
                <w:rFonts w:hint="default" w:eastAsia="宋体"/>
                <w:sz w:val="2"/>
                <w:szCs w:val="2"/>
              </w:rPr>
            </w:pPr>
          </w:p>
        </w:tc>
      </w:tr>
      <w:tr w14:paraId="3E1361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2" w:type="dxa"/>
            <w:tcBorders>
              <w:tl2br w:val="nil"/>
              <w:tr2bl w:val="nil"/>
            </w:tcBorders>
            <w:vAlign w:val="center"/>
          </w:tcPr>
          <w:p w14:paraId="400B1907">
            <w:pPr>
              <w:pStyle w:val="140"/>
              <w:spacing w:before="0"/>
              <w:ind w:left="0" w:leftChars="0"/>
              <w:jc w:val="center"/>
              <w:rPr>
                <w:rFonts w:hint="eastAsia" w:ascii="Times New Roman" w:hAnsi="Times New Roman" w:cs="Times New Roman"/>
                <w:w w:val="99"/>
                <w:sz w:val="21"/>
                <w:lang w:val="en-US" w:eastAsia="zh-CN"/>
              </w:rPr>
            </w:pPr>
          </w:p>
        </w:tc>
        <w:tc>
          <w:tcPr>
            <w:tcW w:w="918" w:type="dxa"/>
            <w:tcBorders>
              <w:tl2br w:val="nil"/>
              <w:tr2bl w:val="nil"/>
            </w:tcBorders>
            <w:shd w:val="clear" w:color="auto" w:fill="auto"/>
            <w:vAlign w:val="center"/>
          </w:tcPr>
          <w:p w14:paraId="0BB66D5A">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废活性炭</w:t>
            </w:r>
          </w:p>
        </w:tc>
        <w:tc>
          <w:tcPr>
            <w:tcW w:w="976" w:type="dxa"/>
            <w:tcBorders>
              <w:tl2br w:val="nil"/>
              <w:tr2bl w:val="nil"/>
            </w:tcBorders>
            <w:vAlign w:val="center"/>
          </w:tcPr>
          <w:p w14:paraId="73E738CC">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sz w:val="21"/>
                <w:lang w:val="en-US" w:eastAsia="zh-CN"/>
              </w:rPr>
            </w:pPr>
            <w:r>
              <w:rPr>
                <w:rFonts w:hint="default" w:ascii="Times New Roman" w:hAnsi="Times New Roman" w:eastAsia="宋体" w:cs="Times New Roman"/>
                <w:sz w:val="21"/>
                <w:szCs w:val="21"/>
              </w:rPr>
              <w:t>废气处理</w:t>
            </w:r>
          </w:p>
        </w:tc>
        <w:tc>
          <w:tcPr>
            <w:tcW w:w="732" w:type="dxa"/>
            <w:tcBorders>
              <w:tl2br w:val="nil"/>
              <w:tr2bl w:val="nil"/>
            </w:tcBorders>
            <w:vAlign w:val="center"/>
          </w:tcPr>
          <w:p w14:paraId="3C9FC9A5">
            <w:pPr>
              <w:ind w:right="0"/>
              <w:jc w:val="center"/>
              <w:rPr>
                <w:rFonts w:hint="default" w:ascii="Times New Roman" w:hAnsi="Times New Roman" w:cs="Times New Roman"/>
                <w:w w:val="100"/>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64621822">
            <w:pPr>
              <w:jc w:val="center"/>
              <w:rPr>
                <w:rFonts w:hint="default" w:eastAsia="宋体"/>
                <w:sz w:val="2"/>
                <w:szCs w:val="2"/>
              </w:rPr>
            </w:pPr>
          </w:p>
        </w:tc>
        <w:tc>
          <w:tcPr>
            <w:tcW w:w="923" w:type="dxa"/>
            <w:tcBorders>
              <w:tl2br w:val="nil"/>
              <w:tr2bl w:val="nil"/>
            </w:tcBorders>
            <w:vAlign w:val="center"/>
          </w:tcPr>
          <w:p w14:paraId="07375A42">
            <w:pPr>
              <w:pStyle w:val="140"/>
              <w:ind w:left="0" w:leftChars="0" w:right="0" w:righ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33A73E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spacing w:val="3"/>
                <w:sz w:val="20"/>
                <w:szCs w:val="20"/>
              </w:rPr>
            </w:pPr>
            <w:r>
              <w:rPr>
                <w:rFonts w:hint="default" w:ascii="Times New Roman" w:hAnsi="Times New Roman" w:eastAsia="宋体" w:cs="Times New Roman"/>
                <w:sz w:val="21"/>
                <w:szCs w:val="21"/>
                <w:lang w:val="en-US" w:eastAsia="zh-CN"/>
              </w:rPr>
              <w:t>900-039-49</w:t>
            </w:r>
          </w:p>
        </w:tc>
        <w:tc>
          <w:tcPr>
            <w:tcW w:w="1389" w:type="dxa"/>
            <w:tcBorders>
              <w:tl2br w:val="nil"/>
              <w:tr2bl w:val="nil"/>
            </w:tcBorders>
            <w:vAlign w:val="center"/>
          </w:tcPr>
          <w:p w14:paraId="14827C42">
            <w:pPr>
              <w:jc w:val="center"/>
              <w:rPr>
                <w:rFonts w:ascii="Times New Roman" w:hAnsi="Times New Roman" w:eastAsia="Times New Roman" w:cs="Times New Roman"/>
                <w:spacing w:val="-4"/>
                <w:sz w:val="20"/>
                <w:szCs w:val="20"/>
              </w:rPr>
            </w:pPr>
            <w:r>
              <w:rPr>
                <w:rFonts w:hint="eastAsia" w:ascii="Times New Roman" w:hAnsi="Times New Roman" w:eastAsia="宋体" w:cs="Times New Roman"/>
                <w:kern w:val="2"/>
                <w:sz w:val="21"/>
                <w:szCs w:val="21"/>
                <w:lang w:val="en-US" w:eastAsia="zh-CN" w:bidi="ar-SA"/>
              </w:rPr>
              <w:t>54.8</w:t>
            </w:r>
          </w:p>
        </w:tc>
        <w:tc>
          <w:tcPr>
            <w:tcW w:w="2046" w:type="dxa"/>
            <w:vMerge w:val="continue"/>
            <w:tcBorders>
              <w:tl2br w:val="nil"/>
              <w:tr2bl w:val="nil"/>
            </w:tcBorders>
            <w:vAlign w:val="center"/>
          </w:tcPr>
          <w:p w14:paraId="3F6EF482">
            <w:pPr>
              <w:jc w:val="center"/>
              <w:rPr>
                <w:rFonts w:hint="default" w:eastAsia="宋体"/>
                <w:sz w:val="2"/>
                <w:szCs w:val="2"/>
              </w:rPr>
            </w:pPr>
          </w:p>
        </w:tc>
      </w:tr>
      <w:tr w14:paraId="6F1D0F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0" w:hRule="atLeast"/>
          <w:jc w:val="center"/>
        </w:trPr>
        <w:tc>
          <w:tcPr>
            <w:tcW w:w="382" w:type="dxa"/>
            <w:tcBorders>
              <w:tl2br w:val="nil"/>
              <w:tr2bl w:val="nil"/>
            </w:tcBorders>
            <w:vAlign w:val="center"/>
          </w:tcPr>
          <w:p w14:paraId="2002B538">
            <w:pPr>
              <w:pStyle w:val="140"/>
              <w:spacing w:before="0"/>
              <w:ind w:left="0" w:leftChars="0"/>
              <w:jc w:val="center"/>
              <w:rPr>
                <w:rFonts w:hint="eastAsia" w:ascii="Times New Roman" w:hAnsi="Times New Roman" w:cs="Times New Roman"/>
                <w:w w:val="99"/>
                <w:sz w:val="21"/>
                <w:lang w:val="en-US" w:eastAsia="zh-CN"/>
              </w:rPr>
            </w:pPr>
          </w:p>
        </w:tc>
        <w:tc>
          <w:tcPr>
            <w:tcW w:w="918" w:type="dxa"/>
            <w:tcBorders>
              <w:tl2br w:val="nil"/>
              <w:tr2bl w:val="nil"/>
            </w:tcBorders>
            <w:shd w:val="clear" w:color="auto" w:fill="auto"/>
            <w:vAlign w:val="center"/>
          </w:tcPr>
          <w:p w14:paraId="44E8D5B8">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含油废水</w:t>
            </w:r>
          </w:p>
        </w:tc>
        <w:tc>
          <w:tcPr>
            <w:tcW w:w="976" w:type="dxa"/>
            <w:tcBorders>
              <w:tl2br w:val="nil"/>
              <w:tr2bl w:val="nil"/>
            </w:tcBorders>
            <w:vAlign w:val="center"/>
          </w:tcPr>
          <w:p w14:paraId="3BEB58C9">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sz w:val="21"/>
                <w:lang w:val="en-US" w:eastAsia="zh-CN"/>
              </w:rPr>
            </w:pPr>
            <w:r>
              <w:rPr>
                <w:rFonts w:hint="default" w:ascii="Times New Roman" w:hAnsi="Times New Roman" w:eastAsia="宋体" w:cs="Times New Roman"/>
                <w:sz w:val="21"/>
                <w:szCs w:val="21"/>
                <w:lang w:val="en-US" w:eastAsia="zh-CN"/>
              </w:rPr>
              <w:t>空压机</w:t>
            </w:r>
          </w:p>
        </w:tc>
        <w:tc>
          <w:tcPr>
            <w:tcW w:w="732" w:type="dxa"/>
            <w:tcBorders>
              <w:tl2br w:val="nil"/>
              <w:tr2bl w:val="nil"/>
            </w:tcBorders>
            <w:vAlign w:val="center"/>
          </w:tcPr>
          <w:p w14:paraId="5F5E1C21">
            <w:pPr>
              <w:ind w:right="0"/>
              <w:jc w:val="center"/>
              <w:rPr>
                <w:rFonts w:hint="default" w:ascii="Times New Roman" w:hAnsi="Times New Roman" w:cs="Times New Roman"/>
                <w:w w:val="100"/>
                <w:sz w:val="21"/>
              </w:rPr>
            </w:pPr>
            <w:r>
              <w:rPr>
                <w:rFonts w:hint="default" w:ascii="Times New Roman" w:hAnsi="Times New Roman" w:cs="Times New Roman"/>
                <w:w w:val="100"/>
                <w:sz w:val="21"/>
              </w:rPr>
              <w:t>固态</w:t>
            </w:r>
          </w:p>
        </w:tc>
        <w:tc>
          <w:tcPr>
            <w:tcW w:w="713" w:type="dxa"/>
            <w:vMerge w:val="continue"/>
            <w:tcBorders>
              <w:tl2br w:val="nil"/>
              <w:tr2bl w:val="nil"/>
            </w:tcBorders>
            <w:vAlign w:val="center"/>
          </w:tcPr>
          <w:p w14:paraId="532B96B8">
            <w:pPr>
              <w:jc w:val="center"/>
              <w:rPr>
                <w:rFonts w:hint="default" w:eastAsia="宋体"/>
                <w:sz w:val="2"/>
                <w:szCs w:val="2"/>
              </w:rPr>
            </w:pPr>
          </w:p>
        </w:tc>
        <w:tc>
          <w:tcPr>
            <w:tcW w:w="923" w:type="dxa"/>
            <w:tcBorders>
              <w:tl2br w:val="nil"/>
              <w:tr2bl w:val="nil"/>
            </w:tcBorders>
            <w:vAlign w:val="center"/>
          </w:tcPr>
          <w:p w14:paraId="0070F008">
            <w:pPr>
              <w:pStyle w:val="140"/>
              <w:ind w:left="0" w:leftChars="0" w:right="0" w:righ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HW49</w:t>
            </w:r>
          </w:p>
        </w:tc>
        <w:tc>
          <w:tcPr>
            <w:tcW w:w="1121" w:type="dxa"/>
            <w:tcBorders>
              <w:tl2br w:val="nil"/>
              <w:tr2bl w:val="nil"/>
            </w:tcBorders>
            <w:vAlign w:val="center"/>
          </w:tcPr>
          <w:p w14:paraId="24A35A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Times New Roman" w:cs="Times New Roman"/>
                <w:spacing w:val="3"/>
                <w:sz w:val="20"/>
                <w:szCs w:val="20"/>
              </w:rPr>
            </w:pPr>
            <w:r>
              <w:rPr>
                <w:rFonts w:hint="default" w:ascii="Times New Roman" w:hAnsi="Times New Roman" w:eastAsia="宋体" w:cs="Times New Roman"/>
                <w:sz w:val="21"/>
                <w:szCs w:val="21"/>
                <w:lang w:val="en-US" w:eastAsia="zh-CN"/>
              </w:rPr>
              <w:t>900-007-09</w:t>
            </w:r>
          </w:p>
        </w:tc>
        <w:tc>
          <w:tcPr>
            <w:tcW w:w="1389" w:type="dxa"/>
            <w:tcBorders>
              <w:tl2br w:val="nil"/>
              <w:tr2bl w:val="nil"/>
            </w:tcBorders>
            <w:vAlign w:val="center"/>
          </w:tcPr>
          <w:p w14:paraId="2068E3A6">
            <w:pPr>
              <w:jc w:val="center"/>
              <w:rPr>
                <w:rFonts w:ascii="Times New Roman" w:hAnsi="Times New Roman" w:eastAsia="Times New Roman" w:cs="Times New Roman"/>
                <w:spacing w:val="-4"/>
                <w:sz w:val="20"/>
                <w:szCs w:val="20"/>
              </w:rPr>
            </w:pPr>
            <w:r>
              <w:rPr>
                <w:rFonts w:hint="eastAsia" w:ascii="Times New Roman" w:hAnsi="Times New Roman" w:eastAsia="宋体" w:cs="Times New Roman"/>
                <w:kern w:val="2"/>
                <w:sz w:val="21"/>
                <w:szCs w:val="21"/>
                <w:lang w:val="en-US" w:eastAsia="zh-CN" w:bidi="ar-SA"/>
              </w:rPr>
              <w:t>0.15</w:t>
            </w:r>
          </w:p>
        </w:tc>
        <w:tc>
          <w:tcPr>
            <w:tcW w:w="2046" w:type="dxa"/>
            <w:vMerge w:val="continue"/>
            <w:tcBorders>
              <w:tl2br w:val="nil"/>
              <w:tr2bl w:val="nil"/>
            </w:tcBorders>
            <w:vAlign w:val="center"/>
          </w:tcPr>
          <w:p w14:paraId="4EC3F62B">
            <w:pPr>
              <w:jc w:val="center"/>
              <w:rPr>
                <w:rFonts w:hint="default" w:eastAsia="宋体"/>
                <w:sz w:val="2"/>
                <w:szCs w:val="2"/>
              </w:rPr>
            </w:pPr>
          </w:p>
        </w:tc>
      </w:tr>
    </w:tbl>
    <w:p w14:paraId="789AC547">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w:t>
      </w:r>
      <w:r>
        <w:rPr>
          <w:rFonts w:hint="eastAsia" w:eastAsia="宋体" w:cs="Times New Roman"/>
          <w:b/>
          <w:bCs/>
          <w:sz w:val="24"/>
          <w:szCs w:val="24"/>
          <w:lang w:val="en-US" w:eastAsia="zh-CN"/>
        </w:rPr>
        <w:t>8一</w:t>
      </w:r>
      <w:r>
        <w:rPr>
          <w:rFonts w:hint="eastAsia" w:eastAsia="宋体" w:cs="Times New Roman"/>
          <w:b/>
          <w:bCs/>
          <w:sz w:val="24"/>
          <w:szCs w:val="24"/>
          <w:highlight w:val="none"/>
          <w:lang w:val="en-US" w:eastAsia="zh-CN"/>
        </w:rPr>
        <w:t>般</w:t>
      </w:r>
      <w:r>
        <w:rPr>
          <w:rFonts w:hint="default" w:ascii="Times New Roman" w:hAnsi="Times New Roman" w:eastAsia="宋体" w:cs="Times New Roman"/>
          <w:b/>
          <w:bCs/>
          <w:sz w:val="24"/>
          <w:szCs w:val="24"/>
          <w:highlight w:val="none"/>
        </w:rPr>
        <w:t>固（液）体</w:t>
      </w:r>
      <w:r>
        <w:rPr>
          <w:rFonts w:hint="eastAsia" w:eastAsia="宋体" w:cs="Times New Roman"/>
          <w:b/>
          <w:bCs/>
          <w:sz w:val="24"/>
          <w:szCs w:val="24"/>
          <w:highlight w:val="none"/>
          <w:lang w:val="en-US" w:eastAsia="zh-CN"/>
        </w:rPr>
        <w:t>废</w:t>
      </w:r>
      <w:r>
        <w:rPr>
          <w:rFonts w:hint="eastAsia" w:eastAsia="宋体" w:cs="Times New Roman"/>
          <w:b/>
          <w:bCs/>
          <w:sz w:val="24"/>
          <w:szCs w:val="24"/>
          <w:lang w:val="en-US" w:eastAsia="zh-CN"/>
        </w:rPr>
        <w:t>物产生</w:t>
      </w:r>
      <w:r>
        <w:rPr>
          <w:rFonts w:hint="default" w:ascii="Times New Roman" w:hAnsi="Times New Roman" w:eastAsia="宋体" w:cs="Times New Roman"/>
          <w:b/>
          <w:bCs/>
          <w:sz w:val="24"/>
          <w:szCs w:val="24"/>
        </w:rPr>
        <w:t>情况一览表</w:t>
      </w:r>
    </w:p>
    <w:tbl>
      <w:tblPr>
        <w:tblStyle w:val="37"/>
        <w:tblW w:w="5239"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20"/>
        <w:gridCol w:w="1250"/>
        <w:gridCol w:w="897"/>
        <w:gridCol w:w="897"/>
        <w:gridCol w:w="1297"/>
        <w:gridCol w:w="1737"/>
        <w:gridCol w:w="1316"/>
        <w:gridCol w:w="1526"/>
      </w:tblGrid>
      <w:tr w14:paraId="5A564F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760" w:hRule="atLeast"/>
          <w:jc w:val="center"/>
        </w:trPr>
        <w:tc>
          <w:tcPr>
            <w:tcW w:w="373" w:type="pct"/>
            <w:tcBorders>
              <w:tl2br w:val="nil"/>
              <w:tr2bl w:val="nil"/>
            </w:tcBorders>
            <w:vAlign w:val="center"/>
          </w:tcPr>
          <w:p w14:paraId="02985398">
            <w:pPr>
              <w:pStyle w:val="140"/>
              <w:ind w:left="0" w:right="0"/>
              <w:jc w:val="center"/>
              <w:rPr>
                <w:rFonts w:ascii="Times New Roman" w:hAnsi="Times New Roman" w:cs="Times New Roman"/>
                <w:sz w:val="21"/>
              </w:rPr>
            </w:pPr>
            <w:r>
              <w:rPr>
                <w:rFonts w:ascii="Times New Roman" w:hAnsi="Times New Roman" w:cs="Times New Roman"/>
                <w:sz w:val="21"/>
              </w:rPr>
              <w:t>序号</w:t>
            </w:r>
          </w:p>
        </w:tc>
        <w:tc>
          <w:tcPr>
            <w:tcW w:w="648" w:type="pct"/>
            <w:tcBorders>
              <w:tl2br w:val="nil"/>
              <w:tr2bl w:val="nil"/>
            </w:tcBorders>
            <w:vAlign w:val="center"/>
          </w:tcPr>
          <w:p w14:paraId="0134FFCB">
            <w:pPr>
              <w:pStyle w:val="140"/>
              <w:ind w:left="0"/>
              <w:jc w:val="center"/>
              <w:rPr>
                <w:rFonts w:ascii="Times New Roman" w:hAnsi="Times New Roman" w:cs="Times New Roman"/>
                <w:sz w:val="21"/>
              </w:rPr>
            </w:pPr>
            <w:r>
              <w:rPr>
                <w:rFonts w:ascii="Times New Roman" w:hAnsi="Times New Roman" w:cs="Times New Roman"/>
                <w:sz w:val="21"/>
              </w:rPr>
              <w:t>固废名称</w:t>
            </w:r>
          </w:p>
        </w:tc>
        <w:tc>
          <w:tcPr>
            <w:tcW w:w="465" w:type="pct"/>
            <w:tcBorders>
              <w:tl2br w:val="nil"/>
              <w:tr2bl w:val="nil"/>
            </w:tcBorders>
            <w:vAlign w:val="center"/>
          </w:tcPr>
          <w:p w14:paraId="3ECB8DC6">
            <w:pPr>
              <w:pStyle w:val="140"/>
              <w:spacing w:line="240" w:lineRule="auto"/>
              <w:ind w:left="0" w:right="0" w:firstLine="0"/>
              <w:rPr>
                <w:rFonts w:ascii="Times New Roman" w:hAnsi="Times New Roman" w:cs="Times New Roman"/>
                <w:sz w:val="21"/>
              </w:rPr>
            </w:pPr>
            <w:r>
              <w:rPr>
                <w:rFonts w:ascii="Times New Roman" w:hAnsi="Times New Roman" w:cs="Times New Roman"/>
                <w:sz w:val="21"/>
              </w:rPr>
              <w:t>产生工序</w:t>
            </w:r>
          </w:p>
        </w:tc>
        <w:tc>
          <w:tcPr>
            <w:tcW w:w="465" w:type="pct"/>
            <w:tcBorders>
              <w:tl2br w:val="nil"/>
              <w:tr2bl w:val="nil"/>
            </w:tcBorders>
            <w:vAlign w:val="center"/>
          </w:tcPr>
          <w:p w14:paraId="33202E08">
            <w:pPr>
              <w:pStyle w:val="140"/>
              <w:ind w:right="0"/>
              <w:jc w:val="center"/>
              <w:rPr>
                <w:rFonts w:ascii="Times New Roman" w:hAnsi="Times New Roman" w:cs="Times New Roman"/>
                <w:sz w:val="21"/>
              </w:rPr>
            </w:pPr>
            <w:r>
              <w:rPr>
                <w:rFonts w:ascii="Times New Roman" w:hAnsi="Times New Roman" w:cs="Times New Roman"/>
                <w:w w:val="100"/>
                <w:sz w:val="21"/>
              </w:rPr>
              <w:t>形态</w:t>
            </w:r>
          </w:p>
        </w:tc>
        <w:tc>
          <w:tcPr>
            <w:tcW w:w="672" w:type="pct"/>
            <w:tcBorders>
              <w:tl2br w:val="nil"/>
              <w:tr2bl w:val="nil"/>
            </w:tcBorders>
            <w:vAlign w:val="center"/>
          </w:tcPr>
          <w:p w14:paraId="63DC9380">
            <w:pPr>
              <w:pStyle w:val="140"/>
              <w:ind w:left="0" w:right="0"/>
              <w:jc w:val="center"/>
              <w:rPr>
                <w:rFonts w:ascii="Times New Roman" w:hAnsi="Times New Roman" w:cs="Times New Roman"/>
                <w:sz w:val="21"/>
              </w:rPr>
            </w:pPr>
            <w:r>
              <w:rPr>
                <w:rFonts w:ascii="Times New Roman" w:hAnsi="Times New Roman" w:cs="Times New Roman"/>
                <w:sz w:val="21"/>
              </w:rPr>
              <w:t>属性</w:t>
            </w:r>
          </w:p>
        </w:tc>
        <w:tc>
          <w:tcPr>
            <w:tcW w:w="900" w:type="pct"/>
            <w:tcBorders>
              <w:tl2br w:val="nil"/>
              <w:tr2bl w:val="nil"/>
            </w:tcBorders>
            <w:vAlign w:val="center"/>
          </w:tcPr>
          <w:p w14:paraId="3F82B787">
            <w:pPr>
              <w:pStyle w:val="140"/>
              <w:ind w:left="0" w:right="0"/>
              <w:jc w:val="center"/>
              <w:rPr>
                <w:rFonts w:ascii="Times New Roman" w:hAnsi="Times New Roman" w:cs="Times New Roman"/>
                <w:sz w:val="21"/>
              </w:rPr>
            </w:pPr>
            <w:r>
              <w:rPr>
                <w:rFonts w:ascii="Times New Roman" w:hAnsi="Times New Roman" w:cs="Times New Roman"/>
                <w:sz w:val="21"/>
              </w:rPr>
              <w:t>废物代码</w:t>
            </w:r>
          </w:p>
        </w:tc>
        <w:tc>
          <w:tcPr>
            <w:tcW w:w="682" w:type="pct"/>
            <w:tcBorders>
              <w:tl2br w:val="nil"/>
              <w:tr2bl w:val="nil"/>
            </w:tcBorders>
            <w:vAlign w:val="center"/>
          </w:tcPr>
          <w:p w14:paraId="7D713A11">
            <w:pPr>
              <w:pStyle w:val="140"/>
              <w:spacing w:before="0" w:line="240" w:lineRule="auto"/>
              <w:ind w:left="0"/>
              <w:rPr>
                <w:rFonts w:ascii="Times New Roman" w:hAnsi="Times New Roman" w:cs="Times New Roman"/>
                <w:sz w:val="21"/>
              </w:rPr>
            </w:pPr>
            <w:r>
              <w:rPr>
                <w:rFonts w:ascii="Times New Roman" w:hAnsi="Times New Roman" w:cs="Times New Roman"/>
                <w:sz w:val="21"/>
              </w:rPr>
              <w:t>产生量（t/a）</w:t>
            </w:r>
          </w:p>
        </w:tc>
        <w:tc>
          <w:tcPr>
            <w:tcW w:w="791" w:type="pct"/>
            <w:tcBorders>
              <w:tl2br w:val="nil"/>
              <w:tr2bl w:val="nil"/>
            </w:tcBorders>
            <w:vAlign w:val="center"/>
          </w:tcPr>
          <w:p w14:paraId="7931E54B">
            <w:pPr>
              <w:pStyle w:val="140"/>
              <w:ind w:left="0"/>
              <w:jc w:val="center"/>
              <w:rPr>
                <w:rFonts w:ascii="Times New Roman" w:hAnsi="Times New Roman" w:cs="Times New Roman"/>
                <w:sz w:val="21"/>
              </w:rPr>
            </w:pPr>
            <w:r>
              <w:rPr>
                <w:rFonts w:ascii="Times New Roman" w:hAnsi="Times New Roman" w:cs="Times New Roman"/>
                <w:sz w:val="21"/>
              </w:rPr>
              <w:t>处置方式</w:t>
            </w:r>
          </w:p>
        </w:tc>
      </w:tr>
      <w:tr w14:paraId="35212B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373" w:type="pct"/>
            <w:tcBorders>
              <w:tl2br w:val="nil"/>
              <w:tr2bl w:val="nil"/>
            </w:tcBorders>
            <w:vAlign w:val="center"/>
          </w:tcPr>
          <w:p w14:paraId="4154C044">
            <w:pPr>
              <w:pStyle w:val="140"/>
              <w:ind w:left="0"/>
              <w:jc w:val="center"/>
              <w:rPr>
                <w:rFonts w:ascii="Times New Roman" w:hAnsi="Times New Roman" w:cs="Times New Roman"/>
                <w:sz w:val="21"/>
              </w:rPr>
            </w:pPr>
            <w:r>
              <w:rPr>
                <w:rFonts w:ascii="Times New Roman" w:hAnsi="Times New Roman" w:cs="Times New Roman"/>
                <w:w w:val="99"/>
                <w:sz w:val="21"/>
              </w:rPr>
              <w:t>1</w:t>
            </w:r>
          </w:p>
        </w:tc>
        <w:tc>
          <w:tcPr>
            <w:tcW w:w="648" w:type="pct"/>
            <w:tcBorders>
              <w:tl2br w:val="nil"/>
              <w:tr2bl w:val="nil"/>
            </w:tcBorders>
            <w:vAlign w:val="center"/>
          </w:tcPr>
          <w:p w14:paraId="40504677">
            <w:pPr>
              <w:keepNext w:val="0"/>
              <w:keepLines w:val="0"/>
              <w:pageBreakBefore w:val="0"/>
              <w:kinsoku/>
              <w:wordWrap/>
              <w:overflowPunct/>
              <w:topLinePunct w:val="0"/>
              <w:autoSpaceDE/>
              <w:autoSpaceDN/>
              <w:bidi w:val="0"/>
              <w:adjustRightInd/>
              <w:snapToGrid/>
              <w:jc w:val="center"/>
              <w:textAlignment w:val="auto"/>
              <w:rPr>
                <w:rFonts w:ascii="Times New Roman" w:hAnsi="Times New Roman" w:cs="Times New Roman"/>
                <w:sz w:val="21"/>
              </w:rPr>
            </w:pPr>
            <w:r>
              <w:rPr>
                <w:rFonts w:hint="default" w:ascii="Times New Roman" w:hAnsi="Times New Roman" w:eastAsia="宋体" w:cs="Times New Roman"/>
                <w:sz w:val="21"/>
                <w:szCs w:val="21"/>
              </w:rPr>
              <w:t>废木料</w:t>
            </w:r>
          </w:p>
        </w:tc>
        <w:tc>
          <w:tcPr>
            <w:tcW w:w="465" w:type="pct"/>
            <w:tcBorders>
              <w:tl2br w:val="nil"/>
              <w:tr2bl w:val="nil"/>
            </w:tcBorders>
            <w:vAlign w:val="center"/>
          </w:tcPr>
          <w:p w14:paraId="05409F7D">
            <w:pPr>
              <w:keepNext w:val="0"/>
              <w:keepLines w:val="0"/>
              <w:pageBreakBefore w:val="0"/>
              <w:kinsoku/>
              <w:wordWrap/>
              <w:overflowPunct/>
              <w:topLinePunct w:val="0"/>
              <w:autoSpaceDE/>
              <w:autoSpaceDN/>
              <w:bidi w:val="0"/>
              <w:adjustRightInd/>
              <w:snapToGrid/>
              <w:jc w:val="center"/>
              <w:textAlignment w:val="auto"/>
              <w:rPr>
                <w:rFonts w:ascii="Times New Roman" w:hAnsi="Times New Roman" w:cs="Times New Roman"/>
                <w:sz w:val="21"/>
              </w:rPr>
            </w:pPr>
            <w:r>
              <w:rPr>
                <w:rFonts w:hint="default" w:ascii="Times New Roman" w:hAnsi="Times New Roman" w:eastAsia="宋体" w:cs="Times New Roman"/>
                <w:sz w:val="21"/>
                <w:szCs w:val="21"/>
              </w:rPr>
              <w:t>木工加工</w:t>
            </w:r>
          </w:p>
        </w:tc>
        <w:tc>
          <w:tcPr>
            <w:tcW w:w="465" w:type="pct"/>
            <w:tcBorders>
              <w:tl2br w:val="nil"/>
              <w:tr2bl w:val="nil"/>
            </w:tcBorders>
            <w:vAlign w:val="center"/>
          </w:tcPr>
          <w:p w14:paraId="1A3246B2">
            <w:pPr>
              <w:pStyle w:val="140"/>
              <w:ind w:right="0"/>
              <w:jc w:val="center"/>
              <w:rPr>
                <w:rFonts w:ascii="Times New Roman" w:hAnsi="Times New Roman" w:cs="Times New Roman"/>
                <w:sz w:val="21"/>
              </w:rPr>
            </w:pPr>
            <w:r>
              <w:rPr>
                <w:rFonts w:ascii="Times New Roman" w:hAnsi="Times New Roman" w:cs="Times New Roman"/>
                <w:w w:val="100"/>
                <w:sz w:val="21"/>
              </w:rPr>
              <w:t>固态</w:t>
            </w:r>
          </w:p>
        </w:tc>
        <w:tc>
          <w:tcPr>
            <w:tcW w:w="672" w:type="pct"/>
            <w:vMerge w:val="restart"/>
            <w:tcBorders>
              <w:tl2br w:val="nil"/>
              <w:tr2bl w:val="nil"/>
            </w:tcBorders>
            <w:vAlign w:val="center"/>
          </w:tcPr>
          <w:p w14:paraId="3E806575">
            <w:pPr>
              <w:pStyle w:val="140"/>
              <w:spacing w:line="240" w:lineRule="auto"/>
              <w:ind w:left="0" w:right="0"/>
              <w:jc w:val="center"/>
              <w:rPr>
                <w:rFonts w:ascii="Times New Roman" w:hAnsi="Times New Roman" w:cs="Times New Roman"/>
                <w:sz w:val="21"/>
              </w:rPr>
            </w:pPr>
            <w:r>
              <w:rPr>
                <w:rFonts w:ascii="Times New Roman" w:hAnsi="Times New Roman" w:cs="Times New Roman"/>
                <w:sz w:val="21"/>
              </w:rPr>
              <w:t>一般固废</w:t>
            </w:r>
          </w:p>
        </w:tc>
        <w:tc>
          <w:tcPr>
            <w:tcW w:w="900" w:type="pct"/>
            <w:tcBorders>
              <w:tl2br w:val="nil"/>
              <w:tr2bl w:val="nil"/>
            </w:tcBorders>
            <w:vAlign w:val="center"/>
          </w:tcPr>
          <w:p w14:paraId="076EDB09">
            <w:pPr>
              <w:pStyle w:val="140"/>
              <w:ind w:left="0" w:right="0"/>
              <w:jc w:val="center"/>
              <w:rPr>
                <w:rFonts w:ascii="Times New Roman" w:hAnsi="Times New Roman" w:cs="Times New Roman"/>
                <w:sz w:val="21"/>
              </w:rPr>
            </w:pPr>
            <w:r>
              <w:rPr>
                <w:rFonts w:hint="eastAsia" w:ascii="Times New Roman" w:hAnsi="Times New Roman" w:cs="Times New Roman"/>
                <w:sz w:val="21"/>
                <w:lang w:val="en-US" w:eastAsia="zh-CN"/>
              </w:rPr>
              <w:t>99</w:t>
            </w:r>
          </w:p>
        </w:tc>
        <w:tc>
          <w:tcPr>
            <w:tcW w:w="1316" w:type="dxa"/>
            <w:tcBorders>
              <w:tl2br w:val="nil"/>
              <w:tr2bl w:val="nil"/>
            </w:tcBorders>
            <w:vAlign w:val="center"/>
          </w:tcPr>
          <w:p w14:paraId="2CCBCCBD">
            <w:pPr>
              <w:spacing w:before="48" w:beforeLines="20"/>
              <w:contextualSpacing/>
              <w:jc w:val="center"/>
              <w:rPr>
                <w:rFonts w:hint="default" w:ascii="Times New Roman" w:hAnsi="Times New Roman" w:eastAsia="宋体" w:cs="Times New Roman"/>
                <w:sz w:val="21"/>
                <w:lang w:val="en-US" w:eastAsia="zh-CN"/>
              </w:rPr>
            </w:pPr>
            <w:r>
              <w:rPr>
                <w:rFonts w:hint="eastAsia" w:eastAsiaTheme="minorEastAsia"/>
                <w:color w:val="000000" w:themeColor="text1"/>
                <w:kern w:val="0"/>
                <w:sz w:val="21"/>
                <w:szCs w:val="21"/>
                <w:lang w:val="en-US" w:eastAsia="zh-CN"/>
                <w14:textFill>
                  <w14:solidFill>
                    <w14:schemeClr w14:val="tx1"/>
                  </w14:solidFill>
                </w14:textFill>
              </w:rPr>
              <w:t>55</w:t>
            </w:r>
          </w:p>
        </w:tc>
        <w:tc>
          <w:tcPr>
            <w:tcW w:w="791" w:type="pct"/>
            <w:tcBorders>
              <w:tl2br w:val="nil"/>
              <w:tr2bl w:val="nil"/>
            </w:tcBorders>
            <w:vAlign w:val="top"/>
          </w:tcPr>
          <w:p w14:paraId="4EF6C9D3">
            <w:pPr>
              <w:pStyle w:val="255"/>
              <w:spacing w:before="57" w:line="228" w:lineRule="auto"/>
              <w:ind w:left="242"/>
              <w:rPr>
                <w:sz w:val="20"/>
                <w:szCs w:val="20"/>
              </w:rPr>
            </w:pPr>
            <w:r>
              <w:rPr>
                <w:spacing w:val="7"/>
                <w:sz w:val="20"/>
                <w:szCs w:val="20"/>
              </w:rPr>
              <w:t>由获得许</w:t>
            </w:r>
          </w:p>
          <w:p w14:paraId="63137034">
            <w:pPr>
              <w:pStyle w:val="255"/>
              <w:spacing w:before="65" w:line="228" w:lineRule="auto"/>
              <w:ind w:left="219"/>
              <w:rPr>
                <w:sz w:val="20"/>
                <w:szCs w:val="20"/>
              </w:rPr>
            </w:pPr>
            <w:r>
              <w:rPr>
                <w:spacing w:val="12"/>
                <w:sz w:val="20"/>
                <w:szCs w:val="20"/>
              </w:rPr>
              <w:t>可的单位</w:t>
            </w:r>
          </w:p>
          <w:p w14:paraId="40009F0E">
            <w:pPr>
              <w:pStyle w:val="255"/>
              <w:spacing w:before="64" w:line="228" w:lineRule="auto"/>
              <w:ind w:left="439" w:leftChars="0"/>
              <w:rPr>
                <w:rFonts w:ascii="Times New Roman" w:hAnsi="Times New Roman" w:cs="Times New Roman"/>
                <w:sz w:val="21"/>
              </w:rPr>
            </w:pPr>
            <w:r>
              <w:rPr>
                <w:spacing w:val="7"/>
                <w:sz w:val="20"/>
                <w:szCs w:val="20"/>
              </w:rPr>
              <w:t>处理</w:t>
            </w:r>
          </w:p>
        </w:tc>
      </w:tr>
      <w:tr w14:paraId="1B3E66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73" w:type="pct"/>
            <w:tcBorders>
              <w:tl2br w:val="nil"/>
              <w:tr2bl w:val="nil"/>
            </w:tcBorders>
            <w:vAlign w:val="center"/>
          </w:tcPr>
          <w:p w14:paraId="6EF866FE">
            <w:pPr>
              <w:pStyle w:val="140"/>
              <w:spacing w:before="0"/>
              <w:ind w:left="0"/>
              <w:jc w:val="center"/>
              <w:rPr>
                <w:rFonts w:ascii="Times New Roman" w:hAnsi="Times New Roman" w:cs="Times New Roman"/>
                <w:sz w:val="21"/>
              </w:rPr>
            </w:pPr>
            <w:r>
              <w:rPr>
                <w:rFonts w:ascii="Times New Roman" w:hAnsi="Times New Roman" w:cs="Times New Roman"/>
                <w:w w:val="99"/>
                <w:sz w:val="21"/>
              </w:rPr>
              <w:t>2</w:t>
            </w:r>
          </w:p>
        </w:tc>
        <w:tc>
          <w:tcPr>
            <w:tcW w:w="648" w:type="pct"/>
            <w:tcBorders>
              <w:tl2br w:val="nil"/>
              <w:tr2bl w:val="nil"/>
            </w:tcBorders>
            <w:vAlign w:val="center"/>
          </w:tcPr>
          <w:p w14:paraId="2D81BFC1">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sz w:val="21"/>
                <w:lang w:eastAsia="zh-CN"/>
              </w:rPr>
            </w:pPr>
            <w:r>
              <w:rPr>
                <w:rFonts w:hint="default" w:ascii="Times New Roman" w:hAnsi="Times New Roman" w:eastAsia="宋体" w:cs="Times New Roman"/>
                <w:sz w:val="21"/>
                <w:szCs w:val="21"/>
              </w:rPr>
              <w:t>木屑、除尘灰</w:t>
            </w:r>
          </w:p>
        </w:tc>
        <w:tc>
          <w:tcPr>
            <w:tcW w:w="465" w:type="pct"/>
            <w:tcBorders>
              <w:tl2br w:val="nil"/>
              <w:tr2bl w:val="nil"/>
            </w:tcBorders>
            <w:vAlign w:val="center"/>
          </w:tcPr>
          <w:p w14:paraId="4A393CE1">
            <w:pPr>
              <w:keepNext w:val="0"/>
              <w:keepLines w:val="0"/>
              <w:pageBreakBefore w:val="0"/>
              <w:kinsoku/>
              <w:wordWrap/>
              <w:overflowPunct/>
              <w:topLinePunct w:val="0"/>
              <w:autoSpaceDE/>
              <w:autoSpaceDN/>
              <w:bidi w:val="0"/>
              <w:adjustRightInd/>
              <w:snapToGrid/>
              <w:jc w:val="center"/>
              <w:textAlignment w:val="auto"/>
              <w:rPr>
                <w:rFonts w:ascii="Times New Roman" w:hAnsi="Times New Roman" w:cs="Times New Roman"/>
                <w:sz w:val="21"/>
              </w:rPr>
            </w:pPr>
            <w:r>
              <w:rPr>
                <w:rFonts w:hint="default" w:ascii="Times New Roman" w:hAnsi="Times New Roman" w:eastAsia="宋体" w:cs="Times New Roman"/>
                <w:sz w:val="21"/>
                <w:szCs w:val="21"/>
              </w:rPr>
              <w:t>中央除尘</w:t>
            </w:r>
          </w:p>
        </w:tc>
        <w:tc>
          <w:tcPr>
            <w:tcW w:w="465" w:type="pct"/>
            <w:tcBorders>
              <w:tl2br w:val="nil"/>
              <w:tr2bl w:val="nil"/>
            </w:tcBorders>
            <w:vAlign w:val="center"/>
          </w:tcPr>
          <w:p w14:paraId="49106A5A">
            <w:pPr>
              <w:pStyle w:val="140"/>
              <w:spacing w:before="0"/>
              <w:ind w:right="0"/>
              <w:jc w:val="center"/>
              <w:rPr>
                <w:rFonts w:ascii="Times New Roman" w:hAnsi="Times New Roman" w:cs="Times New Roman"/>
                <w:sz w:val="21"/>
              </w:rPr>
            </w:pPr>
            <w:r>
              <w:rPr>
                <w:rFonts w:ascii="Times New Roman" w:hAnsi="Times New Roman" w:cs="Times New Roman"/>
                <w:w w:val="100"/>
                <w:sz w:val="21"/>
              </w:rPr>
              <w:t>固态</w:t>
            </w:r>
          </w:p>
        </w:tc>
        <w:tc>
          <w:tcPr>
            <w:tcW w:w="672" w:type="pct"/>
            <w:vMerge w:val="continue"/>
            <w:tcBorders>
              <w:tl2br w:val="nil"/>
              <w:tr2bl w:val="nil"/>
            </w:tcBorders>
            <w:vAlign w:val="center"/>
          </w:tcPr>
          <w:p w14:paraId="4E1A8D07">
            <w:pPr>
              <w:pStyle w:val="140"/>
              <w:rPr>
                <w:rFonts w:ascii="Times New Roman" w:hAnsi="Times New Roman" w:cs="Times New Roman"/>
                <w:sz w:val="21"/>
              </w:rPr>
            </w:pPr>
          </w:p>
        </w:tc>
        <w:tc>
          <w:tcPr>
            <w:tcW w:w="900" w:type="pct"/>
            <w:tcBorders>
              <w:bottom w:val="single" w:color="auto" w:sz="4" w:space="0"/>
              <w:tl2br w:val="nil"/>
              <w:tr2bl w:val="nil"/>
            </w:tcBorders>
            <w:vAlign w:val="center"/>
          </w:tcPr>
          <w:p w14:paraId="6B4700C6">
            <w:pPr>
              <w:pStyle w:val="140"/>
              <w:spacing w:before="0"/>
              <w:ind w:left="0" w:right="0"/>
              <w:jc w:val="center"/>
              <w:rPr>
                <w:rFonts w:ascii="Times New Roman" w:hAnsi="Times New Roman" w:cs="Times New Roman"/>
                <w:sz w:val="21"/>
              </w:rPr>
            </w:pPr>
            <w:r>
              <w:rPr>
                <w:rFonts w:hint="eastAsia" w:ascii="Times New Roman" w:hAnsi="Times New Roman" w:cs="Times New Roman"/>
                <w:sz w:val="21"/>
                <w:lang w:val="en-US" w:eastAsia="zh-CN"/>
              </w:rPr>
              <w:t>99</w:t>
            </w:r>
          </w:p>
        </w:tc>
        <w:tc>
          <w:tcPr>
            <w:tcW w:w="1316" w:type="dxa"/>
            <w:tcBorders>
              <w:bottom w:val="single" w:color="auto" w:sz="4" w:space="0"/>
              <w:tl2br w:val="nil"/>
              <w:tr2bl w:val="nil"/>
            </w:tcBorders>
            <w:vAlign w:val="center"/>
          </w:tcPr>
          <w:p w14:paraId="292232C3">
            <w:pPr>
              <w:spacing w:before="48" w:beforeLines="20"/>
              <w:contextualSpacing/>
              <w:jc w:val="center"/>
              <w:rPr>
                <w:rFonts w:hint="default" w:ascii="Times New Roman" w:hAnsi="Times New Roman" w:cs="Times New Roman"/>
                <w:sz w:val="21"/>
                <w:lang w:val="en-US"/>
              </w:rPr>
            </w:pPr>
            <w:r>
              <w:rPr>
                <w:rFonts w:hint="eastAsia"/>
                <w:color w:val="000000" w:themeColor="text1"/>
                <w:szCs w:val="21"/>
                <w:lang w:val="en-US" w:eastAsia="zh-CN" w:bidi="en-US"/>
                <w14:textFill>
                  <w14:solidFill>
                    <w14:schemeClr w14:val="tx1"/>
                  </w14:solidFill>
                </w14:textFill>
              </w:rPr>
              <w:t>36</w:t>
            </w:r>
          </w:p>
        </w:tc>
        <w:tc>
          <w:tcPr>
            <w:tcW w:w="791" w:type="pct"/>
            <w:vMerge w:val="restart"/>
            <w:tcBorders>
              <w:tl2br w:val="nil"/>
              <w:tr2bl w:val="nil"/>
            </w:tcBorders>
            <w:vAlign w:val="top"/>
          </w:tcPr>
          <w:p w14:paraId="1B9E7589">
            <w:pPr>
              <w:pStyle w:val="255"/>
              <w:spacing w:before="254" w:line="274" w:lineRule="auto"/>
              <w:ind w:left="436" w:leftChars="0" w:right="204" w:rightChars="0" w:hanging="215" w:firstLineChars="0"/>
              <w:rPr>
                <w:rFonts w:hint="default" w:ascii="Times New Roman" w:hAnsi="Times New Roman" w:eastAsia="宋体" w:cs="Times New Roman"/>
                <w:sz w:val="21"/>
                <w:lang w:val="en-US" w:eastAsia="zh-CN"/>
              </w:rPr>
            </w:pPr>
            <w:r>
              <w:rPr>
                <w:spacing w:val="12"/>
                <w:sz w:val="20"/>
                <w:szCs w:val="20"/>
              </w:rPr>
              <w:t>外售综合</w:t>
            </w:r>
            <w:r>
              <w:rPr>
                <w:spacing w:val="9"/>
                <w:sz w:val="20"/>
                <w:szCs w:val="20"/>
              </w:rPr>
              <w:t>利用</w:t>
            </w:r>
          </w:p>
        </w:tc>
      </w:tr>
      <w:tr w14:paraId="05571E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73" w:type="pct"/>
            <w:tcBorders>
              <w:tl2br w:val="nil"/>
              <w:tr2bl w:val="nil"/>
            </w:tcBorders>
            <w:vAlign w:val="center"/>
          </w:tcPr>
          <w:p w14:paraId="3E9D9788">
            <w:pPr>
              <w:pStyle w:val="140"/>
              <w:spacing w:before="0"/>
              <w:ind w:left="0" w:leftChars="0"/>
              <w:jc w:val="center"/>
              <w:rPr>
                <w:rFonts w:hint="eastAsia" w:ascii="Times New Roman" w:hAnsi="Times New Roman" w:eastAsia="宋体" w:cs="Times New Roman"/>
                <w:w w:val="99"/>
                <w:kern w:val="2"/>
                <w:sz w:val="21"/>
                <w:szCs w:val="24"/>
                <w:lang w:val="en-US" w:eastAsia="zh-CN" w:bidi="ar-SA"/>
              </w:rPr>
            </w:pPr>
            <w:bookmarkStart w:id="105" w:name="_Toc20765"/>
            <w:bookmarkStart w:id="106" w:name="_Toc8506"/>
            <w:bookmarkStart w:id="107" w:name="_Toc6390"/>
            <w:r>
              <w:rPr>
                <w:rFonts w:hint="eastAsia" w:ascii="Times New Roman" w:hAnsi="Times New Roman" w:cs="Times New Roman"/>
                <w:w w:val="99"/>
                <w:sz w:val="21"/>
                <w:lang w:val="en-US" w:eastAsia="zh-CN"/>
              </w:rPr>
              <w:t>3</w:t>
            </w:r>
          </w:p>
        </w:tc>
        <w:tc>
          <w:tcPr>
            <w:tcW w:w="648" w:type="pct"/>
            <w:tcBorders>
              <w:tl2br w:val="nil"/>
              <w:tr2bl w:val="nil"/>
            </w:tcBorders>
            <w:vAlign w:val="center"/>
          </w:tcPr>
          <w:p w14:paraId="7E6B565E">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sz w:val="21"/>
                <w:szCs w:val="21"/>
                <w:lang w:val="en-US" w:eastAsia="zh-CN"/>
              </w:rPr>
              <w:t>废边角料</w:t>
            </w:r>
          </w:p>
        </w:tc>
        <w:tc>
          <w:tcPr>
            <w:tcW w:w="465" w:type="pct"/>
            <w:tcBorders>
              <w:tl2br w:val="nil"/>
              <w:tr2bl w:val="nil"/>
            </w:tcBorders>
            <w:vAlign w:val="center"/>
          </w:tcPr>
          <w:p w14:paraId="651BB1B4">
            <w:pPr>
              <w:jc w:val="center"/>
              <w:rPr>
                <w:rFonts w:hint="default" w:ascii="Times New Roman" w:hAnsi="Times New Roman" w:cs="Times New Roman"/>
                <w:sz w:val="21"/>
                <w:lang w:val="en-US" w:eastAsia="zh-CN"/>
              </w:rPr>
            </w:pPr>
            <w:r>
              <w:rPr>
                <w:rFonts w:hint="default" w:ascii="Times New Roman" w:hAnsi="Times New Roman" w:eastAsia="宋体" w:cs="Times New Roman"/>
                <w:sz w:val="21"/>
                <w:szCs w:val="21"/>
                <w:lang w:val="en-US" w:eastAsia="zh-CN"/>
              </w:rPr>
              <w:t>贴皮</w:t>
            </w:r>
          </w:p>
        </w:tc>
        <w:tc>
          <w:tcPr>
            <w:tcW w:w="465" w:type="pct"/>
            <w:tcBorders>
              <w:tl2br w:val="nil"/>
              <w:tr2bl w:val="nil"/>
            </w:tcBorders>
            <w:vAlign w:val="center"/>
          </w:tcPr>
          <w:p w14:paraId="52841ED7">
            <w:pPr>
              <w:pStyle w:val="140"/>
              <w:spacing w:before="0"/>
              <w:ind w:right="0"/>
              <w:jc w:val="center"/>
              <w:rPr>
                <w:rFonts w:hint="eastAsia" w:ascii="Times New Roman" w:hAnsi="Times New Roman" w:eastAsia="宋体" w:cs="Times New Roman"/>
                <w:w w:val="100"/>
                <w:sz w:val="21"/>
                <w:lang w:val="en-US" w:eastAsia="zh-CN"/>
              </w:rPr>
            </w:pPr>
            <w:r>
              <w:rPr>
                <w:rFonts w:hint="eastAsia" w:ascii="Times New Roman" w:hAnsi="Times New Roman" w:cs="Times New Roman"/>
                <w:w w:val="100"/>
                <w:sz w:val="21"/>
                <w:lang w:val="en-US" w:eastAsia="zh-CN"/>
              </w:rPr>
              <w:t>固态</w:t>
            </w:r>
          </w:p>
        </w:tc>
        <w:tc>
          <w:tcPr>
            <w:tcW w:w="672" w:type="pct"/>
            <w:vMerge w:val="continue"/>
            <w:tcBorders>
              <w:tl2br w:val="nil"/>
              <w:tr2bl w:val="nil"/>
            </w:tcBorders>
            <w:vAlign w:val="center"/>
          </w:tcPr>
          <w:p w14:paraId="4A063ED8">
            <w:pPr>
              <w:pStyle w:val="140"/>
              <w:rPr>
                <w:rFonts w:ascii="Times New Roman" w:hAnsi="Times New Roman" w:cs="Times New Roman"/>
                <w:sz w:val="21"/>
              </w:rPr>
            </w:pPr>
          </w:p>
        </w:tc>
        <w:tc>
          <w:tcPr>
            <w:tcW w:w="900" w:type="pct"/>
            <w:tcBorders>
              <w:top w:val="single" w:color="auto" w:sz="4" w:space="0"/>
              <w:bottom w:val="single" w:color="auto" w:sz="4" w:space="0"/>
              <w:tl2br w:val="nil"/>
              <w:tr2bl w:val="nil"/>
            </w:tcBorders>
            <w:vAlign w:val="center"/>
          </w:tcPr>
          <w:p w14:paraId="2BC278C4">
            <w:pPr>
              <w:pStyle w:val="140"/>
              <w:spacing w:before="0"/>
              <w:ind w:left="0" w:righ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99</w:t>
            </w:r>
          </w:p>
        </w:tc>
        <w:tc>
          <w:tcPr>
            <w:tcW w:w="1316" w:type="dxa"/>
            <w:tcBorders>
              <w:tl2br w:val="nil"/>
              <w:tr2bl w:val="nil"/>
            </w:tcBorders>
            <w:vAlign w:val="center"/>
          </w:tcPr>
          <w:p w14:paraId="542C9ED3">
            <w:pPr>
              <w:spacing w:before="48" w:beforeLines="20"/>
              <w:contextualSpacing/>
              <w:jc w:val="center"/>
              <w:rPr>
                <w:rFonts w:hint="default" w:ascii="Times New Roman" w:hAnsi="Times New Roman" w:cs="Times New Roman"/>
                <w:sz w:val="21"/>
                <w:lang w:val="en-US" w:eastAsia="zh-CN"/>
              </w:rPr>
            </w:pPr>
            <w:r>
              <w:rPr>
                <w:rFonts w:hint="eastAsia"/>
                <w:color w:val="000000" w:themeColor="text1"/>
                <w:szCs w:val="21"/>
                <w:lang w:val="en-US" w:eastAsia="zh-CN" w:bidi="en-US"/>
                <w14:textFill>
                  <w14:solidFill>
                    <w14:schemeClr w14:val="tx1"/>
                  </w14:solidFill>
                </w14:textFill>
              </w:rPr>
              <w:t>0.07</w:t>
            </w:r>
          </w:p>
        </w:tc>
        <w:tc>
          <w:tcPr>
            <w:tcW w:w="791" w:type="pct"/>
            <w:vMerge w:val="continue"/>
            <w:tcBorders>
              <w:tl2br w:val="nil"/>
              <w:tr2bl w:val="nil"/>
            </w:tcBorders>
            <w:vAlign w:val="center"/>
          </w:tcPr>
          <w:p w14:paraId="7E2F76D1">
            <w:pPr>
              <w:pStyle w:val="140"/>
              <w:rPr>
                <w:rFonts w:ascii="Times New Roman" w:hAnsi="Times New Roman" w:cs="Times New Roman"/>
                <w:sz w:val="22"/>
              </w:rPr>
            </w:pPr>
          </w:p>
        </w:tc>
      </w:tr>
      <w:tr w14:paraId="3B9D92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73" w:type="pct"/>
            <w:tcBorders>
              <w:tl2br w:val="nil"/>
              <w:tr2bl w:val="nil"/>
            </w:tcBorders>
            <w:vAlign w:val="center"/>
          </w:tcPr>
          <w:p w14:paraId="18CF9B57">
            <w:pPr>
              <w:pStyle w:val="140"/>
              <w:spacing w:before="0"/>
              <w:ind w:left="0" w:leftChars="0"/>
              <w:jc w:val="center"/>
              <w:rPr>
                <w:rFonts w:hint="default" w:ascii="Times New Roman" w:hAnsi="Times New Roman" w:cs="Times New Roman"/>
                <w:w w:val="99"/>
                <w:sz w:val="21"/>
                <w:lang w:val="en-US" w:eastAsia="zh-CN"/>
              </w:rPr>
            </w:pPr>
            <w:bookmarkStart w:id="108" w:name="_Toc398"/>
            <w:r>
              <w:rPr>
                <w:rFonts w:hint="eastAsia" w:ascii="Times New Roman" w:hAnsi="Times New Roman" w:cs="Times New Roman"/>
                <w:w w:val="99"/>
                <w:sz w:val="21"/>
                <w:lang w:val="en-US" w:eastAsia="zh-CN"/>
              </w:rPr>
              <w:t>4</w:t>
            </w:r>
          </w:p>
        </w:tc>
        <w:tc>
          <w:tcPr>
            <w:tcW w:w="648" w:type="pct"/>
            <w:tcBorders>
              <w:tl2br w:val="nil"/>
              <w:tr2bl w:val="nil"/>
            </w:tcBorders>
            <w:vAlign w:val="center"/>
          </w:tcPr>
          <w:p w14:paraId="1A64390A">
            <w:pPr>
              <w:jc w:val="center"/>
              <w:rPr>
                <w:spacing w:val="7"/>
                <w:sz w:val="20"/>
                <w:szCs w:val="20"/>
              </w:rPr>
            </w:pPr>
            <w:r>
              <w:rPr>
                <w:rFonts w:hint="default" w:ascii="Times New Roman" w:hAnsi="Times New Roman" w:eastAsia="宋体" w:cs="Times New Roman"/>
                <w:sz w:val="21"/>
                <w:szCs w:val="21"/>
                <w:lang w:val="en-US" w:eastAsia="zh-CN"/>
              </w:rPr>
              <w:t>废封边条</w:t>
            </w:r>
          </w:p>
        </w:tc>
        <w:tc>
          <w:tcPr>
            <w:tcW w:w="465" w:type="pct"/>
            <w:tcBorders>
              <w:tl2br w:val="nil"/>
              <w:tr2bl w:val="nil"/>
            </w:tcBorders>
            <w:vAlign w:val="center"/>
          </w:tcPr>
          <w:p w14:paraId="4FEF8EBD">
            <w:pPr>
              <w:jc w:val="center"/>
              <w:rPr>
                <w:rFonts w:hint="eastAsia" w:ascii="Times New Roman" w:hAnsi="Times New Roman" w:cs="Times New Roman"/>
                <w:sz w:val="21"/>
                <w:lang w:val="en-US" w:eastAsia="zh-CN"/>
              </w:rPr>
            </w:pPr>
            <w:r>
              <w:rPr>
                <w:rFonts w:hint="default" w:ascii="Times New Roman" w:hAnsi="Times New Roman" w:eastAsia="宋体" w:cs="Times New Roman"/>
                <w:sz w:val="21"/>
                <w:szCs w:val="21"/>
                <w:lang w:val="en-US" w:eastAsia="zh-CN"/>
              </w:rPr>
              <w:t>封边</w:t>
            </w:r>
          </w:p>
        </w:tc>
        <w:tc>
          <w:tcPr>
            <w:tcW w:w="465" w:type="pct"/>
            <w:tcBorders>
              <w:tl2br w:val="nil"/>
              <w:tr2bl w:val="nil"/>
            </w:tcBorders>
            <w:vAlign w:val="center"/>
          </w:tcPr>
          <w:p w14:paraId="604A4CAA">
            <w:pPr>
              <w:spacing w:before="0"/>
              <w:ind w:right="0"/>
              <w:jc w:val="center"/>
              <w:rPr>
                <w:rFonts w:hint="eastAsia" w:ascii="Times New Roman" w:hAnsi="Times New Roman" w:cs="Times New Roman"/>
                <w:w w:val="100"/>
                <w:sz w:val="21"/>
                <w:lang w:val="en-US" w:eastAsia="zh-CN"/>
              </w:rPr>
            </w:pPr>
            <w:r>
              <w:rPr>
                <w:rFonts w:hint="eastAsia" w:ascii="Times New Roman" w:hAnsi="Times New Roman" w:cs="Times New Roman"/>
                <w:w w:val="100"/>
                <w:sz w:val="21"/>
                <w:lang w:val="en-US" w:eastAsia="zh-CN"/>
              </w:rPr>
              <w:t>固态</w:t>
            </w:r>
          </w:p>
        </w:tc>
        <w:tc>
          <w:tcPr>
            <w:tcW w:w="672" w:type="pct"/>
            <w:vMerge w:val="continue"/>
            <w:tcBorders>
              <w:tl2br w:val="nil"/>
              <w:tr2bl w:val="nil"/>
            </w:tcBorders>
            <w:vAlign w:val="center"/>
          </w:tcPr>
          <w:p w14:paraId="16785B6D">
            <w:pPr>
              <w:pStyle w:val="140"/>
              <w:rPr>
                <w:rFonts w:ascii="Times New Roman" w:hAnsi="Times New Roman" w:cs="Times New Roman"/>
                <w:sz w:val="21"/>
              </w:rPr>
            </w:pPr>
          </w:p>
        </w:tc>
        <w:tc>
          <w:tcPr>
            <w:tcW w:w="900" w:type="pct"/>
            <w:tcBorders>
              <w:top w:val="single" w:color="auto" w:sz="4" w:space="0"/>
              <w:bottom w:val="single" w:color="auto" w:sz="4" w:space="0"/>
              <w:tl2br w:val="nil"/>
              <w:tr2bl w:val="nil"/>
            </w:tcBorders>
            <w:vAlign w:val="center"/>
          </w:tcPr>
          <w:p w14:paraId="273AAD8E">
            <w:pPr>
              <w:spacing w:before="0"/>
              <w:ind w:left="0" w:righ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99</w:t>
            </w:r>
          </w:p>
        </w:tc>
        <w:tc>
          <w:tcPr>
            <w:tcW w:w="1316" w:type="dxa"/>
            <w:tcBorders>
              <w:tl2br w:val="nil"/>
              <w:tr2bl w:val="nil"/>
            </w:tcBorders>
            <w:vAlign w:val="center"/>
          </w:tcPr>
          <w:p w14:paraId="16CBB855">
            <w:pPr>
              <w:spacing w:before="48" w:beforeLines="20"/>
              <w:contextualSpacing/>
              <w:jc w:val="center"/>
              <w:rPr>
                <w:rFonts w:ascii="Times New Roman" w:hAnsi="Times New Roman" w:eastAsia="Times New Roman" w:cs="Times New Roman"/>
                <w:sz w:val="20"/>
                <w:szCs w:val="20"/>
              </w:rPr>
            </w:pPr>
            <w:r>
              <w:rPr>
                <w:rFonts w:hint="eastAsia" w:eastAsiaTheme="minorEastAsia"/>
                <w:color w:val="000000" w:themeColor="text1"/>
                <w:kern w:val="0"/>
                <w:sz w:val="21"/>
                <w:szCs w:val="21"/>
                <w:lang w:val="en-US" w:eastAsia="zh-CN"/>
                <w14:textFill>
                  <w14:solidFill>
                    <w14:schemeClr w14:val="tx1"/>
                  </w14:solidFill>
                </w14:textFill>
              </w:rPr>
              <w:t>0.2</w:t>
            </w:r>
          </w:p>
        </w:tc>
        <w:tc>
          <w:tcPr>
            <w:tcW w:w="791" w:type="pct"/>
            <w:vMerge w:val="continue"/>
            <w:tcBorders>
              <w:tl2br w:val="nil"/>
              <w:tr2bl w:val="nil"/>
            </w:tcBorders>
            <w:vAlign w:val="center"/>
          </w:tcPr>
          <w:p w14:paraId="617497F4">
            <w:pPr>
              <w:pStyle w:val="140"/>
              <w:rPr>
                <w:rFonts w:ascii="Times New Roman" w:hAnsi="Times New Roman" w:cs="Times New Roman"/>
                <w:sz w:val="22"/>
              </w:rPr>
            </w:pPr>
          </w:p>
        </w:tc>
      </w:tr>
      <w:tr w14:paraId="581275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20" w:hRule="atLeast"/>
          <w:jc w:val="center"/>
        </w:trPr>
        <w:tc>
          <w:tcPr>
            <w:tcW w:w="373" w:type="pct"/>
            <w:tcBorders>
              <w:tl2br w:val="nil"/>
              <w:tr2bl w:val="nil"/>
            </w:tcBorders>
            <w:vAlign w:val="center"/>
          </w:tcPr>
          <w:p w14:paraId="368DEB36">
            <w:pPr>
              <w:pStyle w:val="140"/>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5</w:t>
            </w:r>
          </w:p>
        </w:tc>
        <w:tc>
          <w:tcPr>
            <w:tcW w:w="648" w:type="pct"/>
            <w:tcBorders>
              <w:tl2br w:val="nil"/>
              <w:tr2bl w:val="nil"/>
            </w:tcBorders>
            <w:vAlign w:val="center"/>
          </w:tcPr>
          <w:p w14:paraId="2A888E15">
            <w:pPr>
              <w:jc w:val="center"/>
              <w:rPr>
                <w:spacing w:val="7"/>
                <w:sz w:val="20"/>
                <w:szCs w:val="20"/>
              </w:rPr>
            </w:pPr>
            <w:r>
              <w:rPr>
                <w:rFonts w:hint="default" w:ascii="Times New Roman" w:hAnsi="Times New Roman" w:eastAsia="宋体" w:cs="Times New Roman"/>
                <w:sz w:val="21"/>
                <w:szCs w:val="21"/>
              </w:rPr>
              <w:t>白坯打磨粉尘</w:t>
            </w:r>
          </w:p>
        </w:tc>
        <w:tc>
          <w:tcPr>
            <w:tcW w:w="465" w:type="pct"/>
            <w:tcBorders>
              <w:tl2br w:val="nil"/>
              <w:tr2bl w:val="nil"/>
            </w:tcBorders>
            <w:vAlign w:val="center"/>
          </w:tcPr>
          <w:p w14:paraId="6E1C1B11">
            <w:pPr>
              <w:jc w:val="center"/>
              <w:rPr>
                <w:rFonts w:hint="eastAsia" w:ascii="Times New Roman" w:hAnsi="Times New Roman" w:cs="Times New Roman"/>
                <w:sz w:val="21"/>
                <w:lang w:val="en-US" w:eastAsia="zh-CN"/>
              </w:rPr>
            </w:pPr>
            <w:r>
              <w:rPr>
                <w:rFonts w:hint="default" w:ascii="Times New Roman" w:hAnsi="Times New Roman" w:eastAsia="宋体" w:cs="Times New Roman"/>
                <w:sz w:val="21"/>
                <w:szCs w:val="21"/>
              </w:rPr>
              <w:t>白坯打磨</w:t>
            </w:r>
          </w:p>
        </w:tc>
        <w:tc>
          <w:tcPr>
            <w:tcW w:w="465" w:type="pct"/>
            <w:tcBorders>
              <w:tl2br w:val="nil"/>
              <w:tr2bl w:val="nil"/>
            </w:tcBorders>
            <w:vAlign w:val="center"/>
          </w:tcPr>
          <w:p w14:paraId="5365F34C">
            <w:pPr>
              <w:spacing w:before="0"/>
              <w:ind w:right="0"/>
              <w:jc w:val="center"/>
              <w:rPr>
                <w:rFonts w:hint="eastAsia" w:ascii="Times New Roman" w:hAnsi="Times New Roman" w:cs="Times New Roman"/>
                <w:w w:val="100"/>
                <w:sz w:val="21"/>
                <w:lang w:val="en-US" w:eastAsia="zh-CN"/>
              </w:rPr>
            </w:pPr>
            <w:r>
              <w:rPr>
                <w:rFonts w:hint="eastAsia" w:ascii="Times New Roman" w:hAnsi="Times New Roman" w:cs="Times New Roman"/>
                <w:w w:val="100"/>
                <w:sz w:val="21"/>
                <w:lang w:val="en-US" w:eastAsia="zh-CN"/>
              </w:rPr>
              <w:t>固态</w:t>
            </w:r>
          </w:p>
        </w:tc>
        <w:tc>
          <w:tcPr>
            <w:tcW w:w="672" w:type="pct"/>
            <w:vMerge w:val="continue"/>
            <w:tcBorders>
              <w:tl2br w:val="nil"/>
              <w:tr2bl w:val="nil"/>
            </w:tcBorders>
            <w:vAlign w:val="center"/>
          </w:tcPr>
          <w:p w14:paraId="086DE16E">
            <w:pPr>
              <w:pStyle w:val="140"/>
              <w:rPr>
                <w:rFonts w:ascii="Times New Roman" w:hAnsi="Times New Roman" w:cs="Times New Roman"/>
                <w:sz w:val="21"/>
              </w:rPr>
            </w:pPr>
          </w:p>
        </w:tc>
        <w:tc>
          <w:tcPr>
            <w:tcW w:w="900" w:type="pct"/>
            <w:tcBorders>
              <w:top w:val="single" w:color="auto" w:sz="4" w:space="0"/>
              <w:bottom w:val="single" w:color="auto" w:sz="4" w:space="0"/>
              <w:tl2br w:val="nil"/>
              <w:tr2bl w:val="nil"/>
            </w:tcBorders>
            <w:vAlign w:val="center"/>
          </w:tcPr>
          <w:p w14:paraId="611E8CD4">
            <w:pPr>
              <w:spacing w:before="0"/>
              <w:ind w:left="0" w:righ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99</w:t>
            </w:r>
          </w:p>
        </w:tc>
        <w:tc>
          <w:tcPr>
            <w:tcW w:w="1316" w:type="dxa"/>
            <w:tcBorders>
              <w:tl2br w:val="nil"/>
              <w:tr2bl w:val="nil"/>
            </w:tcBorders>
            <w:vAlign w:val="center"/>
          </w:tcPr>
          <w:p w14:paraId="7F86C71B">
            <w:pPr>
              <w:spacing w:before="48" w:beforeLines="20"/>
              <w:contextualSpacing/>
              <w:jc w:val="center"/>
              <w:rPr>
                <w:rFonts w:ascii="Times New Roman" w:hAnsi="Times New Roman" w:eastAsia="Times New Roman" w:cs="Times New Roman"/>
                <w:sz w:val="20"/>
                <w:szCs w:val="20"/>
              </w:rPr>
            </w:pPr>
            <w:r>
              <w:rPr>
                <w:rFonts w:hint="eastAsia" w:eastAsiaTheme="minorEastAsia"/>
                <w:color w:val="000000" w:themeColor="text1"/>
                <w:kern w:val="0"/>
                <w:sz w:val="21"/>
                <w:szCs w:val="21"/>
                <w:lang w:val="en-US" w:eastAsia="zh-CN"/>
                <w14:textFill>
                  <w14:solidFill>
                    <w14:schemeClr w14:val="tx1"/>
                  </w14:solidFill>
                </w14:textFill>
              </w:rPr>
              <w:t>0.1</w:t>
            </w:r>
          </w:p>
        </w:tc>
        <w:tc>
          <w:tcPr>
            <w:tcW w:w="791" w:type="pct"/>
            <w:vMerge w:val="continue"/>
            <w:tcBorders>
              <w:tl2br w:val="nil"/>
              <w:tr2bl w:val="nil"/>
            </w:tcBorders>
            <w:vAlign w:val="center"/>
          </w:tcPr>
          <w:p w14:paraId="046D604F">
            <w:pPr>
              <w:pStyle w:val="140"/>
              <w:rPr>
                <w:rFonts w:ascii="Times New Roman" w:hAnsi="Times New Roman" w:cs="Times New Roman"/>
                <w:sz w:val="22"/>
              </w:rPr>
            </w:pPr>
          </w:p>
        </w:tc>
      </w:tr>
      <w:tr w14:paraId="0DBB96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73" w:type="pct"/>
            <w:tcBorders>
              <w:tl2br w:val="nil"/>
              <w:tr2bl w:val="nil"/>
            </w:tcBorders>
            <w:vAlign w:val="center"/>
          </w:tcPr>
          <w:p w14:paraId="2F4FB736">
            <w:pPr>
              <w:pStyle w:val="140"/>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6</w:t>
            </w:r>
          </w:p>
        </w:tc>
        <w:tc>
          <w:tcPr>
            <w:tcW w:w="648" w:type="pct"/>
            <w:tcBorders>
              <w:tl2br w:val="nil"/>
              <w:tr2bl w:val="nil"/>
            </w:tcBorders>
            <w:vAlign w:val="center"/>
          </w:tcPr>
          <w:p w14:paraId="21FBECE7">
            <w:pPr>
              <w:keepNext w:val="0"/>
              <w:keepLines w:val="0"/>
              <w:pageBreakBefore w:val="0"/>
              <w:kinsoku/>
              <w:wordWrap/>
              <w:overflowPunct/>
              <w:topLinePunct w:val="0"/>
              <w:autoSpaceDE/>
              <w:autoSpaceDN/>
              <w:bidi w:val="0"/>
              <w:adjustRightInd/>
              <w:snapToGrid/>
              <w:jc w:val="center"/>
              <w:textAlignment w:val="auto"/>
              <w:rPr>
                <w:spacing w:val="7"/>
                <w:sz w:val="20"/>
                <w:szCs w:val="20"/>
              </w:rPr>
            </w:pPr>
            <w:r>
              <w:rPr>
                <w:rFonts w:hint="default" w:ascii="Times New Roman" w:hAnsi="Times New Roman" w:eastAsia="宋体" w:cs="Times New Roman"/>
                <w:sz w:val="21"/>
                <w:szCs w:val="21"/>
                <w:lang w:val="en-US" w:eastAsia="zh-CN"/>
              </w:rPr>
              <w:t>废包装袋</w:t>
            </w:r>
          </w:p>
        </w:tc>
        <w:tc>
          <w:tcPr>
            <w:tcW w:w="465" w:type="pct"/>
            <w:tcBorders>
              <w:tl2br w:val="nil"/>
              <w:tr2bl w:val="nil"/>
            </w:tcBorders>
            <w:vAlign w:val="center"/>
          </w:tcPr>
          <w:p w14:paraId="0E7C0B6A">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cs="Times New Roman"/>
                <w:sz w:val="21"/>
                <w:lang w:val="en-US" w:eastAsia="zh-CN"/>
              </w:rPr>
            </w:pPr>
            <w:r>
              <w:rPr>
                <w:rFonts w:hint="default" w:ascii="Times New Roman" w:hAnsi="Times New Roman" w:eastAsia="宋体" w:cs="Times New Roman"/>
                <w:sz w:val="21"/>
                <w:szCs w:val="21"/>
              </w:rPr>
              <w:t>物料</w:t>
            </w:r>
            <w:r>
              <w:rPr>
                <w:rFonts w:hint="default" w:ascii="Times New Roman" w:hAnsi="Times New Roman" w:eastAsia="宋体" w:cs="Times New Roman"/>
                <w:sz w:val="21"/>
                <w:szCs w:val="21"/>
                <w:lang w:val="en-US" w:eastAsia="zh-CN"/>
              </w:rPr>
              <w:t>使用</w:t>
            </w:r>
          </w:p>
        </w:tc>
        <w:tc>
          <w:tcPr>
            <w:tcW w:w="465" w:type="pct"/>
            <w:tcBorders>
              <w:tl2br w:val="nil"/>
              <w:tr2bl w:val="nil"/>
            </w:tcBorders>
            <w:vAlign w:val="center"/>
          </w:tcPr>
          <w:p w14:paraId="1F500F8C">
            <w:pPr>
              <w:spacing w:before="0"/>
              <w:ind w:right="0"/>
              <w:jc w:val="center"/>
              <w:rPr>
                <w:rFonts w:hint="eastAsia" w:ascii="Times New Roman" w:hAnsi="Times New Roman" w:cs="Times New Roman"/>
                <w:w w:val="100"/>
                <w:sz w:val="21"/>
                <w:lang w:val="en-US" w:eastAsia="zh-CN"/>
              </w:rPr>
            </w:pPr>
            <w:r>
              <w:rPr>
                <w:rFonts w:hint="eastAsia" w:ascii="Times New Roman" w:hAnsi="Times New Roman" w:cs="Times New Roman"/>
                <w:w w:val="100"/>
                <w:sz w:val="21"/>
                <w:lang w:val="en-US" w:eastAsia="zh-CN"/>
              </w:rPr>
              <w:t>固态</w:t>
            </w:r>
          </w:p>
        </w:tc>
        <w:tc>
          <w:tcPr>
            <w:tcW w:w="672" w:type="pct"/>
            <w:vMerge w:val="continue"/>
            <w:tcBorders>
              <w:tl2br w:val="nil"/>
              <w:tr2bl w:val="nil"/>
            </w:tcBorders>
            <w:vAlign w:val="center"/>
          </w:tcPr>
          <w:p w14:paraId="43C6AEE8">
            <w:pPr>
              <w:pStyle w:val="140"/>
              <w:rPr>
                <w:rFonts w:ascii="Times New Roman" w:hAnsi="Times New Roman" w:cs="Times New Roman"/>
                <w:sz w:val="21"/>
              </w:rPr>
            </w:pPr>
          </w:p>
        </w:tc>
        <w:tc>
          <w:tcPr>
            <w:tcW w:w="900" w:type="pct"/>
            <w:tcBorders>
              <w:top w:val="single" w:color="auto" w:sz="4" w:space="0"/>
              <w:bottom w:val="single" w:color="auto" w:sz="4" w:space="0"/>
              <w:tl2br w:val="nil"/>
              <w:tr2bl w:val="nil"/>
            </w:tcBorders>
            <w:vAlign w:val="center"/>
          </w:tcPr>
          <w:p w14:paraId="596F3CB7">
            <w:pPr>
              <w:spacing w:before="0"/>
              <w:ind w:left="0" w:righ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99</w:t>
            </w:r>
          </w:p>
        </w:tc>
        <w:tc>
          <w:tcPr>
            <w:tcW w:w="1316" w:type="dxa"/>
            <w:tcBorders>
              <w:tl2br w:val="nil"/>
              <w:tr2bl w:val="nil"/>
            </w:tcBorders>
            <w:vAlign w:val="center"/>
          </w:tcPr>
          <w:p w14:paraId="0DF50E28">
            <w:pPr>
              <w:spacing w:before="48" w:beforeLines="20"/>
              <w:contextualSpacing/>
              <w:jc w:val="center"/>
              <w:rPr>
                <w:rFonts w:ascii="Times New Roman" w:hAnsi="Times New Roman" w:eastAsia="Times New Roman" w:cs="Times New Roman"/>
                <w:sz w:val="20"/>
                <w:szCs w:val="20"/>
              </w:rPr>
            </w:pPr>
            <w:r>
              <w:rPr>
                <w:rFonts w:hint="eastAsia" w:eastAsiaTheme="minorEastAsia"/>
                <w:color w:val="000000" w:themeColor="text1"/>
                <w:kern w:val="0"/>
                <w:sz w:val="21"/>
                <w:szCs w:val="21"/>
                <w:lang w:val="en-US" w:eastAsia="zh-CN"/>
                <w14:textFill>
                  <w14:solidFill>
                    <w14:schemeClr w14:val="tx1"/>
                  </w14:solidFill>
                </w14:textFill>
              </w:rPr>
              <w:t>0.02</w:t>
            </w:r>
          </w:p>
        </w:tc>
        <w:tc>
          <w:tcPr>
            <w:tcW w:w="791" w:type="pct"/>
            <w:vMerge w:val="continue"/>
            <w:tcBorders>
              <w:tl2br w:val="nil"/>
              <w:tr2bl w:val="nil"/>
            </w:tcBorders>
            <w:vAlign w:val="center"/>
          </w:tcPr>
          <w:p w14:paraId="097406CD">
            <w:pPr>
              <w:pStyle w:val="140"/>
              <w:rPr>
                <w:rFonts w:ascii="Times New Roman" w:hAnsi="Times New Roman" w:cs="Times New Roman"/>
                <w:sz w:val="22"/>
              </w:rPr>
            </w:pPr>
          </w:p>
        </w:tc>
      </w:tr>
      <w:tr w14:paraId="28179C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20" w:hRule="atLeast"/>
          <w:jc w:val="center"/>
        </w:trPr>
        <w:tc>
          <w:tcPr>
            <w:tcW w:w="373" w:type="pct"/>
            <w:tcBorders>
              <w:tl2br w:val="nil"/>
              <w:tr2bl w:val="nil"/>
            </w:tcBorders>
            <w:vAlign w:val="center"/>
          </w:tcPr>
          <w:p w14:paraId="5AAB2917">
            <w:pPr>
              <w:pStyle w:val="140"/>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7</w:t>
            </w:r>
          </w:p>
        </w:tc>
        <w:tc>
          <w:tcPr>
            <w:tcW w:w="648" w:type="pct"/>
            <w:tcBorders>
              <w:tl2br w:val="nil"/>
              <w:tr2bl w:val="nil"/>
            </w:tcBorders>
            <w:vAlign w:val="center"/>
          </w:tcPr>
          <w:p w14:paraId="663A8398">
            <w:pPr>
              <w:keepNext w:val="0"/>
              <w:keepLines w:val="0"/>
              <w:pageBreakBefore w:val="0"/>
              <w:kinsoku/>
              <w:wordWrap/>
              <w:overflowPunct/>
              <w:topLinePunct w:val="0"/>
              <w:autoSpaceDE/>
              <w:autoSpaceDN/>
              <w:bidi w:val="0"/>
              <w:adjustRightInd/>
              <w:snapToGrid/>
              <w:jc w:val="center"/>
              <w:textAlignment w:val="auto"/>
              <w:rPr>
                <w:spacing w:val="7"/>
                <w:sz w:val="20"/>
                <w:szCs w:val="20"/>
              </w:rPr>
            </w:pPr>
            <w:r>
              <w:rPr>
                <w:rFonts w:hint="default" w:ascii="Times New Roman" w:hAnsi="Times New Roman" w:eastAsia="宋体" w:cs="Times New Roman"/>
                <w:sz w:val="21"/>
                <w:szCs w:val="21"/>
              </w:rPr>
              <w:t>废布料、废皮革、废海绵</w:t>
            </w:r>
          </w:p>
        </w:tc>
        <w:tc>
          <w:tcPr>
            <w:tcW w:w="465" w:type="pct"/>
            <w:tcBorders>
              <w:tl2br w:val="nil"/>
              <w:tr2bl w:val="nil"/>
            </w:tcBorders>
            <w:vAlign w:val="center"/>
          </w:tcPr>
          <w:p w14:paraId="108A0B95">
            <w:pPr>
              <w:jc w:val="center"/>
              <w:rPr>
                <w:rFonts w:hint="eastAsia" w:ascii="Times New Roman" w:hAnsi="Times New Roman" w:cs="Times New Roman"/>
                <w:sz w:val="21"/>
                <w:lang w:val="en-US" w:eastAsia="zh-CN"/>
              </w:rPr>
            </w:pPr>
            <w:r>
              <w:rPr>
                <w:rFonts w:hint="default" w:ascii="Times New Roman" w:hAnsi="Times New Roman" w:eastAsia="宋体" w:cs="Times New Roman"/>
                <w:sz w:val="21"/>
                <w:szCs w:val="21"/>
              </w:rPr>
              <w:t>软包</w:t>
            </w:r>
          </w:p>
        </w:tc>
        <w:tc>
          <w:tcPr>
            <w:tcW w:w="465" w:type="pct"/>
            <w:tcBorders>
              <w:tl2br w:val="nil"/>
              <w:tr2bl w:val="nil"/>
            </w:tcBorders>
            <w:vAlign w:val="center"/>
          </w:tcPr>
          <w:p w14:paraId="50BFE48A">
            <w:pPr>
              <w:spacing w:before="0"/>
              <w:ind w:right="0"/>
              <w:jc w:val="center"/>
              <w:rPr>
                <w:rFonts w:hint="eastAsia" w:ascii="Times New Roman" w:hAnsi="Times New Roman" w:cs="Times New Roman"/>
                <w:w w:val="100"/>
                <w:sz w:val="21"/>
                <w:lang w:val="en-US" w:eastAsia="zh-CN"/>
              </w:rPr>
            </w:pPr>
            <w:r>
              <w:rPr>
                <w:rFonts w:hint="eastAsia" w:ascii="Times New Roman" w:hAnsi="Times New Roman" w:cs="Times New Roman"/>
                <w:w w:val="100"/>
                <w:sz w:val="21"/>
                <w:lang w:val="en-US" w:eastAsia="zh-CN"/>
              </w:rPr>
              <w:t>固态</w:t>
            </w:r>
          </w:p>
        </w:tc>
        <w:tc>
          <w:tcPr>
            <w:tcW w:w="672" w:type="pct"/>
            <w:vMerge w:val="continue"/>
            <w:tcBorders>
              <w:tl2br w:val="nil"/>
              <w:tr2bl w:val="nil"/>
            </w:tcBorders>
            <w:vAlign w:val="center"/>
          </w:tcPr>
          <w:p w14:paraId="47111213">
            <w:pPr>
              <w:pStyle w:val="140"/>
              <w:rPr>
                <w:rFonts w:ascii="Times New Roman" w:hAnsi="Times New Roman" w:cs="Times New Roman"/>
                <w:sz w:val="21"/>
              </w:rPr>
            </w:pPr>
          </w:p>
        </w:tc>
        <w:tc>
          <w:tcPr>
            <w:tcW w:w="900" w:type="pct"/>
            <w:tcBorders>
              <w:top w:val="single" w:color="auto" w:sz="4" w:space="0"/>
              <w:bottom w:val="single" w:color="auto" w:sz="4" w:space="0"/>
              <w:tl2br w:val="nil"/>
              <w:tr2bl w:val="nil"/>
            </w:tcBorders>
            <w:vAlign w:val="center"/>
          </w:tcPr>
          <w:p w14:paraId="269A81A7">
            <w:pPr>
              <w:spacing w:before="0"/>
              <w:ind w:left="0" w:righ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99</w:t>
            </w:r>
          </w:p>
        </w:tc>
        <w:tc>
          <w:tcPr>
            <w:tcW w:w="1316" w:type="dxa"/>
            <w:tcBorders>
              <w:tl2br w:val="nil"/>
              <w:tr2bl w:val="nil"/>
            </w:tcBorders>
            <w:vAlign w:val="center"/>
          </w:tcPr>
          <w:p w14:paraId="4A4A33FC">
            <w:pPr>
              <w:spacing w:before="48" w:beforeLines="20"/>
              <w:contextualSpacing/>
              <w:jc w:val="center"/>
              <w:rPr>
                <w:rFonts w:ascii="Times New Roman" w:hAnsi="Times New Roman" w:eastAsia="Times New Roman" w:cs="Times New Roman"/>
                <w:sz w:val="20"/>
                <w:szCs w:val="20"/>
              </w:rPr>
            </w:pPr>
            <w:r>
              <w:rPr>
                <w:rFonts w:hint="eastAsia" w:eastAsiaTheme="minorEastAsia"/>
                <w:color w:val="000000" w:themeColor="text1"/>
                <w:kern w:val="0"/>
                <w:sz w:val="21"/>
                <w:szCs w:val="21"/>
                <w:lang w:val="en-US" w:eastAsia="zh-CN"/>
                <w14:textFill>
                  <w14:solidFill>
                    <w14:schemeClr w14:val="tx1"/>
                  </w14:solidFill>
                </w14:textFill>
              </w:rPr>
              <w:t>0.3</w:t>
            </w:r>
          </w:p>
        </w:tc>
        <w:tc>
          <w:tcPr>
            <w:tcW w:w="791" w:type="pct"/>
            <w:vMerge w:val="continue"/>
            <w:tcBorders>
              <w:tl2br w:val="nil"/>
              <w:tr2bl w:val="nil"/>
            </w:tcBorders>
            <w:vAlign w:val="center"/>
          </w:tcPr>
          <w:p w14:paraId="34B2E202">
            <w:pPr>
              <w:pStyle w:val="140"/>
              <w:rPr>
                <w:rFonts w:ascii="Times New Roman" w:hAnsi="Times New Roman" w:cs="Times New Roman"/>
                <w:sz w:val="22"/>
              </w:rPr>
            </w:pPr>
          </w:p>
        </w:tc>
      </w:tr>
      <w:tr w14:paraId="57350A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73" w:type="pct"/>
            <w:tcBorders>
              <w:tl2br w:val="nil"/>
              <w:tr2bl w:val="nil"/>
            </w:tcBorders>
            <w:vAlign w:val="center"/>
          </w:tcPr>
          <w:p w14:paraId="5E3ACD9C">
            <w:pPr>
              <w:pStyle w:val="140"/>
              <w:spacing w:before="0"/>
              <w:ind w:left="0" w:leftChars="0"/>
              <w:jc w:val="center"/>
              <w:rPr>
                <w:rFonts w:hint="default" w:ascii="Times New Roman" w:hAnsi="Times New Roman" w:cs="Times New Roman"/>
                <w:w w:val="99"/>
                <w:sz w:val="21"/>
                <w:lang w:val="en-US" w:eastAsia="zh-CN"/>
              </w:rPr>
            </w:pPr>
            <w:r>
              <w:rPr>
                <w:rFonts w:hint="eastAsia" w:ascii="Times New Roman" w:hAnsi="Times New Roman" w:cs="Times New Roman"/>
                <w:w w:val="99"/>
                <w:sz w:val="21"/>
                <w:lang w:val="en-US" w:eastAsia="zh-CN"/>
              </w:rPr>
              <w:t>8</w:t>
            </w:r>
          </w:p>
        </w:tc>
        <w:tc>
          <w:tcPr>
            <w:tcW w:w="648" w:type="pct"/>
            <w:tcBorders>
              <w:tl2br w:val="nil"/>
              <w:tr2bl w:val="nil"/>
            </w:tcBorders>
            <w:vAlign w:val="center"/>
          </w:tcPr>
          <w:p w14:paraId="6438C23E">
            <w:pPr>
              <w:pStyle w:val="140"/>
              <w:jc w:val="center"/>
              <w:rPr>
                <w:spacing w:val="7"/>
                <w:sz w:val="20"/>
                <w:szCs w:val="20"/>
              </w:rPr>
            </w:pPr>
            <w:r>
              <w:rPr>
                <w:rFonts w:hint="eastAsia" w:ascii="宋体" w:cs="Times New Roman"/>
                <w:kern w:val="2"/>
                <w:sz w:val="21"/>
                <w:szCs w:val="24"/>
                <w:lang w:val="en-US" w:eastAsia="zh-CN" w:bidi="zh-CN"/>
              </w:rPr>
              <w:t>生活垃圾</w:t>
            </w:r>
          </w:p>
        </w:tc>
        <w:tc>
          <w:tcPr>
            <w:tcW w:w="465" w:type="pct"/>
            <w:tcBorders>
              <w:tl2br w:val="nil"/>
              <w:tr2bl w:val="nil"/>
            </w:tcBorders>
            <w:vAlign w:val="center"/>
          </w:tcPr>
          <w:p w14:paraId="7717D708">
            <w:pPr>
              <w:jc w:val="center"/>
              <w:rPr>
                <w:rFonts w:hint="eastAsia" w:ascii="Times New Roman" w:hAnsi="Times New Roman" w:cs="Times New Roman"/>
                <w:sz w:val="21"/>
                <w:lang w:val="en-US" w:eastAsia="zh-CN"/>
              </w:rPr>
            </w:pPr>
            <w:r>
              <w:rPr>
                <w:rFonts w:hint="eastAsia" w:cs="Times New Roman"/>
                <w:color w:val="000000" w:themeColor="text1"/>
                <w:kern w:val="2"/>
                <w:sz w:val="21"/>
                <w:szCs w:val="21"/>
                <w:lang w:val="en-US" w:eastAsia="zh-CN" w:bidi="ar-SA"/>
                <w14:textFill>
                  <w14:solidFill>
                    <w14:schemeClr w14:val="tx1"/>
                  </w14:solidFill>
                </w14:textFill>
              </w:rPr>
              <w:t>办公生活</w:t>
            </w:r>
          </w:p>
        </w:tc>
        <w:tc>
          <w:tcPr>
            <w:tcW w:w="465" w:type="pct"/>
            <w:tcBorders>
              <w:tl2br w:val="nil"/>
              <w:tr2bl w:val="nil"/>
            </w:tcBorders>
            <w:vAlign w:val="center"/>
          </w:tcPr>
          <w:p w14:paraId="708B422F">
            <w:pPr>
              <w:spacing w:before="0"/>
              <w:ind w:right="0"/>
              <w:jc w:val="center"/>
              <w:rPr>
                <w:rFonts w:hint="eastAsia" w:ascii="Times New Roman" w:hAnsi="Times New Roman" w:cs="Times New Roman"/>
                <w:w w:val="100"/>
                <w:sz w:val="21"/>
                <w:lang w:val="en-US" w:eastAsia="zh-CN"/>
              </w:rPr>
            </w:pPr>
            <w:r>
              <w:rPr>
                <w:rFonts w:hint="eastAsia" w:ascii="Times New Roman" w:hAnsi="Times New Roman" w:cs="Times New Roman"/>
                <w:w w:val="100"/>
                <w:sz w:val="21"/>
                <w:lang w:val="en-US" w:eastAsia="zh-CN"/>
              </w:rPr>
              <w:t>固态</w:t>
            </w:r>
          </w:p>
        </w:tc>
        <w:tc>
          <w:tcPr>
            <w:tcW w:w="672" w:type="pct"/>
            <w:vMerge w:val="continue"/>
            <w:tcBorders>
              <w:tl2br w:val="nil"/>
              <w:tr2bl w:val="nil"/>
            </w:tcBorders>
            <w:vAlign w:val="center"/>
          </w:tcPr>
          <w:p w14:paraId="2318789D">
            <w:pPr>
              <w:pStyle w:val="140"/>
              <w:rPr>
                <w:rFonts w:ascii="Times New Roman" w:hAnsi="Times New Roman" w:cs="Times New Roman"/>
                <w:sz w:val="21"/>
              </w:rPr>
            </w:pPr>
          </w:p>
        </w:tc>
        <w:tc>
          <w:tcPr>
            <w:tcW w:w="900" w:type="pct"/>
            <w:tcBorders>
              <w:top w:val="single" w:color="auto" w:sz="4" w:space="0"/>
              <w:tl2br w:val="nil"/>
              <w:tr2bl w:val="nil"/>
            </w:tcBorders>
            <w:vAlign w:val="center"/>
          </w:tcPr>
          <w:p w14:paraId="511BD3B9">
            <w:pPr>
              <w:spacing w:before="0"/>
              <w:ind w:left="0" w:righ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99</w:t>
            </w:r>
          </w:p>
        </w:tc>
        <w:tc>
          <w:tcPr>
            <w:tcW w:w="1316" w:type="dxa"/>
            <w:tcBorders>
              <w:tl2br w:val="nil"/>
              <w:tr2bl w:val="nil"/>
            </w:tcBorders>
            <w:vAlign w:val="center"/>
          </w:tcPr>
          <w:p w14:paraId="10F504BF">
            <w:pPr>
              <w:spacing w:before="48" w:beforeLines="20"/>
              <w:contextualSpacing/>
              <w:jc w:val="center"/>
              <w:rPr>
                <w:rFonts w:ascii="Times New Roman" w:hAnsi="Times New Roman" w:eastAsia="Times New Roman" w:cs="Times New Roman"/>
                <w:sz w:val="20"/>
                <w:szCs w:val="20"/>
              </w:rPr>
            </w:pPr>
            <w:r>
              <w:rPr>
                <w:rFonts w:hint="eastAsia" w:eastAsiaTheme="minorEastAsia"/>
                <w:color w:val="000000" w:themeColor="text1"/>
                <w:kern w:val="0"/>
                <w:sz w:val="21"/>
                <w:szCs w:val="21"/>
                <w:lang w:val="en-US" w:eastAsia="zh-CN"/>
                <w14:textFill>
                  <w14:solidFill>
                    <w14:schemeClr w14:val="tx1"/>
                  </w14:solidFill>
                </w14:textFill>
              </w:rPr>
              <w:t>5</w:t>
            </w:r>
          </w:p>
        </w:tc>
        <w:tc>
          <w:tcPr>
            <w:tcW w:w="791" w:type="pct"/>
            <w:vMerge w:val="continue"/>
            <w:tcBorders>
              <w:tl2br w:val="nil"/>
              <w:tr2bl w:val="nil"/>
            </w:tcBorders>
            <w:vAlign w:val="center"/>
          </w:tcPr>
          <w:p w14:paraId="0322408B">
            <w:pPr>
              <w:pStyle w:val="140"/>
              <w:rPr>
                <w:rFonts w:ascii="Times New Roman" w:hAnsi="Times New Roman" w:cs="Times New Roman"/>
                <w:sz w:val="22"/>
              </w:rPr>
            </w:pPr>
          </w:p>
        </w:tc>
      </w:tr>
    </w:tbl>
    <w:p w14:paraId="00DB4BE5">
      <w:pPr>
        <w:pStyle w:val="3"/>
        <w:keepNext/>
        <w:keepLines/>
        <w:pageBreakBefore w:val="0"/>
        <w:widowControl w:val="0"/>
        <w:kinsoku/>
        <w:wordWrap/>
        <w:overflowPunct/>
        <w:topLinePunct w:val="0"/>
        <w:autoSpaceDE/>
        <w:autoSpaceDN/>
        <w:bidi w:val="0"/>
        <w:adjustRightInd/>
        <w:snapToGrid w:val="0"/>
        <w:spacing w:line="500" w:lineRule="exact"/>
        <w:textAlignment w:val="auto"/>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lang w:val="en-US" w:eastAsia="zh-CN"/>
          <w14:textFill>
            <w14:solidFill>
              <w14:schemeClr w14:val="tx1"/>
            </w14:solidFill>
          </w14:textFill>
        </w:rPr>
        <w:t>6</w:t>
      </w:r>
      <w:r>
        <w:rPr>
          <w:rFonts w:eastAsiaTheme="minorEastAsia"/>
          <w:color w:val="000000" w:themeColor="text1"/>
          <w:sz w:val="24"/>
          <w:szCs w:val="24"/>
          <w14:textFill>
            <w14:solidFill>
              <w14:schemeClr w14:val="tx1"/>
            </w14:solidFill>
          </w14:textFill>
        </w:rPr>
        <w:t>重大环境风险事故发生情况</w:t>
      </w:r>
      <w:bookmarkEnd w:id="105"/>
      <w:bookmarkEnd w:id="106"/>
      <w:bookmarkEnd w:id="107"/>
      <w:bookmarkEnd w:id="108"/>
    </w:p>
    <w:p w14:paraId="16261AD1">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公司成立至今未发生</w:t>
      </w:r>
      <w:r>
        <w:rPr>
          <w:rFonts w:hint="eastAsia" w:eastAsiaTheme="minorEastAsia"/>
          <w:color w:val="000000" w:themeColor="text1"/>
          <w:sz w:val="24"/>
          <w:szCs w:val="24"/>
          <w:lang w:val="en-US" w:eastAsia="zh-CN"/>
          <w14:textFill>
            <w14:solidFill>
              <w14:schemeClr w14:val="tx1"/>
            </w14:solidFill>
          </w14:textFill>
        </w:rPr>
        <w:t>过</w:t>
      </w:r>
      <w:r>
        <w:rPr>
          <w:rFonts w:eastAsiaTheme="minorEastAsia"/>
          <w:color w:val="000000" w:themeColor="text1"/>
          <w:sz w:val="24"/>
          <w:szCs w:val="24"/>
          <w14:textFill>
            <w14:solidFill>
              <w14:schemeClr w14:val="tx1"/>
            </w14:solidFill>
          </w14:textFill>
        </w:rPr>
        <w:t>重大环境风险事故。</w:t>
      </w:r>
    </w:p>
    <w:p w14:paraId="09D5532D">
      <w:pPr>
        <w:pStyle w:val="3"/>
        <w:keepNext/>
        <w:keepLines/>
        <w:pageBreakBefore w:val="0"/>
        <w:widowControl w:val="0"/>
        <w:kinsoku/>
        <w:wordWrap/>
        <w:overflowPunct/>
        <w:topLinePunct w:val="0"/>
        <w:autoSpaceDE/>
        <w:autoSpaceDN/>
        <w:bidi w:val="0"/>
        <w:adjustRightInd/>
        <w:snapToGrid w:val="0"/>
        <w:spacing w:line="500" w:lineRule="exact"/>
        <w:textAlignment w:val="auto"/>
        <w:rPr>
          <w:rFonts w:ascii="Times New Roman" w:hAnsi="Times New Roman" w:cs="Times New Roman" w:eastAsiaTheme="minorEastAsia"/>
          <w:color w:val="000000" w:themeColor="text1"/>
          <w:sz w:val="24"/>
          <w:szCs w:val="24"/>
          <w14:textFill>
            <w14:solidFill>
              <w14:schemeClr w14:val="tx1"/>
            </w14:solidFill>
          </w14:textFill>
        </w:rPr>
      </w:pPr>
      <w:bookmarkStart w:id="109" w:name="_Toc25591"/>
      <w:bookmarkStart w:id="110" w:name="_Toc10457"/>
      <w:bookmarkStart w:id="111" w:name="_Toc456642258"/>
      <w:bookmarkStart w:id="112" w:name="_Toc17748"/>
      <w:bookmarkStart w:id="113" w:name="_Toc19769"/>
      <w:bookmarkStart w:id="114" w:name="_Toc31165"/>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7</w:t>
      </w:r>
      <w:r>
        <w:rPr>
          <w:rFonts w:hint="eastAsia" w:ascii="Times New Roman" w:hAnsi="Times New Roman" w:cs="Times New Roman" w:eastAsiaTheme="minorEastAsia"/>
          <w:color w:val="000000" w:themeColor="text1"/>
          <w:sz w:val="24"/>
          <w:szCs w:val="24"/>
          <w14:textFill>
            <w14:solidFill>
              <w14:schemeClr w14:val="tx1"/>
            </w14:solidFill>
          </w14:textFill>
        </w:rPr>
        <w:t>安全生产管理</w:t>
      </w:r>
      <w:bookmarkEnd w:id="109"/>
      <w:bookmarkEnd w:id="110"/>
      <w:bookmarkEnd w:id="111"/>
      <w:bookmarkEnd w:id="112"/>
      <w:bookmarkEnd w:id="113"/>
      <w:bookmarkEnd w:id="114"/>
    </w:p>
    <w:p w14:paraId="4FA2F5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14:paraId="42F059EE">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19</w:t>
      </w:r>
      <w:r>
        <w:rPr>
          <w:rFonts w:hint="default" w:ascii="Times New Roman" w:hAnsi="Times New Roman" w:eastAsia="宋体" w:cs="Times New Roman"/>
          <w:b/>
          <w:bCs/>
        </w:rPr>
        <w:t>企业安全生产管理</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5955"/>
        <w:gridCol w:w="1231"/>
      </w:tblGrid>
      <w:tr w14:paraId="3216C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tcBorders>
              <w:tl2br w:val="nil"/>
              <w:tr2bl w:val="nil"/>
            </w:tcBorders>
            <w:vAlign w:val="center"/>
          </w:tcPr>
          <w:p w14:paraId="3272D1A5">
            <w:pPr>
              <w:adjustRightInd w:val="0"/>
              <w:jc w:val="center"/>
              <w:rPr>
                <w:rFonts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14:paraId="43CD1C8B">
            <w:pPr>
              <w:adjustRightInd w:val="0"/>
              <w:jc w:val="center"/>
              <w:rPr>
                <w:rFonts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14:paraId="428D87BB">
            <w:pPr>
              <w:adjustRightInd w:val="0"/>
              <w:jc w:val="center"/>
              <w:rPr>
                <w:rFonts w:ascii="宋体" w:hAnsi="宋体" w:eastAsia="宋体" w:cs="宋体"/>
                <w:b/>
                <w:bCs/>
                <w:sz w:val="21"/>
                <w:szCs w:val="21"/>
              </w:rPr>
            </w:pPr>
            <w:r>
              <w:rPr>
                <w:rFonts w:hint="eastAsia" w:ascii="宋体" w:hAnsi="宋体" w:eastAsia="宋体" w:cs="宋体"/>
                <w:b/>
                <w:bCs/>
                <w:sz w:val="21"/>
                <w:szCs w:val="21"/>
              </w:rPr>
              <w:t>企业情况</w:t>
            </w:r>
          </w:p>
        </w:tc>
      </w:tr>
      <w:tr w14:paraId="2B297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5F55DFFB">
            <w:pPr>
              <w:adjustRightInd w:val="0"/>
              <w:jc w:val="center"/>
              <w:rPr>
                <w:rFonts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14:paraId="3BFAAF8C">
            <w:pPr>
              <w:adjustRightInd w:val="0"/>
              <w:jc w:val="center"/>
              <w:rPr>
                <w:rFonts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14:paraId="59ED6C91">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7B0EC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4A580592">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66C2C7AD">
            <w:pPr>
              <w:adjustRightInd w:val="0"/>
              <w:jc w:val="center"/>
              <w:rPr>
                <w:rFonts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14:paraId="3B2F66B4">
            <w:pPr>
              <w:adjustRightInd w:val="0"/>
              <w:jc w:val="center"/>
              <w:rPr>
                <w:rFonts w:ascii="宋体" w:hAnsi="宋体" w:eastAsia="宋体" w:cs="宋体"/>
                <w:sz w:val="21"/>
                <w:szCs w:val="21"/>
              </w:rPr>
            </w:pPr>
          </w:p>
        </w:tc>
      </w:tr>
      <w:tr w14:paraId="7D1FB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7CFACDA1">
            <w:pPr>
              <w:adjustRightInd w:val="0"/>
              <w:jc w:val="center"/>
              <w:rPr>
                <w:rFonts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14:paraId="7FDCB7AA">
            <w:pPr>
              <w:adjustRightInd w:val="0"/>
              <w:jc w:val="center"/>
              <w:rPr>
                <w:rFonts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14:paraId="7E8ED284">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0E4606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393FE35A">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1B83E37B">
            <w:pPr>
              <w:adjustRightInd w:val="0"/>
              <w:jc w:val="center"/>
              <w:rPr>
                <w:rFonts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14:paraId="71BD000E">
            <w:pPr>
              <w:adjustRightInd w:val="0"/>
              <w:jc w:val="center"/>
              <w:rPr>
                <w:rFonts w:ascii="宋体" w:hAnsi="宋体" w:eastAsia="宋体" w:cs="宋体"/>
                <w:sz w:val="21"/>
                <w:szCs w:val="21"/>
              </w:rPr>
            </w:pPr>
          </w:p>
        </w:tc>
      </w:tr>
      <w:tr w14:paraId="38520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3F4D20FD">
            <w:pPr>
              <w:adjustRightInd w:val="0"/>
              <w:jc w:val="center"/>
              <w:rPr>
                <w:rFonts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14:paraId="77973212">
            <w:pPr>
              <w:adjustRightInd w:val="0"/>
              <w:jc w:val="center"/>
              <w:rPr>
                <w:rFonts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14:paraId="75D4EBCB">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69CE1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041BC8FC">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3601CDCD">
            <w:pPr>
              <w:adjustRightInd w:val="0"/>
              <w:jc w:val="center"/>
              <w:rPr>
                <w:rFonts w:ascii="宋体" w:hAnsi="宋体" w:eastAsia="宋体" w:cs="宋体"/>
                <w:sz w:val="21"/>
                <w:szCs w:val="21"/>
              </w:rPr>
            </w:pPr>
            <w:r>
              <w:rPr>
                <w:rFonts w:hint="eastAsia" w:ascii="宋体" w:hAnsi="宋体" w:eastAsia="宋体" w:cs="宋体"/>
                <w:sz w:val="21"/>
                <w:szCs w:val="21"/>
              </w:rPr>
              <w:t>未</w:t>
            </w:r>
            <w:r>
              <w:rPr>
                <w:rFonts w:hint="eastAsia" w:ascii="宋体" w:hAnsi="宋体" w:eastAsia="宋体" w:cs="宋体"/>
                <w:sz w:val="21"/>
                <w:szCs w:val="21"/>
                <w:lang w:eastAsia="zh-CN"/>
              </w:rPr>
              <w:t>开展</w:t>
            </w:r>
            <w:r>
              <w:rPr>
                <w:rFonts w:hint="eastAsia" w:ascii="宋体" w:hAnsi="宋体" w:eastAsia="宋体" w:cs="宋体"/>
                <w:sz w:val="21"/>
                <w:szCs w:val="21"/>
              </w:rPr>
              <w:t>化学物质安全评价，或未通过安全设施竣工验收</w:t>
            </w:r>
          </w:p>
        </w:tc>
        <w:tc>
          <w:tcPr>
            <w:tcW w:w="656" w:type="pct"/>
            <w:tcBorders>
              <w:tl2br w:val="nil"/>
              <w:tr2bl w:val="nil"/>
            </w:tcBorders>
            <w:vAlign w:val="center"/>
          </w:tcPr>
          <w:p w14:paraId="120390CA">
            <w:pPr>
              <w:adjustRightInd w:val="0"/>
              <w:jc w:val="center"/>
              <w:rPr>
                <w:rFonts w:ascii="宋体" w:hAnsi="宋体" w:eastAsia="宋体" w:cs="宋体"/>
                <w:sz w:val="21"/>
                <w:szCs w:val="21"/>
              </w:rPr>
            </w:pPr>
          </w:p>
        </w:tc>
      </w:tr>
      <w:tr w14:paraId="32C319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64C6AECC">
            <w:pPr>
              <w:adjustRightInd w:val="0"/>
              <w:jc w:val="center"/>
              <w:rPr>
                <w:rFonts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14:paraId="01A12458">
            <w:pPr>
              <w:adjustRightInd w:val="0"/>
              <w:jc w:val="center"/>
              <w:rPr>
                <w:rFonts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14:paraId="5282332C">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5B685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63D3126B">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3136D837">
            <w:pPr>
              <w:adjustRightInd w:val="0"/>
              <w:jc w:val="center"/>
              <w:rPr>
                <w:rFonts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14:paraId="1E107919">
            <w:pPr>
              <w:jc w:val="center"/>
              <w:rPr>
                <w:rFonts w:ascii="宋体" w:hAnsi="宋体" w:eastAsia="宋体" w:cs="宋体"/>
                <w:sz w:val="21"/>
                <w:szCs w:val="21"/>
              </w:rPr>
            </w:pPr>
          </w:p>
        </w:tc>
      </w:tr>
    </w:tbl>
    <w:p w14:paraId="55E282D7">
      <w:pPr>
        <w:pStyle w:val="3"/>
        <w:keepNext/>
        <w:keepLines/>
        <w:pageBreakBefore w:val="0"/>
        <w:widowControl w:val="0"/>
        <w:kinsoku/>
        <w:wordWrap/>
        <w:overflowPunct/>
        <w:topLinePunct w:val="0"/>
        <w:autoSpaceDE/>
        <w:autoSpaceDN/>
        <w:bidi w:val="0"/>
        <w:adjustRightInd/>
        <w:snapToGrid w:val="0"/>
        <w:spacing w:line="500" w:lineRule="exact"/>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bookmarkStart w:id="115" w:name="_Toc32103"/>
      <w:bookmarkStart w:id="116" w:name="_Toc21635"/>
      <w:bookmarkStart w:id="117" w:name="_Toc23508"/>
      <w:bookmarkStart w:id="118" w:name="_Toc31931"/>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8</w:t>
      </w:r>
      <w:r>
        <w:rPr>
          <w:rFonts w:hint="eastAsia" w:ascii="Times New Roman" w:hAnsi="Times New Roman" w:cs="Times New Roman" w:eastAsiaTheme="minorEastAsia"/>
          <w:color w:val="000000" w:themeColor="text1"/>
          <w:sz w:val="24"/>
          <w:szCs w:val="24"/>
          <w14:textFill>
            <w14:solidFill>
              <w14:schemeClr w14:val="tx1"/>
            </w14:solidFill>
          </w14:textFill>
        </w:rPr>
        <w:t>现有环境风险防控与应急措施情况</w:t>
      </w:r>
      <w:bookmarkEnd w:id="115"/>
      <w:bookmarkEnd w:id="116"/>
      <w:bookmarkEnd w:id="117"/>
      <w:bookmarkEnd w:id="118"/>
    </w:p>
    <w:p w14:paraId="601BF675">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lang w:val="en-US" w:eastAsia="zh-CN"/>
        </w:rPr>
      </w:pPr>
      <w:bookmarkStart w:id="119" w:name="_Toc15542"/>
      <w:bookmarkStart w:id="120" w:name="_Toc21216"/>
      <w:r>
        <w:rPr>
          <w:rFonts w:hint="default" w:ascii="Times New Roman" w:hAnsi="Times New Roman" w:eastAsia="宋体" w:cs="Times New Roman"/>
          <w:szCs w:val="24"/>
        </w:rPr>
        <w:t>3.</w:t>
      </w:r>
      <w:r>
        <w:rPr>
          <w:rFonts w:hint="eastAsia" w:eastAsia="宋体" w:cs="Times New Roman"/>
          <w:szCs w:val="24"/>
          <w:lang w:val="en-US" w:eastAsia="zh-CN"/>
        </w:rPr>
        <w:t>8</w:t>
      </w:r>
      <w:r>
        <w:rPr>
          <w:rFonts w:hint="default" w:ascii="Times New Roman" w:hAnsi="Times New Roman" w:eastAsia="宋体" w:cs="Times New Roman"/>
          <w:szCs w:val="24"/>
        </w:rPr>
        <w:t>.</w:t>
      </w:r>
      <w:r>
        <w:rPr>
          <w:rFonts w:hint="eastAsia" w:eastAsia="宋体" w:cs="Times New Roman"/>
          <w:szCs w:val="24"/>
          <w:lang w:val="en-US" w:eastAsia="zh-CN"/>
        </w:rPr>
        <w:t>1现有环境风险防控措施情况</w:t>
      </w:r>
      <w:bookmarkEnd w:id="119"/>
      <w:bookmarkEnd w:id="120"/>
    </w:p>
    <w:p w14:paraId="18C10B8B">
      <w:pPr>
        <w:spacing w:before="0" w:line="500" w:lineRule="exact"/>
        <w:ind w:left="0" w:right="0" w:firstLine="480" w:firstLineChars="200"/>
        <w:jc w:val="both"/>
        <w:rPr>
          <w:sz w:val="21"/>
        </w:rPr>
      </w:pPr>
      <w:bookmarkStart w:id="121" w:name="_Toc412725538"/>
      <w:bookmarkStart w:id="122" w:name="_Toc18304"/>
      <w:bookmarkStart w:id="123" w:name="_Toc446074790"/>
      <w:r>
        <w:rPr>
          <w:rFonts w:hint="eastAsia" w:ascii="宋体" w:hAnsi="宋体" w:eastAsia="宋体" w:cs="宋体"/>
        </w:rPr>
        <w:t>根据企业提供的资料和现场踏勘情况，并对照企业提供的其他资料，厂区涉及环境风险物质的环境风险单元及其环境风险防控措施的实施和日常管理情况</w:t>
      </w:r>
      <w:r>
        <w:rPr>
          <w:rFonts w:hint="eastAsia" w:ascii="宋体" w:hAnsi="宋体" w:eastAsia="宋体" w:cs="宋体"/>
          <w:lang w:val="en-US" w:eastAsia="zh-CN"/>
        </w:rPr>
        <w:t>见</w:t>
      </w:r>
      <w:r>
        <w:rPr>
          <w:rFonts w:hint="eastAsia" w:ascii="宋体" w:hAnsi="宋体" w:eastAsia="宋体" w:cs="宋体"/>
        </w:rPr>
        <w:t>下表。</w:t>
      </w:r>
      <w:r>
        <w:rPr>
          <w:rFonts w:hint="default"/>
          <w:lang w:val="en-US"/>
        </w:rPr>
        <mc:AlternateContent>
          <mc:Choice Requires="wps">
            <w:drawing>
              <wp:anchor distT="0" distB="0" distL="114300" distR="114300" simplePos="0" relativeHeight="251660288" behindDoc="0" locked="0" layoutInCell="1" allowOverlap="1">
                <wp:simplePos x="0" y="0"/>
                <wp:positionH relativeFrom="page">
                  <wp:posOffset>720090</wp:posOffset>
                </wp:positionH>
                <wp:positionV relativeFrom="page">
                  <wp:posOffset>730250</wp:posOffset>
                </wp:positionV>
                <wp:extent cx="907224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907224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7pt;margin-top:57.5pt;height:0pt;width:714.35pt;mso-position-horizontal-relative:page;mso-position-vertical-relative:page;z-index:251660288;mso-width-relative:page;mso-height-relative:page;" filled="f" stroked="t" coordsize="21600,21600" o:gfxdata="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E5ZcjWAAAADAEAAA8AAAAAAAAAAQAgAAAAIgAAAGRycy9kb3ducmV2LnhtbFBLAQIU&#10;ABQAAAAIAIdO4kD4osxK9QEAAOQDAAAOAAAAAAAAAAEAIAAAACUBAABkcnMvZTJvRG9jLnhtbFBL&#10;BQYAAAAABgAGAFkBAACMBQAAAAA=&#10;">
                <v:fill on="f" focussize="0,0"/>
                <v:stroke weight="0.72pt" color="#000000" joinstyle="round"/>
                <v:imagedata o:title=""/>
                <o:lock v:ext="edit" aspectratio="f"/>
              </v:line>
            </w:pict>
          </mc:Fallback>
        </mc:AlternateContent>
      </w:r>
    </w:p>
    <w:p w14:paraId="49518784">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20</w:t>
      </w:r>
      <w:r>
        <w:rPr>
          <w:rFonts w:hint="default" w:ascii="Times New Roman" w:hAnsi="Times New Roman" w:eastAsia="宋体" w:cs="Times New Roman"/>
          <w:b/>
          <w:bCs/>
        </w:rPr>
        <w:t>企业现有环境风险单元及防控措施一览表</w:t>
      </w:r>
    </w:p>
    <w:tbl>
      <w:tblPr>
        <w:tblStyle w:val="3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Layout w:type="autofit"/>
        <w:tblCellMar>
          <w:top w:w="0" w:type="dxa"/>
          <w:left w:w="0" w:type="dxa"/>
          <w:bottom w:w="0" w:type="dxa"/>
          <w:right w:w="0" w:type="dxa"/>
        </w:tblCellMar>
      </w:tblPr>
      <w:tblGrid>
        <w:gridCol w:w="499"/>
        <w:gridCol w:w="758"/>
        <w:gridCol w:w="1423"/>
        <w:gridCol w:w="1506"/>
        <w:gridCol w:w="2505"/>
        <w:gridCol w:w="2505"/>
      </w:tblGrid>
      <w:tr w14:paraId="1019FE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454" w:hRule="atLeast"/>
        </w:trPr>
        <w:tc>
          <w:tcPr>
            <w:tcW w:w="271" w:type="pct"/>
            <w:tcBorders>
              <w:tl2br w:val="nil"/>
              <w:tr2bl w:val="nil"/>
            </w:tcBorders>
            <w:vAlign w:val="center"/>
          </w:tcPr>
          <w:p w14:paraId="74B08DBD">
            <w:pPr>
              <w:pStyle w:val="140"/>
              <w:spacing w:before="0"/>
              <w:ind w:left="0"/>
              <w:jc w:val="center"/>
              <w:rPr>
                <w:b/>
                <w:sz w:val="21"/>
              </w:rPr>
            </w:pPr>
            <w:r>
              <w:rPr>
                <w:b/>
                <w:sz w:val="21"/>
              </w:rPr>
              <w:t>类别</w:t>
            </w:r>
          </w:p>
        </w:tc>
        <w:tc>
          <w:tcPr>
            <w:tcW w:w="412" w:type="pct"/>
            <w:tcBorders>
              <w:tl2br w:val="nil"/>
              <w:tr2bl w:val="nil"/>
            </w:tcBorders>
            <w:vAlign w:val="center"/>
          </w:tcPr>
          <w:p w14:paraId="59BC723D">
            <w:pPr>
              <w:pStyle w:val="140"/>
              <w:spacing w:before="0"/>
              <w:ind w:left="0" w:right="0"/>
              <w:rPr>
                <w:rFonts w:hint="default" w:eastAsia="宋体"/>
                <w:b/>
                <w:sz w:val="21"/>
                <w:lang w:val="en-US" w:eastAsia="zh-CN"/>
              </w:rPr>
            </w:pPr>
            <w:r>
              <w:rPr>
                <w:rFonts w:hint="eastAsia"/>
                <w:b/>
                <w:sz w:val="21"/>
                <w:lang w:val="en-US" w:eastAsia="zh-CN"/>
              </w:rPr>
              <w:t>环境风险单元</w:t>
            </w:r>
          </w:p>
        </w:tc>
        <w:tc>
          <w:tcPr>
            <w:tcW w:w="773" w:type="pct"/>
            <w:tcBorders>
              <w:tl2br w:val="nil"/>
              <w:tr2bl w:val="nil"/>
            </w:tcBorders>
            <w:vAlign w:val="center"/>
          </w:tcPr>
          <w:p w14:paraId="0A2EE15B">
            <w:pPr>
              <w:pStyle w:val="140"/>
              <w:spacing w:before="0"/>
              <w:ind w:left="0" w:right="0"/>
              <w:rPr>
                <w:rFonts w:hint="default" w:eastAsia="宋体"/>
                <w:b/>
                <w:sz w:val="21"/>
                <w:lang w:val="en-US" w:eastAsia="zh-CN"/>
              </w:rPr>
            </w:pPr>
            <w:r>
              <w:rPr>
                <w:rFonts w:hint="eastAsia"/>
                <w:b/>
                <w:sz w:val="21"/>
                <w:lang w:val="en-US" w:eastAsia="zh-CN"/>
              </w:rPr>
              <w:t>典型事件情景</w:t>
            </w:r>
          </w:p>
        </w:tc>
        <w:tc>
          <w:tcPr>
            <w:tcW w:w="818" w:type="pct"/>
            <w:tcBorders>
              <w:tl2br w:val="nil"/>
              <w:tr2bl w:val="nil"/>
            </w:tcBorders>
            <w:vAlign w:val="center"/>
          </w:tcPr>
          <w:p w14:paraId="5C9F7DBC">
            <w:pPr>
              <w:pStyle w:val="140"/>
              <w:spacing w:before="0"/>
              <w:ind w:left="0"/>
              <w:jc w:val="center"/>
              <w:rPr>
                <w:rFonts w:hint="eastAsia" w:eastAsia="宋体"/>
                <w:b/>
                <w:sz w:val="21"/>
                <w:lang w:val="en-US" w:eastAsia="zh-CN"/>
              </w:rPr>
            </w:pPr>
            <w:r>
              <w:rPr>
                <w:rFonts w:hint="eastAsia"/>
                <w:b/>
                <w:sz w:val="21"/>
                <w:lang w:val="en-US" w:eastAsia="zh-CN"/>
              </w:rPr>
              <w:t>环境</w:t>
            </w:r>
            <w:r>
              <w:rPr>
                <w:b/>
                <w:sz w:val="21"/>
              </w:rPr>
              <w:t>风险防控</w:t>
            </w:r>
            <w:r>
              <w:rPr>
                <w:rFonts w:hint="eastAsia"/>
                <w:b/>
                <w:sz w:val="21"/>
                <w:lang w:val="en-US" w:eastAsia="zh-CN"/>
              </w:rPr>
              <w:t>措施</w:t>
            </w:r>
          </w:p>
        </w:tc>
        <w:tc>
          <w:tcPr>
            <w:tcW w:w="1361" w:type="pct"/>
            <w:tcBorders>
              <w:tl2br w:val="nil"/>
              <w:tr2bl w:val="nil"/>
            </w:tcBorders>
            <w:vAlign w:val="center"/>
          </w:tcPr>
          <w:p w14:paraId="53E31ECC">
            <w:pPr>
              <w:pStyle w:val="140"/>
              <w:spacing w:before="0"/>
              <w:ind w:left="0" w:right="0"/>
              <w:rPr>
                <w:b/>
                <w:sz w:val="21"/>
              </w:rPr>
            </w:pPr>
            <w:r>
              <w:rPr>
                <w:b/>
                <w:sz w:val="21"/>
              </w:rPr>
              <w:t>应急处置措施</w:t>
            </w:r>
          </w:p>
        </w:tc>
        <w:tc>
          <w:tcPr>
            <w:tcW w:w="1361" w:type="pct"/>
            <w:tcBorders>
              <w:tl2br w:val="nil"/>
              <w:tr2bl w:val="nil"/>
            </w:tcBorders>
            <w:vAlign w:val="center"/>
          </w:tcPr>
          <w:p w14:paraId="002077E7">
            <w:pPr>
              <w:pStyle w:val="140"/>
              <w:spacing w:before="0"/>
              <w:ind w:left="0" w:right="0"/>
              <w:rPr>
                <w:rFonts w:hint="eastAsia" w:eastAsia="宋体"/>
                <w:b/>
                <w:sz w:val="21"/>
                <w:lang w:val="en-US" w:eastAsia="zh-CN"/>
              </w:rPr>
            </w:pPr>
            <w:r>
              <w:rPr>
                <w:rFonts w:hint="eastAsia"/>
                <w:b/>
                <w:sz w:val="21"/>
                <w:lang w:val="en-US" w:eastAsia="zh-CN"/>
              </w:rPr>
              <w:t>应急资源</w:t>
            </w:r>
          </w:p>
        </w:tc>
      </w:tr>
      <w:tr w14:paraId="034C83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625" w:hRule="atLeast"/>
        </w:trPr>
        <w:tc>
          <w:tcPr>
            <w:tcW w:w="271" w:type="pct"/>
            <w:tcBorders>
              <w:tl2br w:val="nil"/>
              <w:tr2bl w:val="nil"/>
            </w:tcBorders>
            <w:vAlign w:val="center"/>
          </w:tcPr>
          <w:p w14:paraId="4FFDA0AC">
            <w:pPr>
              <w:pStyle w:val="140"/>
              <w:spacing w:line="240" w:lineRule="auto"/>
              <w:ind w:left="0" w:right="0"/>
              <w:jc w:val="center"/>
              <w:rPr>
                <w:sz w:val="21"/>
              </w:rPr>
            </w:pPr>
            <w:r>
              <w:rPr>
                <w:sz w:val="21"/>
              </w:rPr>
              <w:t>辅助工程</w:t>
            </w:r>
          </w:p>
        </w:tc>
        <w:tc>
          <w:tcPr>
            <w:tcW w:w="412" w:type="pct"/>
            <w:tcBorders>
              <w:tl2br w:val="nil"/>
              <w:tr2bl w:val="nil"/>
            </w:tcBorders>
            <w:vAlign w:val="center"/>
          </w:tcPr>
          <w:p w14:paraId="7617681F">
            <w:pPr>
              <w:pStyle w:val="140"/>
              <w:spacing w:before="0"/>
              <w:ind w:left="0" w:right="0"/>
              <w:rPr>
                <w:rFonts w:hint="default" w:eastAsia="宋体"/>
                <w:sz w:val="21"/>
                <w:lang w:val="en-US" w:eastAsia="zh-CN"/>
              </w:rPr>
            </w:pPr>
            <w:r>
              <w:rPr>
                <w:rFonts w:hint="eastAsia"/>
                <w:sz w:val="21"/>
                <w:lang w:val="en-US" w:eastAsia="zh-CN"/>
              </w:rPr>
              <w:t>水性漆仓库、原料</w:t>
            </w:r>
            <w:r>
              <w:rPr>
                <w:sz w:val="21"/>
              </w:rPr>
              <w:t>仓库</w:t>
            </w:r>
          </w:p>
        </w:tc>
        <w:tc>
          <w:tcPr>
            <w:tcW w:w="773" w:type="pct"/>
            <w:tcBorders>
              <w:tl2br w:val="nil"/>
              <w:tr2bl w:val="nil"/>
            </w:tcBorders>
            <w:vAlign w:val="center"/>
          </w:tcPr>
          <w:p w14:paraId="1053C181">
            <w:pPr>
              <w:pStyle w:val="140"/>
              <w:spacing w:line="240" w:lineRule="auto"/>
              <w:ind w:left="0" w:right="0" w:firstLine="0"/>
              <w:rPr>
                <w:sz w:val="21"/>
              </w:rPr>
            </w:pPr>
            <w:r>
              <w:rPr>
                <w:sz w:val="21"/>
              </w:rPr>
              <w:t>遇高温或明火引发火</w:t>
            </w:r>
            <w:r>
              <w:rPr>
                <w:spacing w:val="0"/>
                <w:w w:val="100"/>
                <w:sz w:val="21"/>
              </w:rPr>
              <w:t>灾、爆炸事故；污染下风向大气环境；泄漏物料进入外环境，污染地</w:t>
            </w:r>
            <w:r>
              <w:rPr>
                <w:sz w:val="21"/>
              </w:rPr>
              <w:t>表水和土壤</w:t>
            </w:r>
          </w:p>
        </w:tc>
        <w:tc>
          <w:tcPr>
            <w:tcW w:w="818" w:type="pct"/>
            <w:tcBorders>
              <w:tl2br w:val="nil"/>
              <w:tr2bl w:val="nil"/>
            </w:tcBorders>
            <w:vAlign w:val="center"/>
          </w:tcPr>
          <w:p w14:paraId="69CE04A9">
            <w:pPr>
              <w:pStyle w:val="140"/>
              <w:spacing w:line="240" w:lineRule="auto"/>
              <w:ind w:left="0" w:right="0"/>
              <w:jc w:val="center"/>
              <w:rPr>
                <w:rFonts w:hint="eastAsia" w:eastAsia="宋体"/>
                <w:sz w:val="21"/>
                <w:lang w:eastAsia="zh-CN"/>
              </w:rPr>
            </w:pPr>
            <w:r>
              <w:rPr>
                <w:sz w:val="21"/>
              </w:rPr>
              <w:t>摄像头、人工巡视点检；</w:t>
            </w:r>
          </w:p>
          <w:p w14:paraId="5577C9CA">
            <w:pPr>
              <w:pStyle w:val="140"/>
              <w:spacing w:line="240" w:lineRule="auto"/>
              <w:ind w:left="0" w:right="0"/>
              <w:jc w:val="center"/>
              <w:rPr>
                <w:rFonts w:hint="eastAsia" w:eastAsia="宋体"/>
                <w:sz w:val="21"/>
                <w:lang w:eastAsia="zh-CN"/>
              </w:rPr>
            </w:pPr>
            <w:r>
              <w:rPr>
                <w:sz w:val="21"/>
              </w:rPr>
              <w:t>地面防腐防渗，设有</w:t>
            </w:r>
            <w:r>
              <w:rPr>
                <w:rFonts w:hint="eastAsia"/>
                <w:sz w:val="21"/>
                <w:lang w:val="en-US" w:eastAsia="zh-CN"/>
              </w:rPr>
              <w:t>导流沟</w:t>
            </w:r>
          </w:p>
        </w:tc>
        <w:tc>
          <w:tcPr>
            <w:tcW w:w="1361" w:type="pct"/>
            <w:tcBorders>
              <w:tl2br w:val="nil"/>
              <w:tr2bl w:val="nil"/>
            </w:tcBorders>
            <w:vAlign w:val="center"/>
          </w:tcPr>
          <w:p w14:paraId="299A5F4B">
            <w:pPr>
              <w:jc w:val="center"/>
              <w:rPr>
                <w:sz w:val="2"/>
                <w:szCs w:val="2"/>
              </w:rPr>
            </w:pPr>
            <w:r>
              <w:rPr>
                <w:rFonts w:hint="eastAsia" w:ascii="宋体" w:hAnsi="宋体" w:eastAsia="宋体" w:cs="宋体"/>
                <w:sz w:val="21"/>
                <w:szCs w:val="21"/>
                <w:lang w:val="en-US" w:eastAsia="zh-CN"/>
              </w:rPr>
              <w:t>泄漏：</w:t>
            </w:r>
            <w:r>
              <w:rPr>
                <w:rFonts w:hint="default"/>
                <w:sz w:val="21"/>
              </w:rPr>
              <w:t>①</w:t>
            </w:r>
            <w:r>
              <w:rPr>
                <w:rFonts w:hint="eastAsia" w:ascii="宋体" w:hAnsi="宋体" w:eastAsia="宋体" w:cs="宋体"/>
                <w:sz w:val="21"/>
                <w:szCs w:val="21"/>
                <w:lang w:val="en-US" w:eastAsia="zh-CN"/>
              </w:rPr>
              <w:t>开展堵漏等应急处置工作；②泄漏物料及冲洗水等事故废水收集至事故池，处理达标后用槽车运送至海安惠泽净水有限公司。火灾：①应急指挥部通知各应急小组做好应急设施、物资准备、个人防护措施等应急准备工作，立即前往事故现场，联系应急监测单位对事发地及厂界等点位进行监测，关注大气污染物浓度，如超出厂界，及时通报周边企业和居民，③关闭企业雨水排口，将事故废水收集事故应急池，处理达标后用槽车运送至海安惠泽净水有限公司，</w:t>
            </w:r>
          </w:p>
        </w:tc>
        <w:tc>
          <w:tcPr>
            <w:tcW w:w="1361" w:type="pct"/>
            <w:tcBorders>
              <w:tl2br w:val="nil"/>
              <w:tr2bl w:val="nil"/>
            </w:tcBorders>
            <w:vAlign w:val="center"/>
          </w:tcPr>
          <w:p w14:paraId="6A1A7B54">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灭火器、黄沙袋、消防员战斗服、消防</w:t>
            </w:r>
            <w:r>
              <w:rPr>
                <w:rFonts w:hint="default" w:ascii="宋体" w:hAnsi="宋体" w:eastAsia="宋体" w:cs="宋体"/>
                <w:sz w:val="21"/>
                <w:szCs w:val="21"/>
                <w:lang w:val="en-US" w:eastAsia="zh-CN"/>
              </w:rPr>
              <w:t>手枪、消防沙箱</w:t>
            </w:r>
          </w:p>
          <w:p w14:paraId="1FE1A10F">
            <w:pPr>
              <w:jc w:val="center"/>
              <w:rPr>
                <w:rFonts w:hint="default" w:ascii="宋体" w:hAnsi="宋体" w:eastAsia="宋体" w:cs="宋体"/>
                <w:sz w:val="21"/>
                <w:szCs w:val="21"/>
                <w:lang w:val="en-US" w:eastAsia="zh-CN"/>
              </w:rPr>
            </w:pPr>
          </w:p>
        </w:tc>
      </w:tr>
      <w:tr w14:paraId="73576C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012" w:hRule="atLeast"/>
        </w:trPr>
        <w:tc>
          <w:tcPr>
            <w:tcW w:w="271" w:type="pct"/>
            <w:vMerge w:val="restart"/>
            <w:tcBorders>
              <w:tl2br w:val="nil"/>
              <w:tr2bl w:val="nil"/>
            </w:tcBorders>
            <w:vAlign w:val="center"/>
          </w:tcPr>
          <w:p w14:paraId="482185B8">
            <w:pPr>
              <w:pStyle w:val="140"/>
              <w:spacing w:before="0" w:line="240" w:lineRule="auto"/>
              <w:ind w:left="0" w:right="0"/>
              <w:jc w:val="center"/>
              <w:rPr>
                <w:sz w:val="21"/>
              </w:rPr>
            </w:pPr>
            <w:r>
              <w:rPr>
                <w:sz w:val="21"/>
              </w:rPr>
              <w:t>环保设施</w:t>
            </w:r>
          </w:p>
        </w:tc>
        <w:tc>
          <w:tcPr>
            <w:tcW w:w="412" w:type="pct"/>
            <w:tcBorders>
              <w:tl2br w:val="nil"/>
              <w:tr2bl w:val="nil"/>
            </w:tcBorders>
            <w:vAlign w:val="center"/>
          </w:tcPr>
          <w:p w14:paraId="61B016F4">
            <w:pPr>
              <w:pStyle w:val="140"/>
              <w:spacing w:line="240" w:lineRule="auto"/>
              <w:ind w:left="0" w:right="0" w:firstLine="0"/>
              <w:jc w:val="center"/>
              <w:rPr>
                <w:sz w:val="21"/>
              </w:rPr>
            </w:pPr>
            <w:r>
              <w:rPr>
                <w:sz w:val="21"/>
              </w:rPr>
              <w:t>废气处理</w:t>
            </w:r>
            <w:r>
              <w:rPr>
                <w:rFonts w:hint="eastAsia"/>
                <w:sz w:val="21"/>
                <w:lang w:eastAsia="zh-CN"/>
              </w:rPr>
              <w:t>设施</w:t>
            </w:r>
          </w:p>
        </w:tc>
        <w:tc>
          <w:tcPr>
            <w:tcW w:w="773" w:type="pct"/>
            <w:tcBorders>
              <w:tl2br w:val="nil"/>
              <w:tr2bl w:val="nil"/>
            </w:tcBorders>
            <w:vAlign w:val="center"/>
          </w:tcPr>
          <w:p w14:paraId="19C5BDD0">
            <w:pPr>
              <w:pStyle w:val="140"/>
              <w:spacing w:line="240" w:lineRule="auto"/>
              <w:ind w:left="0" w:right="0" w:firstLine="0"/>
              <w:jc w:val="center"/>
              <w:rPr>
                <w:sz w:val="21"/>
              </w:rPr>
            </w:pPr>
            <w:r>
              <w:rPr>
                <w:sz w:val="21"/>
              </w:rPr>
              <w:t>处理措施故障，废气不达标排放</w:t>
            </w:r>
          </w:p>
        </w:tc>
        <w:tc>
          <w:tcPr>
            <w:tcW w:w="818" w:type="pct"/>
            <w:tcBorders>
              <w:tl2br w:val="nil"/>
              <w:tr2bl w:val="nil"/>
            </w:tcBorders>
            <w:vAlign w:val="center"/>
          </w:tcPr>
          <w:p w14:paraId="6576CBF8">
            <w:pPr>
              <w:pStyle w:val="140"/>
              <w:spacing w:before="0" w:line="240" w:lineRule="auto"/>
              <w:ind w:left="0" w:right="0"/>
              <w:rPr>
                <w:sz w:val="21"/>
              </w:rPr>
            </w:pPr>
            <w:r>
              <w:rPr>
                <w:sz w:val="21"/>
              </w:rPr>
              <w:t>定期委托资质单位进行监测；定期对废气处理措施进行维护等</w:t>
            </w:r>
          </w:p>
        </w:tc>
        <w:tc>
          <w:tcPr>
            <w:tcW w:w="1361" w:type="pct"/>
            <w:tcBorders>
              <w:tl2br w:val="nil"/>
              <w:tr2bl w:val="nil"/>
            </w:tcBorders>
            <w:vAlign w:val="center"/>
          </w:tcPr>
          <w:p w14:paraId="75F4B091">
            <w:pPr>
              <w:pStyle w:val="140"/>
              <w:spacing w:line="240" w:lineRule="auto"/>
              <w:ind w:left="0"/>
              <w:jc w:val="center"/>
              <w:rPr>
                <w:sz w:val="21"/>
              </w:rPr>
            </w:pPr>
            <w:r>
              <w:rPr>
                <w:w w:val="100"/>
                <w:sz w:val="21"/>
              </w:rPr>
              <w:t>一旦超标立即停止生产；采用便携式监测仪监测或委托资质单位对下风向大气环境进行检测，若超标严重，上报上级管理部门</w:t>
            </w:r>
            <w:r>
              <w:rPr>
                <w:w w:val="95"/>
                <w:sz w:val="21"/>
              </w:rPr>
              <w:t>，协</w:t>
            </w:r>
            <w:r>
              <w:rPr>
                <w:sz w:val="21"/>
              </w:rPr>
              <w:t>助安排相应的撤离。</w:t>
            </w:r>
          </w:p>
        </w:tc>
        <w:tc>
          <w:tcPr>
            <w:tcW w:w="1361" w:type="pct"/>
            <w:tcBorders>
              <w:tl2br w:val="nil"/>
              <w:tr2bl w:val="nil"/>
            </w:tcBorders>
            <w:vAlign w:val="center"/>
          </w:tcPr>
          <w:p w14:paraId="10C458F3">
            <w:pPr>
              <w:pStyle w:val="140"/>
              <w:spacing w:line="240" w:lineRule="auto"/>
              <w:ind w:left="0"/>
              <w:jc w:val="center"/>
              <w:rPr>
                <w:w w:val="100"/>
                <w:sz w:val="21"/>
              </w:rPr>
            </w:pPr>
            <w:r>
              <w:rPr>
                <w:rFonts w:hint="eastAsia" w:ascii="宋体" w:hAnsi="宋体" w:eastAsia="宋体" w:cs="宋体"/>
                <w:kern w:val="2"/>
                <w:sz w:val="21"/>
                <w:szCs w:val="24"/>
                <w:lang w:val="en-US" w:eastAsia="zh-CN" w:bidi="ar-SA"/>
              </w:rPr>
              <w:t>防护服、污染治理设备</w:t>
            </w:r>
          </w:p>
        </w:tc>
      </w:tr>
      <w:tr w14:paraId="50A8DA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809" w:hRule="atLeast"/>
        </w:trPr>
        <w:tc>
          <w:tcPr>
            <w:tcW w:w="271" w:type="pct"/>
            <w:vMerge w:val="continue"/>
            <w:tcBorders>
              <w:tl2br w:val="nil"/>
              <w:tr2bl w:val="nil"/>
            </w:tcBorders>
            <w:vAlign w:val="center"/>
          </w:tcPr>
          <w:p w14:paraId="76960C26">
            <w:pPr>
              <w:jc w:val="center"/>
              <w:rPr>
                <w:sz w:val="2"/>
                <w:szCs w:val="2"/>
              </w:rPr>
            </w:pPr>
          </w:p>
        </w:tc>
        <w:tc>
          <w:tcPr>
            <w:tcW w:w="412" w:type="pct"/>
            <w:tcBorders>
              <w:tl2br w:val="nil"/>
              <w:tr2bl w:val="nil"/>
            </w:tcBorders>
            <w:vAlign w:val="center"/>
          </w:tcPr>
          <w:p w14:paraId="63443932">
            <w:pPr>
              <w:pStyle w:val="140"/>
              <w:ind w:left="0" w:right="0"/>
              <w:rPr>
                <w:sz w:val="21"/>
              </w:rPr>
            </w:pPr>
            <w:r>
              <w:rPr>
                <w:sz w:val="21"/>
              </w:rPr>
              <w:t>危废仓库</w:t>
            </w:r>
          </w:p>
        </w:tc>
        <w:tc>
          <w:tcPr>
            <w:tcW w:w="773" w:type="pct"/>
            <w:tcBorders>
              <w:tl2br w:val="nil"/>
              <w:tr2bl w:val="nil"/>
            </w:tcBorders>
            <w:vAlign w:val="center"/>
          </w:tcPr>
          <w:p w14:paraId="3CB9527B">
            <w:pPr>
              <w:pStyle w:val="140"/>
              <w:ind w:left="0" w:right="0"/>
              <w:rPr>
                <w:sz w:val="21"/>
              </w:rPr>
            </w:pPr>
            <w:r>
              <w:rPr>
                <w:sz w:val="21"/>
              </w:rPr>
              <w:t>危废进入地下</w:t>
            </w:r>
          </w:p>
        </w:tc>
        <w:tc>
          <w:tcPr>
            <w:tcW w:w="818" w:type="pct"/>
            <w:tcBorders>
              <w:tl2br w:val="nil"/>
              <w:tr2bl w:val="nil"/>
            </w:tcBorders>
            <w:vAlign w:val="center"/>
          </w:tcPr>
          <w:p w14:paraId="22FA4204">
            <w:pPr>
              <w:pStyle w:val="140"/>
              <w:spacing w:line="240" w:lineRule="auto"/>
              <w:ind w:left="0"/>
              <w:jc w:val="center"/>
              <w:rPr>
                <w:sz w:val="21"/>
              </w:rPr>
            </w:pPr>
            <w:r>
              <w:rPr>
                <w:sz w:val="21"/>
              </w:rPr>
              <w:t>摄像头、人工巡视点检；</w:t>
            </w:r>
          </w:p>
          <w:p w14:paraId="321870C2">
            <w:pPr>
              <w:pStyle w:val="140"/>
              <w:spacing w:before="0" w:line="240" w:lineRule="auto"/>
              <w:ind w:left="0" w:right="0" w:firstLine="0"/>
              <w:jc w:val="center"/>
              <w:rPr>
                <w:sz w:val="21"/>
              </w:rPr>
            </w:pPr>
            <w:r>
              <w:rPr>
                <w:sz w:val="21"/>
              </w:rPr>
              <w:t>地面防腐防渗，设有导流沟、收集井</w:t>
            </w:r>
          </w:p>
        </w:tc>
        <w:tc>
          <w:tcPr>
            <w:tcW w:w="1361" w:type="pct"/>
            <w:tcBorders>
              <w:tl2br w:val="nil"/>
              <w:tr2bl w:val="nil"/>
            </w:tcBorders>
            <w:vAlign w:val="center"/>
          </w:tcPr>
          <w:p w14:paraId="48C8E83F">
            <w:pPr>
              <w:pStyle w:val="140"/>
              <w:spacing w:before="0" w:line="240" w:lineRule="auto"/>
              <w:ind w:left="0" w:right="0" w:firstLine="0"/>
              <w:jc w:val="center"/>
              <w:rPr>
                <w:rFonts w:hint="eastAsia" w:eastAsia="宋体"/>
                <w:sz w:val="21"/>
                <w:lang w:eastAsia="zh-CN"/>
              </w:rPr>
            </w:pPr>
            <w:r>
              <w:rPr>
                <w:rFonts w:hint="eastAsia"/>
                <w:sz w:val="21"/>
              </w:rPr>
              <w:t>泄漏</w:t>
            </w:r>
            <w:r>
              <w:rPr>
                <w:rFonts w:hint="eastAsia"/>
                <w:sz w:val="21"/>
                <w:lang w:eastAsia="zh-CN"/>
              </w:rPr>
              <w:t>：</w:t>
            </w:r>
            <w:r>
              <w:rPr>
                <w:rFonts w:hint="default"/>
                <w:sz w:val="21"/>
              </w:rPr>
              <w:t>①</w:t>
            </w:r>
            <w:r>
              <w:rPr>
                <w:rFonts w:hint="eastAsia"/>
                <w:sz w:val="21"/>
              </w:rPr>
              <w:t>开展堵漏等应急处置工作，②泄漏物料及冲洗水等事故废水收集至事故池，处理达标后用槽车运送至</w:t>
            </w:r>
            <w:r>
              <w:rPr>
                <w:rFonts w:hint="eastAsia"/>
                <w:sz w:val="21"/>
                <w:lang w:eastAsia="zh-CN"/>
              </w:rPr>
              <w:t>海安惠泽净水有限公司</w:t>
            </w:r>
            <w:r>
              <w:rPr>
                <w:rFonts w:hint="eastAsia"/>
                <w:sz w:val="21"/>
              </w:rPr>
              <w:t>。火灾</w:t>
            </w:r>
            <w:r>
              <w:rPr>
                <w:rFonts w:hint="eastAsia"/>
                <w:sz w:val="21"/>
                <w:lang w:eastAsia="zh-CN"/>
              </w:rPr>
              <w:t>：</w:t>
            </w:r>
            <w:r>
              <w:rPr>
                <w:rFonts w:hint="eastAsia"/>
                <w:sz w:val="21"/>
              </w:rPr>
              <w:t>①应急指挥部通知各应急小组做好应急设施、物资准备、个人防护措施等应急准备工作，立即前往事故现场</w:t>
            </w:r>
            <w:r>
              <w:rPr>
                <w:rFonts w:hint="eastAsia"/>
                <w:sz w:val="21"/>
                <w:lang w:eastAsia="zh-CN"/>
              </w:rPr>
              <w:t>；</w:t>
            </w:r>
            <w:r>
              <w:rPr>
                <w:rFonts w:hint="eastAsia"/>
                <w:sz w:val="21"/>
              </w:rPr>
              <w:t>联系应急监测单位对事发地及厂界等点位进行监测，关注大气污染物浓度，如超出厂界，及时通报周边企业和居民</w:t>
            </w:r>
            <w:r>
              <w:rPr>
                <w:rFonts w:hint="eastAsia"/>
                <w:sz w:val="21"/>
                <w:lang w:eastAsia="zh-CN"/>
              </w:rPr>
              <w:t>；</w:t>
            </w:r>
            <w:r>
              <w:rPr>
                <w:rFonts w:hint="eastAsia"/>
                <w:sz w:val="21"/>
              </w:rPr>
              <w:t>③关闭企业雨水排口，将事故废水收集事故应急池，处理达标后用槽车运送至</w:t>
            </w:r>
            <w:r>
              <w:rPr>
                <w:rFonts w:hint="eastAsia"/>
                <w:sz w:val="21"/>
                <w:lang w:eastAsia="zh-CN"/>
              </w:rPr>
              <w:t>海安惠泽净水有限公司。</w:t>
            </w:r>
          </w:p>
        </w:tc>
        <w:tc>
          <w:tcPr>
            <w:tcW w:w="1361" w:type="pct"/>
            <w:tcBorders>
              <w:tl2br w:val="nil"/>
              <w:tr2bl w:val="nil"/>
            </w:tcBorders>
            <w:vAlign w:val="center"/>
          </w:tcPr>
          <w:p w14:paraId="56C6F9ED">
            <w:pPr>
              <w:keepNext w:val="0"/>
              <w:keepLines w:val="0"/>
              <w:widowControl/>
              <w:suppressLineNumbers w:val="0"/>
              <w:jc w:val="left"/>
              <w:rPr>
                <w:rFonts w:hint="eastAsia"/>
                <w:sz w:val="21"/>
              </w:rPr>
            </w:pPr>
            <w:r>
              <w:rPr>
                <w:rFonts w:hint="eastAsia" w:ascii="宋体" w:hAnsi="宋体" w:eastAsia="宋体" w:cs="宋体"/>
                <w:kern w:val="2"/>
                <w:sz w:val="21"/>
                <w:szCs w:val="24"/>
                <w:lang w:val="en-US" w:eastAsia="zh-CN" w:bidi="ar-SA"/>
              </w:rPr>
              <w:t>堵漏、拦截、吸附材</w:t>
            </w:r>
            <w:r>
              <w:rPr>
                <w:rFonts w:hint="default" w:ascii="宋体" w:hAnsi="宋体" w:eastAsia="宋体" w:cs="宋体"/>
                <w:kern w:val="2"/>
                <w:sz w:val="21"/>
                <w:szCs w:val="24"/>
                <w:lang w:val="en-US" w:eastAsia="zh-CN" w:bidi="ar-SA"/>
              </w:rPr>
              <w:t>料</w:t>
            </w:r>
          </w:p>
        </w:tc>
      </w:tr>
      <w:bookmarkEnd w:id="104"/>
      <w:bookmarkEnd w:id="121"/>
      <w:bookmarkEnd w:id="122"/>
      <w:bookmarkEnd w:id="123"/>
    </w:tbl>
    <w:p w14:paraId="2399EF59">
      <w:pPr>
        <w:pStyle w:val="249"/>
        <w:pageBreakBefore w:val="0"/>
        <w:widowControl/>
        <w:kinsoku/>
        <w:wordWrap/>
        <w:overflowPunct/>
        <w:topLinePunct w:val="0"/>
        <w:autoSpaceDE/>
        <w:autoSpaceDN/>
        <w:bidi w:val="0"/>
        <w:adjustRightInd/>
        <w:snapToGrid w:val="0"/>
        <w:textAlignment w:val="auto"/>
        <w:rPr>
          <w:rFonts w:hint="eastAsia" w:eastAsia="宋体" w:cs="Times New Roman"/>
          <w:sz w:val="24"/>
          <w:szCs w:val="24"/>
          <w:lang w:val="en-US" w:eastAsia="zh-CN"/>
        </w:rPr>
      </w:pPr>
      <w:bookmarkStart w:id="124" w:name="_Toc402776210"/>
      <w:r>
        <w:rPr>
          <w:rFonts w:hint="default" w:ascii="Times New Roman" w:hAnsi="Times New Roman" w:eastAsia="宋体" w:cs="Times New Roman"/>
          <w:sz w:val="24"/>
          <w:szCs w:val="24"/>
        </w:rPr>
        <w:t>3.</w:t>
      </w:r>
      <w:r>
        <w:rPr>
          <w:rFonts w:hint="eastAsia" w:cs="Times New Roman"/>
          <w:sz w:val="24"/>
          <w:szCs w:val="24"/>
          <w:lang w:val="en-US" w:eastAsia="zh-CN"/>
        </w:rPr>
        <w:t>8.1</w:t>
      </w:r>
      <w:r>
        <w:rPr>
          <w:rFonts w:hint="default" w:ascii="Times New Roman" w:hAnsi="Times New Roman" w:cs="Times New Roman"/>
          <w:sz w:val="24"/>
          <w:szCs w:val="24"/>
        </w:rPr>
        <w:t>.1</w:t>
      </w:r>
      <w:r>
        <w:rPr>
          <w:rFonts w:hint="eastAsia" w:eastAsia="宋体" w:cs="Times New Roman"/>
          <w:sz w:val="24"/>
          <w:szCs w:val="24"/>
          <w:lang w:val="en-US" w:eastAsia="zh-CN"/>
        </w:rPr>
        <w:t>环境风险防控分析</w:t>
      </w:r>
    </w:p>
    <w:p w14:paraId="41626AA4">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1、人工监控</w:t>
      </w:r>
    </w:p>
    <w:p w14:paraId="7E51B1F6">
      <w:pPr>
        <w:pStyle w:val="13"/>
        <w:spacing w:before="160"/>
        <w:ind w:left="777"/>
        <w:rPr>
          <w:rFonts w:hint="default" w:eastAsia="宋体"/>
        </w:rPr>
      </w:pPr>
      <w:r>
        <w:rPr>
          <w:rFonts w:hint="default" w:ascii="Times New Roman" w:hAnsi="Times New Roman" w:eastAsia="宋体"/>
        </w:rPr>
        <w:t>①</w:t>
      </w:r>
      <w:r>
        <w:rPr>
          <w:rFonts w:hint="default" w:eastAsia="宋体"/>
        </w:rPr>
        <w:t>全厂设置摄像监控系统，人工进行监管；</w:t>
      </w:r>
    </w:p>
    <w:p w14:paraId="7BB37FEA">
      <w:pPr>
        <w:pStyle w:val="13"/>
        <w:spacing w:before="159"/>
        <w:ind w:left="777"/>
        <w:rPr>
          <w:rFonts w:hint="default" w:eastAsia="宋体"/>
        </w:rPr>
      </w:pPr>
      <w:r>
        <w:rPr>
          <w:rFonts w:hint="default" w:ascii="Times New Roman" w:hAnsi="Times New Roman" w:eastAsia="宋体"/>
        </w:rPr>
        <w:t>②</w:t>
      </w:r>
      <w:r>
        <w:rPr>
          <w:rFonts w:hint="default" w:eastAsia="宋体"/>
        </w:rPr>
        <w:t>原料库装卸料过程，以及危废厂内运输过程，全程人工监管。</w:t>
      </w:r>
    </w:p>
    <w:p w14:paraId="70387971">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2、设备监控</w:t>
      </w:r>
    </w:p>
    <w:p w14:paraId="245F708D">
      <w:pPr>
        <w:spacing w:before="160" w:line="362" w:lineRule="auto"/>
        <w:ind w:left="777" w:right="6706" w:firstLine="0"/>
        <w:jc w:val="left"/>
        <w:rPr>
          <w:sz w:val="24"/>
        </w:rPr>
      </w:pPr>
      <w:r>
        <w:rPr>
          <w:rFonts w:eastAsia="宋体"/>
          <w:sz w:val="24"/>
        </w:rPr>
        <w:t>有视频监控。</w:t>
      </w:r>
    </w:p>
    <w:p w14:paraId="18C39A2D">
      <w:pPr>
        <w:pStyle w:val="249"/>
        <w:pageBreakBefore w:val="0"/>
        <w:widowControl/>
        <w:kinsoku/>
        <w:wordWrap/>
        <w:overflowPunct/>
        <w:topLinePunct w:val="0"/>
        <w:autoSpaceDE/>
        <w:autoSpaceDN/>
        <w:bidi w:val="0"/>
        <w:adjustRightInd/>
        <w:snapToGrid w:val="0"/>
        <w:textAlignment w:val="auto"/>
        <w:rPr>
          <w:rFonts w:hint="eastAsia" w:eastAsia="宋体" w:cs="Times New Roman"/>
          <w:sz w:val="24"/>
          <w:szCs w:val="24"/>
          <w:lang w:val="en-US" w:eastAsia="zh-CN"/>
        </w:rPr>
      </w:pPr>
      <w:bookmarkStart w:id="125" w:name="3.7.1.2事故废水收集情况分析"/>
      <w:bookmarkEnd w:id="125"/>
      <w:bookmarkStart w:id="126" w:name="3.7.1.2事故废水收集情况分析"/>
      <w:bookmarkEnd w:id="126"/>
      <w:r>
        <w:rPr>
          <w:rFonts w:hint="default" w:ascii="Times New Roman" w:hAnsi="Times New Roman" w:eastAsia="宋体" w:cs="Times New Roman"/>
          <w:sz w:val="24"/>
          <w:szCs w:val="24"/>
        </w:rPr>
        <w:t>3.</w:t>
      </w:r>
      <w:r>
        <w:rPr>
          <w:rFonts w:hint="eastAsia" w:cs="Times New Roman"/>
          <w:sz w:val="24"/>
          <w:szCs w:val="24"/>
          <w:lang w:val="en-US" w:eastAsia="zh-CN"/>
        </w:rPr>
        <w:t>8.1</w:t>
      </w:r>
      <w:r>
        <w:rPr>
          <w:rFonts w:hint="default" w:ascii="Times New Roman" w:hAnsi="Times New Roman" w:cs="Times New Roman"/>
          <w:sz w:val="24"/>
          <w:szCs w:val="24"/>
        </w:rPr>
        <w:t>.</w:t>
      </w:r>
      <w:r>
        <w:rPr>
          <w:rFonts w:hint="eastAsia" w:cs="Times New Roman"/>
          <w:sz w:val="24"/>
          <w:szCs w:val="24"/>
          <w:lang w:val="en-US" w:eastAsia="zh-CN"/>
        </w:rPr>
        <w:t>2</w:t>
      </w:r>
      <w:r>
        <w:rPr>
          <w:rFonts w:hint="eastAsia" w:eastAsia="宋体" w:cs="Times New Roman"/>
          <w:sz w:val="24"/>
          <w:szCs w:val="24"/>
          <w:lang w:val="en-US" w:eastAsia="zh-CN"/>
        </w:rPr>
        <w:t>事故废水收集情况分析</w:t>
      </w:r>
    </w:p>
    <w:p w14:paraId="52AD4692">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1、事故废水收集情况</w:t>
      </w:r>
    </w:p>
    <w:p w14:paraId="79DF2F52">
      <w:pPr>
        <w:pStyle w:val="13"/>
        <w:spacing w:before="0" w:after="0" w:line="500" w:lineRule="exact"/>
        <w:ind w:left="0" w:right="0" w:firstLine="480" w:firstLineChars="200"/>
        <w:jc w:val="left"/>
        <w:rPr>
          <w:rFonts w:eastAsia="宋体"/>
        </w:rPr>
      </w:pPr>
      <w:r>
        <w:rPr>
          <w:rFonts w:eastAsia="宋体"/>
          <w:spacing w:val="0"/>
        </w:rPr>
        <w:t>公司</w:t>
      </w:r>
      <w:r>
        <w:rPr>
          <w:rFonts w:hint="eastAsia" w:eastAsia="宋体"/>
          <w:spacing w:val="0"/>
          <w:lang w:val="en-US" w:eastAsia="zh-CN"/>
        </w:rPr>
        <w:t>设置300m</w:t>
      </w:r>
      <w:r>
        <w:rPr>
          <w:rFonts w:hint="eastAsia" w:eastAsia="宋体"/>
          <w:spacing w:val="0"/>
          <w:vertAlign w:val="superscript"/>
          <w:lang w:val="en-US" w:eastAsia="zh-CN"/>
        </w:rPr>
        <w:t>3</w:t>
      </w:r>
      <w:r>
        <w:rPr>
          <w:rFonts w:hint="eastAsia" w:eastAsia="宋体"/>
          <w:spacing w:val="0"/>
          <w:vertAlign w:val="baseline"/>
          <w:lang w:val="en-US" w:eastAsia="zh-CN"/>
        </w:rPr>
        <w:t>事故应急池</w:t>
      </w:r>
      <w:r>
        <w:rPr>
          <w:rFonts w:eastAsia="宋体"/>
          <w:spacing w:val="0"/>
        </w:rPr>
        <w:t>，有利于收集各类事故排水，以防止应急用水到处漫流；</w:t>
      </w:r>
      <w:r>
        <w:rPr>
          <w:rFonts w:hint="eastAsia" w:eastAsia="宋体"/>
          <w:spacing w:val="0"/>
          <w:lang w:val="en-US" w:eastAsia="zh-CN"/>
        </w:rPr>
        <w:t>雨水排口设置闸控，</w:t>
      </w:r>
      <w:r>
        <w:rPr>
          <w:rFonts w:eastAsia="宋体"/>
          <w:spacing w:val="0"/>
        </w:rPr>
        <w:t>事故状态下关闭雨水排放口的截留阀，可将泄漏物、消防水截流在雨水收集系统内，收集系统不能容纳泄漏物、消防水时，则转移进入事故应急</w:t>
      </w:r>
      <w:r>
        <w:rPr>
          <w:rFonts w:eastAsia="宋体"/>
        </w:rPr>
        <w:t>池内。</w:t>
      </w:r>
    </w:p>
    <w:p w14:paraId="06E89435">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2、生产废水收集情况</w:t>
      </w:r>
    </w:p>
    <w:p w14:paraId="2B1DB3EE">
      <w:pPr>
        <w:spacing w:before="0" w:line="500" w:lineRule="exact"/>
        <w:ind w:left="0" w:right="0" w:firstLine="480" w:firstLineChars="200"/>
        <w:jc w:val="left"/>
        <w:rPr>
          <w:rFonts w:eastAsia="宋体"/>
          <w:spacing w:val="0"/>
          <w:sz w:val="24"/>
        </w:rPr>
      </w:pPr>
      <w:r>
        <w:rPr>
          <w:rFonts w:hint="eastAsia" w:eastAsia="宋体"/>
          <w:spacing w:val="0"/>
          <w:sz w:val="24"/>
          <w:lang w:val="en-US" w:eastAsia="zh-CN"/>
        </w:rPr>
        <w:t>企业在实际运行中水帘废水经物化处理后全部回用于水帘用水、喷枪清洗废水及废气处理冷凝水全部回用于水帘补水，不外排</w:t>
      </w:r>
      <w:r>
        <w:rPr>
          <w:rFonts w:eastAsia="宋体"/>
          <w:spacing w:val="0"/>
          <w:sz w:val="24"/>
        </w:rPr>
        <w:t>。</w:t>
      </w:r>
    </w:p>
    <w:p w14:paraId="28282DA5">
      <w:pPr>
        <w:spacing w:before="0" w:line="500" w:lineRule="exact"/>
        <w:ind w:left="0" w:right="0" w:firstLine="482" w:firstLineChars="200"/>
        <w:jc w:val="left"/>
        <w:rPr>
          <w:rFonts w:hint="eastAsia" w:eastAsia="仿宋_GB2312"/>
          <w:b/>
          <w:sz w:val="24"/>
          <w:lang w:eastAsia="zh-CN"/>
        </w:rPr>
      </w:pPr>
      <w:r>
        <w:rPr>
          <w:rFonts w:hint="eastAsia" w:ascii="Times New Roman" w:eastAsia="宋体"/>
          <w:b/>
          <w:bCs/>
          <w:sz w:val="24"/>
        </w:rPr>
        <w:t>3</w:t>
      </w:r>
      <w:r>
        <w:rPr>
          <w:rFonts w:hint="eastAsia" w:eastAsia="宋体"/>
          <w:b/>
          <w:bCs/>
          <w:sz w:val="24"/>
        </w:rPr>
        <w:t>、收集、处理能力评估</w:t>
      </w:r>
    </w:p>
    <w:p w14:paraId="302136E6">
      <w:pPr>
        <w:widowControl/>
        <w:autoSpaceDE w:val="0"/>
        <w:autoSpaceDN w:val="0"/>
        <w:adjustRightInd w:val="0"/>
        <w:snapToGrid w:val="0"/>
        <w:spacing w:before="0" w:line="500" w:lineRule="exact"/>
        <w:ind w:left="0" w:right="0" w:firstLine="480" w:firstLineChars="200"/>
        <w:jc w:val="left"/>
        <w:textAlignment w:val="bottom"/>
        <w:rPr>
          <w:rFonts w:eastAsia="宋体"/>
          <w:color w:val="000000" w:themeColor="text1"/>
          <w:sz w:val="24"/>
          <w:szCs w:val="21"/>
          <w14:textFill>
            <w14:solidFill>
              <w14:schemeClr w14:val="tx1"/>
            </w14:solidFill>
          </w14:textFill>
        </w:rPr>
      </w:pPr>
      <w:r>
        <w:rPr>
          <w:rFonts w:eastAsia="宋体"/>
          <w:color w:val="000000" w:themeColor="text1"/>
          <w:sz w:val="24"/>
          <w:szCs w:val="21"/>
          <w14:textFill>
            <w14:solidFill>
              <w14:schemeClr w14:val="tx1"/>
            </w14:solidFill>
          </w14:textFill>
        </w:rPr>
        <w:t>应急池</w:t>
      </w:r>
      <w:r>
        <w:rPr>
          <w:rFonts w:hint="default" w:eastAsia="宋体"/>
          <w:color w:val="000000" w:themeColor="text1"/>
          <w:sz w:val="24"/>
          <w:szCs w:val="21"/>
          <w:lang w:val="en-US" w:eastAsia="zh-CN"/>
          <w14:textFill>
            <w14:solidFill>
              <w14:schemeClr w14:val="tx1"/>
            </w14:solidFill>
          </w14:textFill>
        </w:rPr>
        <w:t>容量</w:t>
      </w:r>
      <w:r>
        <w:rPr>
          <w:rFonts w:eastAsia="宋体"/>
          <w:color w:val="000000" w:themeColor="text1"/>
          <w:sz w:val="24"/>
          <w:szCs w:val="21"/>
          <w14:textFill>
            <w14:solidFill>
              <w14:schemeClr w14:val="tx1"/>
            </w14:solidFill>
          </w14:textFill>
        </w:rPr>
        <w:t>计算过程如下：</w:t>
      </w:r>
    </w:p>
    <w:p w14:paraId="3AEAB8A7">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color w:val="000000" w:themeColor="text1"/>
          <w:szCs w:val="21"/>
          <w14:textFill>
            <w14:solidFill>
              <w14:schemeClr w14:val="tx1"/>
            </w14:solidFill>
          </w14:textFill>
        </w:rPr>
      </w:pPr>
      <w:bookmarkStart w:id="127" w:name="3.7.2应急物资及装备情况"/>
      <w:bookmarkEnd w:id="127"/>
      <w:bookmarkStart w:id="128" w:name="_TOC_250048"/>
      <w:bookmarkEnd w:id="128"/>
      <w:r>
        <w:rPr>
          <w:rFonts w:hint="default" w:ascii="Times New Roman" w:hAnsi="Times New Roman" w:eastAsia="宋体" w:cs="Times New Roman"/>
          <w:color w:val="000000" w:themeColor="text1"/>
          <w:szCs w:val="21"/>
          <w14:textFill>
            <w14:solidFill>
              <w14:schemeClr w14:val="tx1"/>
            </w14:solidFill>
          </w14:textFill>
        </w:rPr>
        <w:t>①事故应急水池容量按下式计算：</w:t>
      </w:r>
    </w:p>
    <w:p w14:paraId="7A804526">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根据《事故状态下水体污染的预防与控制技术要求》（Q/SY1190-2013），计算本项目所需事故应急池容积。事故储存设施总有效容积：</w:t>
      </w:r>
    </w:p>
    <w:p w14:paraId="337A5894">
      <w:pPr>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总</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）max+V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p>
    <w:p w14:paraId="412A0A85">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：收集系统范围内发生事故时的泄漏物料量（事故1个罐或1个装置物料），m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4B32B7A9">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：发生事故时的消防水量；V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p>
    <w:p w14:paraId="2A6C53AB">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：发生事故的储气瓶或工艺装置同时使用的消防设施给水流量，包括室内外消火栓、消防炮、喷淋系统、泡沫系统等等，各种设施的配置和流量根据保护对象的火灾危险程度，按相关消防规范确定。</w:t>
      </w:r>
    </w:p>
    <w:p w14:paraId="2414B208">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：各种消防设施对应的设计消防历时。对于不同的消防设施，对于同一次火灾和同一个保护对象，历时不尽相同，可根据消防规范确定。</w:t>
      </w:r>
    </w:p>
    <w:p w14:paraId="47E016F9">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：事故时可以转输</w:t>
      </w:r>
      <w:r>
        <w:rPr>
          <w:rFonts w:hint="eastAsia" w:eastAsia="宋体" w:cs="Times New Roman"/>
          <w:color w:val="auto"/>
          <w:kern w:val="2"/>
          <w:sz w:val="24"/>
          <w:szCs w:val="24"/>
          <w:lang w:val="en-US" w:eastAsia="zh-CN" w:bidi="ar-SA"/>
        </w:rPr>
        <w:t>到其他</w:t>
      </w:r>
      <w:r>
        <w:rPr>
          <w:rFonts w:hint="default" w:ascii="Times New Roman" w:hAnsi="Times New Roman" w:eastAsia="宋体" w:cs="Times New Roman"/>
          <w:color w:val="auto"/>
          <w:kern w:val="2"/>
          <w:sz w:val="24"/>
          <w:szCs w:val="24"/>
          <w:lang w:val="en-US" w:eastAsia="zh-CN" w:bidi="ar-SA"/>
        </w:rPr>
        <w:t>储存或处理设施的物料量，m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779354B7">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：发生事故时必须进入该收集系统的生产废水量，m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150B3288">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：发生事故时可能进入该收集系统的降雨量，m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16D015A8">
      <w:pPr>
        <w:pStyle w:val="253"/>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=10qF</w:t>
      </w:r>
    </w:p>
    <w:p w14:paraId="61AB7F5F">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w:t>
      </w:r>
    </w:p>
    <w:p w14:paraId="0B693B23">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auto"/>
          <w:kern w:val="2"/>
          <w:sz w:val="24"/>
          <w:szCs w:val="24"/>
          <w:lang w:val="en-US" w:eastAsia="zh-CN" w:bidi="ar-SA"/>
        </w:rPr>
        <w:t>q——平均日降雨量；q=年平均降雨量/年平均降雨日数。本设计中年平</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均降雨量为</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900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mm，年平均降雨日数为122天，则q=</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7.4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mm。</w:t>
      </w:r>
    </w:p>
    <w:p w14:paraId="2F5E07D4">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F——必须进入事故废水收集系统的雨水汇水面积</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，租赁厂区可能受污染雨水面积</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约</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0.208</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ha。则V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=10*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7.4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0.208=15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20B26495">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：消防用水量按同一时间内火灾次数为一次计</w:t>
      </w:r>
      <w:r>
        <w:rPr>
          <w:rFonts w:hint="eastAsia"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事故消防废水用量按</w:t>
      </w:r>
      <w:r>
        <w:rPr>
          <w:rFonts w:hint="eastAsia" w:eastAsia="宋体" w:cs="Times New Roman"/>
          <w:color w:val="000000" w:themeColor="text1"/>
          <w:kern w:val="2"/>
          <w:sz w:val="24"/>
          <w:szCs w:val="24"/>
          <w:lang w:val="en-US" w:eastAsia="zh-CN" w:bidi="ar-SA"/>
          <w14:textFill>
            <w14:solidFill>
              <w14:schemeClr w14:val="tx1"/>
            </w14:solidFill>
          </w14:textFill>
        </w:rPr>
        <w:t>25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L/s计</w:t>
      </w:r>
      <w:r>
        <w:rPr>
          <w:rFonts w:hint="eastAsia" w:eastAsia="宋体" w:cs="Times New Roman"/>
          <w:color w:val="000000" w:themeColor="text1"/>
          <w:kern w:val="2"/>
          <w:sz w:val="24"/>
          <w:szCs w:val="24"/>
          <w:lang w:val="en-US" w:eastAsia="zh-CN" w:bidi="ar-SA"/>
          <w14:textFill>
            <w14:solidFill>
              <w14:schemeClr w14:val="tx1"/>
            </w14:solidFill>
          </w14:textFill>
        </w:rPr>
        <w:t>），消防时间约1h，消防水量为90m</w:t>
      </w:r>
      <w:r>
        <w:rPr>
          <w:rFonts w:hint="eastAsia"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，则：V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eastAsia" w:eastAsia="宋体" w:cs="Times New Roman"/>
          <w:color w:val="000000" w:themeColor="text1"/>
          <w:kern w:val="2"/>
          <w:sz w:val="24"/>
          <w:szCs w:val="24"/>
          <w:vertAlign w:val="subscript"/>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90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261299E7">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eastAsia"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auto"/>
          <w:kern w:val="2"/>
          <w:sz w:val="24"/>
          <w:szCs w:val="24"/>
          <w:lang w:val="en-US" w:eastAsia="zh-CN" w:bidi="ar-SA"/>
        </w:rPr>
        <w:t>收集系统范围内发生事故时的泄漏物料量</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vertAlign w:val="baseline"/>
          <w:lang w:val="en-US" w:eastAsia="zh-CN" w:bidi="ar-SA"/>
          <w14:textFill>
            <w14:solidFill>
              <w14:schemeClr w14:val="tx1"/>
            </w14:solidFill>
          </w14:textFill>
        </w:rPr>
        <w:t>。</w:t>
      </w:r>
    </w:p>
    <w:p w14:paraId="58DC0634">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eastAsia="宋体" w:cs="Times New Roman"/>
          <w:color w:val="000000" w:themeColor="text1"/>
          <w:kern w:val="2"/>
          <w:sz w:val="24"/>
          <w:szCs w:val="24"/>
          <w:lang w:val="en-US" w:eastAsia="zh-CN" w:bidi="ar-SA"/>
          <w14:textFill>
            <w14:solidFill>
              <w14:schemeClr w14:val="tx1"/>
            </w14:solidFill>
          </w14:textFill>
        </w:rPr>
        <w:t>V</w:t>
      </w:r>
      <w:r>
        <w:rPr>
          <w:rFonts w:hint="eastAsia" w:eastAsia="宋体" w:cs="Times New Roman"/>
          <w:color w:val="000000" w:themeColor="text1"/>
          <w:kern w:val="2"/>
          <w:sz w:val="24"/>
          <w:szCs w:val="24"/>
          <w:vertAlign w:val="subscript"/>
          <w:lang w:val="en-US" w:eastAsia="zh-CN" w:bidi="ar-SA"/>
          <w14:textFill>
            <w14:solidFill>
              <w14:schemeClr w14:val="tx1"/>
            </w14:solidFill>
          </w14:textFill>
        </w:rPr>
        <w:t>3</w:t>
      </w:r>
      <w:r>
        <w:rPr>
          <w:rFonts w:hint="eastAsia"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1578FDC2">
      <w:pPr>
        <w:keepNext w:val="0"/>
        <w:keepLines w:val="0"/>
        <w:pageBreakBefore w:val="0"/>
        <w:widowControl/>
        <w:tabs>
          <w:tab w:val="left" w:pos="2297"/>
          <w:tab w:val="center" w:pos="4393"/>
        </w:tabs>
        <w:kinsoku/>
        <w:wordWrap/>
        <w:overflowPunct/>
        <w:topLinePunct w:val="0"/>
        <w:bidi w:val="0"/>
        <w:adjustRightInd w:val="0"/>
        <w:snapToGrid w:val="0"/>
        <w:spacing w:line="500" w:lineRule="exact"/>
        <w:ind w:firstLine="480" w:firstLineChars="200"/>
        <w:jc w:val="left"/>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2"/>
          <w:sz w:val="24"/>
          <w:szCs w:val="24"/>
          <w:vertAlign w:val="baseline"/>
          <w:lang w:val="en-US" w:eastAsia="zh-CN" w:bidi="ar-SA"/>
          <w14:textFill>
            <w14:solidFill>
              <w14:schemeClr w14:val="tx1"/>
            </w14:solidFill>
          </w14:textFill>
        </w:rPr>
        <w:t>：无生产废水，因此V</w:t>
      </w:r>
      <w:r>
        <w:rPr>
          <w:rFonts w:hint="eastAsia"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2"/>
          <w:sz w:val="24"/>
          <w:szCs w:val="24"/>
          <w:vertAlign w:val="baseline"/>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eastAsia="宋体" w:cs="Times New Roman"/>
          <w:color w:val="000000" w:themeColor="text1"/>
          <w:kern w:val="2"/>
          <w:sz w:val="24"/>
          <w:szCs w:val="24"/>
          <w:vertAlign w:val="baseline"/>
          <w:lang w:val="en-US" w:eastAsia="zh-CN" w:bidi="ar-SA"/>
          <w14:textFill>
            <w14:solidFill>
              <w14:schemeClr w14:val="tx1"/>
            </w14:solidFill>
          </w14:textFill>
        </w:rPr>
        <w:t>。</w:t>
      </w:r>
    </w:p>
    <w:p w14:paraId="3523F1B1">
      <w:pPr>
        <w:keepNext w:val="0"/>
        <w:keepLines w:val="0"/>
        <w:pageBreakBefore w:val="0"/>
        <w:widowControl/>
        <w:tabs>
          <w:tab w:val="left" w:pos="2297"/>
          <w:tab w:val="center" w:pos="4393"/>
        </w:tabs>
        <w:kinsoku/>
        <w:wordWrap/>
        <w:overflowPunct/>
        <w:topLinePunct w:val="0"/>
        <w:bidi w:val="0"/>
        <w:adjustRightInd w:val="0"/>
        <w:snapToGrid w:val="0"/>
        <w:spacing w:line="500" w:lineRule="exact"/>
        <w:ind w:firstLine="480" w:firstLineChars="200"/>
        <w:jc w:val="left"/>
        <w:rPr>
          <w:rFonts w:hint="default"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总</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）max+V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0+90-10+15=95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p>
    <w:p w14:paraId="474C03A4">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公司设置300</w:t>
      </w:r>
      <w:bookmarkStart w:id="299" w:name="_GoBack"/>
      <w:bookmarkEnd w:id="299"/>
      <w:r>
        <w:rPr>
          <w:rFonts w:hint="default" w:ascii="Times New Roman" w:hAnsi="Times New Roman" w:eastAsia="宋体" w:cs="Times New Roman"/>
          <w:color w:val="auto"/>
          <w:kern w:val="2"/>
          <w:sz w:val="24"/>
          <w:szCs w:val="24"/>
          <w:highlight w:val="none"/>
          <w:lang w:val="en-US" w:eastAsia="zh-CN" w:bidi="ar-SA"/>
        </w:rPr>
        <w:t>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的事故池</w:t>
      </w:r>
      <w:r>
        <w:rPr>
          <w:rFonts w:hint="eastAsia" w:eastAsia="宋体" w:cs="Times New Roman"/>
          <w:color w:val="auto"/>
          <w:kern w:val="2"/>
          <w:sz w:val="24"/>
          <w:szCs w:val="24"/>
          <w:lang w:val="en-US" w:eastAsia="zh-CN" w:bidi="ar-SA"/>
        </w:rPr>
        <w:t>完全可</w:t>
      </w:r>
      <w:r>
        <w:rPr>
          <w:rFonts w:hint="default" w:ascii="Times New Roman" w:hAnsi="Times New Roman" w:eastAsia="宋体" w:cs="Times New Roman"/>
          <w:color w:val="auto"/>
          <w:kern w:val="2"/>
          <w:sz w:val="24"/>
          <w:szCs w:val="24"/>
          <w:lang w:val="en-US" w:eastAsia="zh-CN" w:bidi="ar-SA"/>
        </w:rPr>
        <w:t>满足事故状态下容纳事故废水</w:t>
      </w:r>
      <w:r>
        <w:rPr>
          <w:rFonts w:hint="eastAsia" w:ascii="Times New Roman" w:hAnsi="Times New Roman" w:eastAsia="宋体" w:cs="Times New Roman"/>
          <w:color w:val="auto"/>
          <w:kern w:val="2"/>
          <w:sz w:val="24"/>
          <w:szCs w:val="24"/>
          <w:lang w:val="en-US" w:eastAsia="zh-CN" w:bidi="ar-SA"/>
        </w:rPr>
        <w:t>。</w:t>
      </w:r>
    </w:p>
    <w:p w14:paraId="19B9BA24">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厂区事故池平时必须为空池，以便紧急状态下接纳大量事故废水</w:t>
      </w:r>
      <w:r>
        <w:rPr>
          <w:rFonts w:hint="eastAsia" w:ascii="Times New Roman" w:hAnsi="Times New Roman" w:eastAsia="宋体" w:cs="Times New Roman"/>
          <w:color w:val="auto"/>
          <w:kern w:val="2"/>
          <w:sz w:val="24"/>
          <w:szCs w:val="24"/>
          <w:lang w:val="en-US" w:eastAsia="zh-CN" w:bidi="ar-SA"/>
        </w:rPr>
        <w:t>。</w:t>
      </w:r>
    </w:p>
    <w:p w14:paraId="4E96D5A9">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29" w:name="_Toc1474"/>
      <w:bookmarkStart w:id="130" w:name="_Toc13078"/>
      <w:r>
        <w:rPr>
          <w:rFonts w:hint="default" w:ascii="Times New Roman" w:hAnsi="Times New Roman" w:eastAsia="宋体" w:cs="Times New Roman"/>
          <w:sz w:val="24"/>
          <w:szCs w:val="24"/>
        </w:rPr>
        <w:t>3.</w:t>
      </w:r>
      <w:r>
        <w:rPr>
          <w:rFonts w:hint="eastAsia" w:cs="Times New Roman"/>
          <w:sz w:val="24"/>
          <w:szCs w:val="24"/>
          <w:lang w:val="en-US" w:eastAsia="zh-CN"/>
        </w:rPr>
        <w:t>8.2</w:t>
      </w:r>
      <w:r>
        <w:rPr>
          <w:rFonts w:hint="eastAsia" w:eastAsia="宋体" w:cs="Times New Roman"/>
          <w:sz w:val="24"/>
          <w:szCs w:val="24"/>
          <w:lang w:val="en-US" w:eastAsia="zh-CN"/>
        </w:rPr>
        <w:t>应急物资及装备情况</w:t>
      </w:r>
      <w:bookmarkEnd w:id="129"/>
      <w:bookmarkEnd w:id="130"/>
    </w:p>
    <w:p w14:paraId="1D177D4F">
      <w:pPr>
        <w:pStyle w:val="13"/>
        <w:spacing w:before="0" w:after="0" w:line="500" w:lineRule="exact"/>
        <w:ind w:left="0" w:right="0" w:firstLine="440" w:firstLineChars="200"/>
        <w:jc w:val="both"/>
        <w:rPr>
          <w:rFonts w:hint="default" w:eastAsia="宋体"/>
        </w:rPr>
      </w:pPr>
      <w:r>
        <w:rPr>
          <w:rFonts w:hint="default" w:eastAsia="宋体"/>
          <w:spacing w:val="-10"/>
        </w:rPr>
        <w:t>应急物资、应急装备是突发环境事件应急救援的重要物质保障，也是保证应</w:t>
      </w:r>
      <w:r>
        <w:rPr>
          <w:rFonts w:hint="default" w:eastAsia="宋体"/>
          <w:spacing w:val="-3"/>
        </w:rPr>
        <w:t>急队伍有效开展工作的基础，本公司的应急物资及装备见表</w:t>
      </w:r>
      <w:r>
        <w:rPr>
          <w:rFonts w:hint="default" w:ascii="Times New Roman" w:eastAsia="宋体"/>
        </w:rPr>
        <w:t>3-</w:t>
      </w:r>
      <w:r>
        <w:rPr>
          <w:rFonts w:hint="eastAsia" w:eastAsia="宋体" w:cs="Times New Roman"/>
          <w:lang w:val="en-US" w:eastAsia="zh-CN"/>
        </w:rPr>
        <w:t>20</w:t>
      </w:r>
      <w:r>
        <w:rPr>
          <w:rFonts w:hint="default" w:eastAsia="宋体"/>
        </w:rPr>
        <w:t>。</w:t>
      </w:r>
    </w:p>
    <w:p w14:paraId="5397CA44">
      <w:pPr>
        <w:pStyle w:val="13"/>
        <w:spacing w:before="0" w:after="0"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20</w:t>
      </w:r>
      <w:r>
        <w:rPr>
          <w:rFonts w:hint="default" w:ascii="Times New Roman" w:hAnsi="Times New Roman" w:eastAsia="宋体" w:cs="Times New Roman"/>
          <w:b/>
          <w:bCs/>
          <w:highlight w:val="none"/>
        </w:rPr>
        <w:t>应急物资及装备一览</w:t>
      </w:r>
      <w:r>
        <w:rPr>
          <w:rFonts w:hint="default" w:ascii="Times New Roman" w:hAnsi="Times New Roman" w:eastAsia="宋体" w:cs="Times New Roman"/>
          <w:b/>
          <w:bCs/>
        </w:rPr>
        <w:t>表</w:t>
      </w:r>
    </w:p>
    <w:tbl>
      <w:tblPr>
        <w:tblStyle w:val="37"/>
        <w:tblW w:w="87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259"/>
        <w:gridCol w:w="2216"/>
        <w:gridCol w:w="1806"/>
        <w:gridCol w:w="832"/>
        <w:gridCol w:w="2674"/>
      </w:tblGrid>
      <w:tr w14:paraId="2FD85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noWrap w:val="0"/>
            <w:tcMar>
              <w:top w:w="0" w:type="dxa"/>
              <w:left w:w="108" w:type="dxa"/>
              <w:bottom w:w="0" w:type="dxa"/>
              <w:right w:w="108" w:type="dxa"/>
            </w:tcMar>
            <w:vAlign w:val="center"/>
          </w:tcPr>
          <w:p w14:paraId="6119001C">
            <w:pPr>
              <w:pStyle w:val="194"/>
              <w:jc w:val="center"/>
              <w:rPr>
                <w:rFonts w:hint="default"/>
                <w:b w:val="0"/>
                <w:bCs w:val="0"/>
                <w:color w:val="000000"/>
                <w:kern w:val="2"/>
                <w:szCs w:val="21"/>
              </w:rPr>
            </w:pPr>
            <w:r>
              <w:rPr>
                <w:rFonts w:hint="default"/>
                <w:b w:val="0"/>
                <w:bCs w:val="0"/>
                <w:color w:val="000000"/>
                <w:kern w:val="2"/>
                <w:szCs w:val="21"/>
              </w:rPr>
              <w:t>类别</w:t>
            </w:r>
          </w:p>
        </w:tc>
        <w:tc>
          <w:tcPr>
            <w:tcW w:w="2216" w:type="dxa"/>
            <w:noWrap w:val="0"/>
            <w:tcMar>
              <w:top w:w="0" w:type="dxa"/>
              <w:left w:w="108" w:type="dxa"/>
              <w:bottom w:w="0" w:type="dxa"/>
              <w:right w:w="108" w:type="dxa"/>
            </w:tcMar>
            <w:vAlign w:val="center"/>
          </w:tcPr>
          <w:p w14:paraId="4D8B5DA9">
            <w:pPr>
              <w:pStyle w:val="194"/>
              <w:jc w:val="center"/>
              <w:rPr>
                <w:rFonts w:hint="default"/>
                <w:b w:val="0"/>
                <w:bCs w:val="0"/>
                <w:color w:val="000000"/>
                <w:kern w:val="2"/>
                <w:szCs w:val="21"/>
              </w:rPr>
            </w:pPr>
            <w:r>
              <w:rPr>
                <w:rFonts w:hint="default"/>
                <w:b w:val="0"/>
                <w:bCs w:val="0"/>
                <w:color w:val="000000"/>
                <w:kern w:val="2"/>
                <w:szCs w:val="21"/>
              </w:rPr>
              <w:t>器材名称</w:t>
            </w:r>
          </w:p>
        </w:tc>
        <w:tc>
          <w:tcPr>
            <w:tcW w:w="1806" w:type="dxa"/>
            <w:noWrap w:val="0"/>
            <w:tcMar>
              <w:top w:w="0" w:type="dxa"/>
              <w:left w:w="108" w:type="dxa"/>
              <w:bottom w:w="0" w:type="dxa"/>
              <w:right w:w="108" w:type="dxa"/>
            </w:tcMar>
            <w:vAlign w:val="center"/>
          </w:tcPr>
          <w:p w14:paraId="04882E7C">
            <w:pPr>
              <w:pStyle w:val="194"/>
              <w:jc w:val="center"/>
              <w:rPr>
                <w:rFonts w:hint="default"/>
                <w:b w:val="0"/>
                <w:bCs w:val="0"/>
                <w:color w:val="000000"/>
                <w:kern w:val="2"/>
                <w:szCs w:val="21"/>
              </w:rPr>
            </w:pPr>
            <w:r>
              <w:rPr>
                <w:rFonts w:hint="default"/>
                <w:b w:val="0"/>
                <w:bCs w:val="0"/>
                <w:color w:val="000000"/>
                <w:kern w:val="2"/>
                <w:szCs w:val="21"/>
              </w:rPr>
              <w:t>用途</w:t>
            </w:r>
          </w:p>
        </w:tc>
        <w:tc>
          <w:tcPr>
            <w:tcW w:w="832" w:type="dxa"/>
            <w:noWrap w:val="0"/>
            <w:tcMar>
              <w:top w:w="0" w:type="dxa"/>
              <w:left w:w="108" w:type="dxa"/>
              <w:bottom w:w="0" w:type="dxa"/>
              <w:right w:w="108" w:type="dxa"/>
            </w:tcMar>
            <w:vAlign w:val="center"/>
          </w:tcPr>
          <w:p w14:paraId="63726335">
            <w:pPr>
              <w:pStyle w:val="194"/>
              <w:jc w:val="center"/>
              <w:rPr>
                <w:rFonts w:hint="default"/>
                <w:b w:val="0"/>
                <w:bCs w:val="0"/>
                <w:color w:val="000000"/>
                <w:kern w:val="2"/>
                <w:szCs w:val="21"/>
              </w:rPr>
            </w:pPr>
            <w:r>
              <w:rPr>
                <w:rFonts w:hint="default"/>
                <w:b w:val="0"/>
                <w:bCs w:val="0"/>
                <w:color w:val="000000"/>
                <w:kern w:val="2"/>
                <w:szCs w:val="21"/>
              </w:rPr>
              <w:t>数量</w:t>
            </w:r>
          </w:p>
        </w:tc>
        <w:tc>
          <w:tcPr>
            <w:tcW w:w="2674" w:type="dxa"/>
            <w:noWrap w:val="0"/>
            <w:tcMar>
              <w:top w:w="0" w:type="dxa"/>
              <w:left w:w="108" w:type="dxa"/>
              <w:bottom w:w="0" w:type="dxa"/>
              <w:right w:w="108" w:type="dxa"/>
            </w:tcMar>
            <w:vAlign w:val="center"/>
          </w:tcPr>
          <w:p w14:paraId="48F8FCDD">
            <w:pPr>
              <w:pStyle w:val="194"/>
              <w:jc w:val="center"/>
              <w:rPr>
                <w:rFonts w:hint="default"/>
                <w:b w:val="0"/>
                <w:bCs w:val="0"/>
                <w:color w:val="000000"/>
                <w:kern w:val="2"/>
                <w:szCs w:val="21"/>
              </w:rPr>
            </w:pPr>
            <w:r>
              <w:rPr>
                <w:rFonts w:hint="default"/>
                <w:b w:val="0"/>
                <w:bCs w:val="0"/>
                <w:color w:val="000000"/>
                <w:kern w:val="2"/>
                <w:szCs w:val="21"/>
              </w:rPr>
              <w:t>设置地点</w:t>
            </w:r>
          </w:p>
        </w:tc>
      </w:tr>
      <w:tr w14:paraId="46E88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4C24D690">
            <w:pPr>
              <w:pStyle w:val="194"/>
              <w:jc w:val="center"/>
              <w:rPr>
                <w:rFonts w:hint="default"/>
                <w:b w:val="0"/>
                <w:bCs w:val="0"/>
                <w:color w:val="000000"/>
                <w:kern w:val="2"/>
                <w:szCs w:val="21"/>
              </w:rPr>
            </w:pPr>
            <w:r>
              <w:rPr>
                <w:rFonts w:hint="default"/>
                <w:b w:val="0"/>
                <w:bCs w:val="0"/>
                <w:color w:val="000000"/>
                <w:kern w:val="2"/>
                <w:szCs w:val="21"/>
              </w:rPr>
              <w:t>消防设施、设备</w:t>
            </w:r>
          </w:p>
        </w:tc>
        <w:tc>
          <w:tcPr>
            <w:tcW w:w="2216" w:type="dxa"/>
            <w:noWrap w:val="0"/>
            <w:tcMar>
              <w:top w:w="0" w:type="dxa"/>
              <w:left w:w="108" w:type="dxa"/>
              <w:bottom w:w="0" w:type="dxa"/>
              <w:right w:w="108" w:type="dxa"/>
            </w:tcMar>
            <w:vAlign w:val="center"/>
          </w:tcPr>
          <w:p w14:paraId="4710188E">
            <w:pPr>
              <w:pStyle w:val="194"/>
              <w:jc w:val="center"/>
              <w:rPr>
                <w:rFonts w:hint="default"/>
                <w:b w:val="0"/>
                <w:bCs w:val="0"/>
                <w:color w:val="000000"/>
                <w:kern w:val="2"/>
                <w:szCs w:val="21"/>
              </w:rPr>
            </w:pPr>
            <w:r>
              <w:rPr>
                <w:rFonts w:hint="default"/>
                <w:b w:val="0"/>
                <w:bCs w:val="0"/>
                <w:color w:val="000000"/>
                <w:kern w:val="2"/>
                <w:szCs w:val="21"/>
              </w:rPr>
              <w:t>灭火器</w:t>
            </w:r>
          </w:p>
        </w:tc>
        <w:tc>
          <w:tcPr>
            <w:tcW w:w="1806" w:type="dxa"/>
            <w:noWrap w:val="0"/>
            <w:tcMar>
              <w:top w:w="0" w:type="dxa"/>
              <w:left w:w="108" w:type="dxa"/>
              <w:bottom w:w="0" w:type="dxa"/>
              <w:right w:w="108" w:type="dxa"/>
            </w:tcMar>
            <w:vAlign w:val="center"/>
          </w:tcPr>
          <w:p w14:paraId="35295C2D">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28915A0B">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300个</w:t>
            </w:r>
          </w:p>
        </w:tc>
        <w:tc>
          <w:tcPr>
            <w:tcW w:w="2674" w:type="dxa"/>
            <w:noWrap w:val="0"/>
            <w:tcMar>
              <w:top w:w="0" w:type="dxa"/>
              <w:left w:w="108" w:type="dxa"/>
              <w:bottom w:w="0" w:type="dxa"/>
              <w:right w:w="108" w:type="dxa"/>
            </w:tcMar>
            <w:vAlign w:val="center"/>
          </w:tcPr>
          <w:p w14:paraId="1138D816">
            <w:pPr>
              <w:pStyle w:val="194"/>
              <w:ind w:firstLine="480" w:firstLineChars="200"/>
              <w:jc w:val="both"/>
              <w:rPr>
                <w:rFonts w:hint="eastAsia"/>
                <w:lang w:val="en-US" w:eastAsia="zh-CN"/>
              </w:rPr>
            </w:pPr>
            <w:r>
              <w:rPr>
                <w:rFonts w:hint="eastAsia"/>
                <w:b w:val="0"/>
                <w:bCs w:val="0"/>
                <w:color w:val="000000"/>
                <w:kern w:val="2"/>
                <w:szCs w:val="21"/>
                <w:lang w:val="en-US" w:eastAsia="zh-CN"/>
              </w:rPr>
              <w:t>车间、办公楼</w:t>
            </w:r>
          </w:p>
        </w:tc>
      </w:tr>
      <w:tr w14:paraId="139D6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7C232F87">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2437F1B">
            <w:pPr>
              <w:pStyle w:val="194"/>
              <w:jc w:val="center"/>
              <w:rPr>
                <w:rFonts w:hint="default"/>
                <w:b w:val="0"/>
                <w:bCs w:val="0"/>
                <w:color w:val="000000"/>
                <w:kern w:val="2"/>
                <w:szCs w:val="21"/>
              </w:rPr>
            </w:pPr>
            <w:r>
              <w:rPr>
                <w:rFonts w:hint="default"/>
                <w:b w:val="0"/>
                <w:bCs w:val="0"/>
                <w:color w:val="000000"/>
                <w:kern w:val="2"/>
                <w:szCs w:val="21"/>
              </w:rPr>
              <w:t>消防水带</w:t>
            </w:r>
          </w:p>
        </w:tc>
        <w:tc>
          <w:tcPr>
            <w:tcW w:w="1806" w:type="dxa"/>
            <w:noWrap w:val="0"/>
            <w:tcMar>
              <w:top w:w="0" w:type="dxa"/>
              <w:left w:w="108" w:type="dxa"/>
              <w:bottom w:w="0" w:type="dxa"/>
              <w:right w:w="108" w:type="dxa"/>
            </w:tcMar>
            <w:vAlign w:val="center"/>
          </w:tcPr>
          <w:p w14:paraId="341E5E2D">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0B86128F">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125条</w:t>
            </w:r>
          </w:p>
        </w:tc>
        <w:tc>
          <w:tcPr>
            <w:tcW w:w="2674" w:type="dxa"/>
            <w:noWrap w:val="0"/>
            <w:tcMar>
              <w:top w:w="0" w:type="dxa"/>
              <w:left w:w="108" w:type="dxa"/>
              <w:bottom w:w="0" w:type="dxa"/>
              <w:right w:w="108" w:type="dxa"/>
            </w:tcMar>
            <w:vAlign w:val="center"/>
          </w:tcPr>
          <w:p w14:paraId="195E91CA">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车间、办公楼、宿舍楼</w:t>
            </w:r>
          </w:p>
        </w:tc>
      </w:tr>
      <w:tr w14:paraId="2323D9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1FF9A6EE">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0FA3BA8">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黄沙箱</w:t>
            </w:r>
          </w:p>
        </w:tc>
        <w:tc>
          <w:tcPr>
            <w:tcW w:w="1806" w:type="dxa"/>
            <w:noWrap w:val="0"/>
            <w:tcMar>
              <w:top w:w="0" w:type="dxa"/>
              <w:left w:w="108" w:type="dxa"/>
              <w:bottom w:w="0" w:type="dxa"/>
              <w:right w:w="108" w:type="dxa"/>
            </w:tcMar>
            <w:vAlign w:val="center"/>
          </w:tcPr>
          <w:p w14:paraId="0F2DE63E">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1F61503A">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8个</w:t>
            </w:r>
          </w:p>
        </w:tc>
        <w:tc>
          <w:tcPr>
            <w:tcW w:w="2674" w:type="dxa"/>
            <w:noWrap w:val="0"/>
            <w:tcMar>
              <w:top w:w="0" w:type="dxa"/>
              <w:left w:w="108" w:type="dxa"/>
              <w:bottom w:w="0" w:type="dxa"/>
              <w:right w:w="108" w:type="dxa"/>
            </w:tcMar>
            <w:vAlign w:val="center"/>
          </w:tcPr>
          <w:p w14:paraId="44D2556B">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配电房，危废仓库</w:t>
            </w:r>
          </w:p>
        </w:tc>
      </w:tr>
      <w:tr w14:paraId="61A8E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4A0538E5">
            <w:pPr>
              <w:pStyle w:val="194"/>
              <w:jc w:val="center"/>
              <w:rPr>
                <w:rFonts w:hint="default"/>
                <w:b w:val="0"/>
                <w:bCs w:val="0"/>
                <w:color w:val="000000"/>
                <w:kern w:val="2"/>
                <w:szCs w:val="21"/>
              </w:rPr>
            </w:pPr>
            <w:r>
              <w:rPr>
                <w:rFonts w:hint="default"/>
                <w:b w:val="0"/>
                <w:bCs w:val="0"/>
                <w:color w:val="000000"/>
                <w:kern w:val="2"/>
                <w:szCs w:val="21"/>
              </w:rPr>
              <w:t>现场抢险设施、设备</w:t>
            </w:r>
          </w:p>
        </w:tc>
        <w:tc>
          <w:tcPr>
            <w:tcW w:w="2216" w:type="dxa"/>
            <w:noWrap w:val="0"/>
            <w:tcMar>
              <w:top w:w="0" w:type="dxa"/>
              <w:left w:w="108" w:type="dxa"/>
              <w:bottom w:w="0" w:type="dxa"/>
              <w:right w:w="108" w:type="dxa"/>
            </w:tcMar>
            <w:vAlign w:val="center"/>
          </w:tcPr>
          <w:p w14:paraId="6278697B">
            <w:pPr>
              <w:pStyle w:val="194"/>
              <w:jc w:val="center"/>
              <w:rPr>
                <w:rFonts w:hint="default"/>
                <w:b w:val="0"/>
                <w:bCs w:val="0"/>
                <w:color w:val="000000"/>
                <w:kern w:val="2"/>
                <w:szCs w:val="21"/>
              </w:rPr>
            </w:pPr>
            <w:r>
              <w:rPr>
                <w:rFonts w:hint="default"/>
                <w:b w:val="0"/>
                <w:bCs w:val="0"/>
                <w:color w:val="000000"/>
                <w:kern w:val="2"/>
                <w:szCs w:val="21"/>
              </w:rPr>
              <w:t>应急照明、出口灯</w:t>
            </w:r>
          </w:p>
        </w:tc>
        <w:tc>
          <w:tcPr>
            <w:tcW w:w="1806" w:type="dxa"/>
            <w:noWrap w:val="0"/>
            <w:tcMar>
              <w:top w:w="0" w:type="dxa"/>
              <w:left w:w="108" w:type="dxa"/>
              <w:bottom w:w="0" w:type="dxa"/>
              <w:right w:w="108" w:type="dxa"/>
            </w:tcMar>
            <w:vAlign w:val="center"/>
          </w:tcPr>
          <w:p w14:paraId="2EEF189E">
            <w:pPr>
              <w:pStyle w:val="194"/>
              <w:jc w:val="center"/>
              <w:rPr>
                <w:rFonts w:hint="default"/>
                <w:b w:val="0"/>
                <w:bCs w:val="0"/>
                <w:color w:val="000000"/>
                <w:kern w:val="2"/>
                <w:szCs w:val="21"/>
              </w:rPr>
            </w:pPr>
            <w:r>
              <w:rPr>
                <w:rFonts w:hint="default"/>
                <w:b w:val="0"/>
                <w:bCs w:val="0"/>
                <w:color w:val="000000"/>
                <w:kern w:val="2"/>
                <w:szCs w:val="21"/>
              </w:rPr>
              <w:t>停电用</w:t>
            </w:r>
          </w:p>
        </w:tc>
        <w:tc>
          <w:tcPr>
            <w:tcW w:w="832" w:type="dxa"/>
            <w:noWrap w:val="0"/>
            <w:tcMar>
              <w:top w:w="0" w:type="dxa"/>
              <w:left w:w="108" w:type="dxa"/>
              <w:bottom w:w="0" w:type="dxa"/>
              <w:right w:w="108" w:type="dxa"/>
            </w:tcMar>
            <w:vAlign w:val="center"/>
          </w:tcPr>
          <w:p w14:paraId="539FCAD9">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200</w:t>
            </w:r>
          </w:p>
        </w:tc>
        <w:tc>
          <w:tcPr>
            <w:tcW w:w="2674" w:type="dxa"/>
            <w:noWrap w:val="0"/>
            <w:tcMar>
              <w:top w:w="0" w:type="dxa"/>
              <w:left w:w="108" w:type="dxa"/>
              <w:bottom w:w="0" w:type="dxa"/>
              <w:right w:w="108" w:type="dxa"/>
            </w:tcMar>
            <w:vAlign w:val="center"/>
          </w:tcPr>
          <w:p w14:paraId="00D17863">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车间、办公楼、宿舍楼</w:t>
            </w:r>
          </w:p>
        </w:tc>
      </w:tr>
      <w:tr w14:paraId="26855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438B2FE">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3E507AE8">
            <w:pPr>
              <w:pStyle w:val="194"/>
              <w:jc w:val="center"/>
              <w:rPr>
                <w:rFonts w:hint="default"/>
                <w:b w:val="0"/>
                <w:bCs w:val="0"/>
                <w:color w:val="000000"/>
                <w:kern w:val="2"/>
                <w:szCs w:val="21"/>
              </w:rPr>
            </w:pPr>
            <w:r>
              <w:rPr>
                <w:rFonts w:hint="default"/>
                <w:b w:val="0"/>
                <w:bCs w:val="0"/>
                <w:color w:val="000000"/>
                <w:kern w:val="2"/>
                <w:szCs w:val="21"/>
              </w:rPr>
              <w:t>铁铲</w:t>
            </w:r>
          </w:p>
        </w:tc>
        <w:tc>
          <w:tcPr>
            <w:tcW w:w="1806" w:type="dxa"/>
            <w:noWrap w:val="0"/>
            <w:tcMar>
              <w:top w:w="0" w:type="dxa"/>
              <w:left w:w="108" w:type="dxa"/>
              <w:bottom w:w="0" w:type="dxa"/>
              <w:right w:w="108" w:type="dxa"/>
            </w:tcMar>
            <w:vAlign w:val="center"/>
          </w:tcPr>
          <w:p w14:paraId="1C5D9A4B">
            <w:pPr>
              <w:pStyle w:val="194"/>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720555C4">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8把</w:t>
            </w:r>
          </w:p>
        </w:tc>
        <w:tc>
          <w:tcPr>
            <w:tcW w:w="2674" w:type="dxa"/>
            <w:noWrap w:val="0"/>
            <w:tcMar>
              <w:top w:w="0" w:type="dxa"/>
              <w:left w:w="108" w:type="dxa"/>
              <w:bottom w:w="0" w:type="dxa"/>
              <w:right w:w="108" w:type="dxa"/>
            </w:tcMar>
            <w:vAlign w:val="center"/>
          </w:tcPr>
          <w:p w14:paraId="7E29EF60">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配电房，危废仓库</w:t>
            </w:r>
          </w:p>
        </w:tc>
      </w:tr>
      <w:tr w14:paraId="63E22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2553E2B4">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3C78EACA">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灭火毯</w:t>
            </w:r>
          </w:p>
        </w:tc>
        <w:tc>
          <w:tcPr>
            <w:tcW w:w="1806" w:type="dxa"/>
            <w:noWrap w:val="0"/>
            <w:tcMar>
              <w:top w:w="0" w:type="dxa"/>
              <w:left w:w="108" w:type="dxa"/>
              <w:bottom w:w="0" w:type="dxa"/>
              <w:right w:w="108" w:type="dxa"/>
            </w:tcMar>
            <w:vAlign w:val="center"/>
          </w:tcPr>
          <w:p w14:paraId="0708F5F6">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灭火用</w:t>
            </w:r>
          </w:p>
        </w:tc>
        <w:tc>
          <w:tcPr>
            <w:tcW w:w="832" w:type="dxa"/>
            <w:noWrap w:val="0"/>
            <w:tcMar>
              <w:top w:w="0" w:type="dxa"/>
              <w:left w:w="108" w:type="dxa"/>
              <w:bottom w:w="0" w:type="dxa"/>
              <w:right w:w="108" w:type="dxa"/>
            </w:tcMar>
            <w:vAlign w:val="center"/>
          </w:tcPr>
          <w:p w14:paraId="0E70DD72">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0</w:t>
            </w:r>
          </w:p>
        </w:tc>
        <w:tc>
          <w:tcPr>
            <w:tcW w:w="2674" w:type="dxa"/>
            <w:noWrap w:val="0"/>
            <w:tcMar>
              <w:top w:w="0" w:type="dxa"/>
              <w:left w:w="108" w:type="dxa"/>
              <w:bottom w:w="0" w:type="dxa"/>
              <w:right w:w="108" w:type="dxa"/>
            </w:tcMar>
            <w:vAlign w:val="center"/>
          </w:tcPr>
          <w:p w14:paraId="165FEB8F">
            <w:pPr>
              <w:pStyle w:val="194"/>
              <w:ind w:firstLine="0" w:firstLineChars="0"/>
              <w:jc w:val="center"/>
              <w:rPr>
                <w:rFonts w:hint="default"/>
                <w:b w:val="0"/>
                <w:bCs w:val="0"/>
                <w:color w:val="000000"/>
                <w:kern w:val="2"/>
                <w:szCs w:val="21"/>
              </w:rPr>
            </w:pPr>
          </w:p>
        </w:tc>
      </w:tr>
      <w:tr w14:paraId="2D3F19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180B7BA">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CC284CE">
            <w:pPr>
              <w:pStyle w:val="194"/>
              <w:jc w:val="center"/>
              <w:rPr>
                <w:rFonts w:hint="eastAsia"/>
                <w:b w:val="0"/>
                <w:bCs w:val="0"/>
                <w:color w:val="000000"/>
                <w:kern w:val="2"/>
                <w:szCs w:val="21"/>
                <w:lang w:eastAsia="zh-CN"/>
              </w:rPr>
            </w:pPr>
            <w:r>
              <w:rPr>
                <w:rFonts w:hint="eastAsia"/>
                <w:b w:val="0"/>
                <w:bCs w:val="0"/>
                <w:color w:val="000000"/>
                <w:kern w:val="2"/>
                <w:szCs w:val="21"/>
                <w:lang w:val="en-US" w:eastAsia="zh-CN"/>
              </w:rPr>
              <w:t>消防服</w:t>
            </w:r>
          </w:p>
        </w:tc>
        <w:tc>
          <w:tcPr>
            <w:tcW w:w="1806" w:type="dxa"/>
            <w:noWrap w:val="0"/>
            <w:tcMar>
              <w:top w:w="0" w:type="dxa"/>
              <w:left w:w="108" w:type="dxa"/>
              <w:bottom w:w="0" w:type="dxa"/>
              <w:right w:w="108" w:type="dxa"/>
            </w:tcMar>
            <w:vAlign w:val="center"/>
          </w:tcPr>
          <w:p w14:paraId="6981A3BD">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18E862EE">
            <w:pPr>
              <w:rPr>
                <w:rFonts w:hint="default" w:eastAsiaTheme="minorEastAsia"/>
                <w:lang w:val="en-US" w:eastAsia="zh-CN"/>
              </w:rPr>
            </w:pPr>
            <w:r>
              <w:rPr>
                <w:rFonts w:hint="eastAsia"/>
                <w:b w:val="0"/>
                <w:bCs w:val="0"/>
                <w:color w:val="000000"/>
                <w:kern w:val="2"/>
                <w:szCs w:val="21"/>
                <w:lang w:val="en-US" w:eastAsia="zh-CN"/>
              </w:rPr>
              <w:t>50套</w:t>
            </w:r>
          </w:p>
        </w:tc>
        <w:tc>
          <w:tcPr>
            <w:tcW w:w="2674" w:type="dxa"/>
            <w:noWrap w:val="0"/>
            <w:tcMar>
              <w:top w:w="0" w:type="dxa"/>
              <w:left w:w="108" w:type="dxa"/>
              <w:bottom w:w="0" w:type="dxa"/>
              <w:right w:w="108" w:type="dxa"/>
            </w:tcMar>
            <w:vAlign w:val="center"/>
          </w:tcPr>
          <w:p w14:paraId="2E9A8CC8">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微型消防站及车间</w:t>
            </w:r>
          </w:p>
        </w:tc>
      </w:tr>
      <w:tr w14:paraId="4519D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4E71584">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DDA6DDF">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消防靴</w:t>
            </w:r>
          </w:p>
        </w:tc>
        <w:tc>
          <w:tcPr>
            <w:tcW w:w="1806" w:type="dxa"/>
            <w:noWrap w:val="0"/>
            <w:tcMar>
              <w:top w:w="0" w:type="dxa"/>
              <w:left w:w="108" w:type="dxa"/>
              <w:bottom w:w="0" w:type="dxa"/>
              <w:right w:w="108" w:type="dxa"/>
            </w:tcMar>
            <w:vAlign w:val="center"/>
          </w:tcPr>
          <w:p w14:paraId="293C1834">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0FB4E533">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50双</w:t>
            </w:r>
          </w:p>
        </w:tc>
        <w:tc>
          <w:tcPr>
            <w:tcW w:w="2674" w:type="dxa"/>
            <w:noWrap w:val="0"/>
            <w:tcMar>
              <w:top w:w="0" w:type="dxa"/>
              <w:left w:w="108" w:type="dxa"/>
              <w:bottom w:w="0" w:type="dxa"/>
              <w:right w:w="108" w:type="dxa"/>
            </w:tcMar>
            <w:vAlign w:val="center"/>
          </w:tcPr>
          <w:p w14:paraId="5CB3EC1A">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微型消防站及车间</w:t>
            </w:r>
          </w:p>
        </w:tc>
      </w:tr>
      <w:tr w14:paraId="468CB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7E56B674">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2A5299E9">
            <w:pPr>
              <w:pStyle w:val="194"/>
              <w:jc w:val="center"/>
              <w:rPr>
                <w:rFonts w:hint="default"/>
                <w:b w:val="0"/>
                <w:bCs w:val="0"/>
                <w:color w:val="000000"/>
                <w:kern w:val="2"/>
                <w:szCs w:val="21"/>
              </w:rPr>
            </w:pPr>
            <w:r>
              <w:rPr>
                <w:rFonts w:hint="default"/>
                <w:b w:val="0"/>
                <w:bCs w:val="0"/>
                <w:color w:val="000000"/>
                <w:kern w:val="2"/>
                <w:szCs w:val="21"/>
              </w:rPr>
              <w:t>安全帽</w:t>
            </w:r>
          </w:p>
        </w:tc>
        <w:tc>
          <w:tcPr>
            <w:tcW w:w="1806" w:type="dxa"/>
            <w:noWrap w:val="0"/>
            <w:tcMar>
              <w:top w:w="0" w:type="dxa"/>
              <w:left w:w="108" w:type="dxa"/>
              <w:bottom w:w="0" w:type="dxa"/>
              <w:right w:w="108" w:type="dxa"/>
            </w:tcMar>
            <w:vAlign w:val="center"/>
          </w:tcPr>
          <w:p w14:paraId="13D0D12C">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2C055ED2">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50顶</w:t>
            </w:r>
          </w:p>
        </w:tc>
        <w:tc>
          <w:tcPr>
            <w:tcW w:w="2674" w:type="dxa"/>
            <w:noWrap w:val="0"/>
            <w:tcMar>
              <w:top w:w="0" w:type="dxa"/>
              <w:left w:w="108" w:type="dxa"/>
              <w:bottom w:w="0" w:type="dxa"/>
              <w:right w:w="108" w:type="dxa"/>
            </w:tcMar>
            <w:vAlign w:val="center"/>
          </w:tcPr>
          <w:p w14:paraId="075FF40A">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微型消防站及车间</w:t>
            </w:r>
          </w:p>
        </w:tc>
      </w:tr>
      <w:tr w14:paraId="5DB45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1CB18BC9">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525E9D1">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防毒面具</w:t>
            </w:r>
          </w:p>
        </w:tc>
        <w:tc>
          <w:tcPr>
            <w:tcW w:w="1806" w:type="dxa"/>
            <w:noWrap w:val="0"/>
            <w:tcMar>
              <w:top w:w="0" w:type="dxa"/>
              <w:left w:w="108" w:type="dxa"/>
              <w:bottom w:w="0" w:type="dxa"/>
              <w:right w:w="108" w:type="dxa"/>
            </w:tcMar>
            <w:vAlign w:val="center"/>
          </w:tcPr>
          <w:p w14:paraId="405ED239">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7F25CE7F">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50个</w:t>
            </w:r>
          </w:p>
        </w:tc>
        <w:tc>
          <w:tcPr>
            <w:tcW w:w="2674" w:type="dxa"/>
            <w:noWrap w:val="0"/>
            <w:tcMar>
              <w:top w:w="0" w:type="dxa"/>
              <w:left w:w="108" w:type="dxa"/>
              <w:bottom w:w="0" w:type="dxa"/>
              <w:right w:w="108" w:type="dxa"/>
            </w:tcMar>
            <w:vAlign w:val="center"/>
          </w:tcPr>
          <w:p w14:paraId="12999C14">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微型消防站及车间</w:t>
            </w:r>
          </w:p>
        </w:tc>
      </w:tr>
      <w:tr w14:paraId="3B5AC4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0DD4BEF8">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EF54830">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正压式呼吸器</w:t>
            </w:r>
          </w:p>
        </w:tc>
        <w:tc>
          <w:tcPr>
            <w:tcW w:w="1806" w:type="dxa"/>
            <w:noWrap w:val="0"/>
            <w:tcMar>
              <w:top w:w="0" w:type="dxa"/>
              <w:left w:w="108" w:type="dxa"/>
              <w:bottom w:w="0" w:type="dxa"/>
              <w:right w:w="108" w:type="dxa"/>
            </w:tcMar>
            <w:vAlign w:val="center"/>
          </w:tcPr>
          <w:p w14:paraId="6C6FFF94">
            <w:pPr>
              <w:pStyle w:val="194"/>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728C45B1">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2套</w:t>
            </w:r>
          </w:p>
        </w:tc>
        <w:tc>
          <w:tcPr>
            <w:tcW w:w="2674" w:type="dxa"/>
            <w:noWrap w:val="0"/>
            <w:tcMar>
              <w:top w:w="0" w:type="dxa"/>
              <w:left w:w="108" w:type="dxa"/>
              <w:bottom w:w="0" w:type="dxa"/>
              <w:right w:w="108" w:type="dxa"/>
            </w:tcMar>
            <w:vAlign w:val="center"/>
          </w:tcPr>
          <w:p w14:paraId="071DDA36">
            <w:pPr>
              <w:pStyle w:val="194"/>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微型消防站</w:t>
            </w:r>
          </w:p>
        </w:tc>
      </w:tr>
      <w:tr w14:paraId="2DED38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E9E9D77">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45EE64D8">
            <w:pPr>
              <w:pStyle w:val="194"/>
              <w:jc w:val="center"/>
              <w:rPr>
                <w:rFonts w:hint="default"/>
                <w:b w:val="0"/>
                <w:bCs w:val="0"/>
                <w:color w:val="000000"/>
                <w:kern w:val="2"/>
                <w:szCs w:val="21"/>
              </w:rPr>
            </w:pPr>
            <w:r>
              <w:rPr>
                <w:rFonts w:hint="default"/>
                <w:b w:val="0"/>
                <w:bCs w:val="0"/>
                <w:color w:val="000000"/>
                <w:kern w:val="2"/>
                <w:szCs w:val="21"/>
              </w:rPr>
              <w:t>应急泵</w:t>
            </w:r>
          </w:p>
        </w:tc>
        <w:tc>
          <w:tcPr>
            <w:tcW w:w="1806" w:type="dxa"/>
            <w:noWrap w:val="0"/>
            <w:tcMar>
              <w:top w:w="0" w:type="dxa"/>
              <w:left w:w="108" w:type="dxa"/>
              <w:bottom w:w="0" w:type="dxa"/>
              <w:right w:w="108" w:type="dxa"/>
            </w:tcMar>
            <w:vAlign w:val="center"/>
          </w:tcPr>
          <w:p w14:paraId="2A5EE67D">
            <w:pPr>
              <w:pStyle w:val="194"/>
              <w:jc w:val="center"/>
              <w:rPr>
                <w:rFonts w:hint="default"/>
                <w:b w:val="0"/>
                <w:bCs w:val="0"/>
                <w:color w:val="000000"/>
                <w:kern w:val="2"/>
                <w:szCs w:val="21"/>
              </w:rPr>
            </w:pPr>
            <w:r>
              <w:rPr>
                <w:rFonts w:hint="default"/>
                <w:b w:val="0"/>
                <w:bCs w:val="0"/>
                <w:color w:val="000000"/>
                <w:kern w:val="2"/>
                <w:szCs w:val="21"/>
              </w:rPr>
              <w:t>应急抽水用</w:t>
            </w:r>
          </w:p>
        </w:tc>
        <w:tc>
          <w:tcPr>
            <w:tcW w:w="832" w:type="dxa"/>
            <w:noWrap w:val="0"/>
            <w:tcMar>
              <w:top w:w="0" w:type="dxa"/>
              <w:left w:w="108" w:type="dxa"/>
              <w:bottom w:w="0" w:type="dxa"/>
              <w:right w:w="108" w:type="dxa"/>
            </w:tcMar>
            <w:vAlign w:val="center"/>
          </w:tcPr>
          <w:p w14:paraId="2AD87DB6">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1个</w:t>
            </w:r>
          </w:p>
        </w:tc>
        <w:tc>
          <w:tcPr>
            <w:tcW w:w="2674" w:type="dxa"/>
            <w:noWrap w:val="0"/>
            <w:tcMar>
              <w:top w:w="0" w:type="dxa"/>
              <w:left w:w="108" w:type="dxa"/>
              <w:bottom w:w="0" w:type="dxa"/>
              <w:right w:w="108" w:type="dxa"/>
            </w:tcMar>
            <w:vAlign w:val="center"/>
          </w:tcPr>
          <w:p w14:paraId="4E428491">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消防控制室</w:t>
            </w:r>
          </w:p>
        </w:tc>
      </w:tr>
      <w:tr w14:paraId="643FB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226D05FE">
            <w:pPr>
              <w:pStyle w:val="194"/>
              <w:jc w:val="center"/>
              <w:rPr>
                <w:rFonts w:hint="default"/>
                <w:b w:val="0"/>
                <w:bCs w:val="0"/>
                <w:color w:val="000000"/>
                <w:kern w:val="2"/>
                <w:szCs w:val="21"/>
              </w:rPr>
            </w:pPr>
            <w:r>
              <w:rPr>
                <w:rFonts w:hint="default"/>
                <w:b w:val="0"/>
                <w:bCs w:val="0"/>
                <w:color w:val="000000"/>
                <w:kern w:val="2"/>
                <w:szCs w:val="21"/>
              </w:rPr>
              <w:t>急救设施设备</w:t>
            </w:r>
          </w:p>
        </w:tc>
        <w:tc>
          <w:tcPr>
            <w:tcW w:w="2216" w:type="dxa"/>
            <w:noWrap w:val="0"/>
            <w:tcMar>
              <w:top w:w="0" w:type="dxa"/>
              <w:left w:w="108" w:type="dxa"/>
              <w:bottom w:w="0" w:type="dxa"/>
              <w:right w:w="108" w:type="dxa"/>
            </w:tcMar>
            <w:vAlign w:val="center"/>
          </w:tcPr>
          <w:p w14:paraId="0E93D741">
            <w:pPr>
              <w:pStyle w:val="194"/>
              <w:jc w:val="center"/>
              <w:rPr>
                <w:rFonts w:hint="default"/>
                <w:b w:val="0"/>
                <w:bCs w:val="0"/>
                <w:color w:val="000000"/>
                <w:kern w:val="2"/>
                <w:szCs w:val="21"/>
              </w:rPr>
            </w:pPr>
            <w:r>
              <w:rPr>
                <w:rFonts w:hint="default"/>
                <w:b w:val="0"/>
                <w:bCs w:val="0"/>
                <w:color w:val="000000"/>
                <w:kern w:val="2"/>
                <w:szCs w:val="21"/>
              </w:rPr>
              <w:t>急救药箱</w:t>
            </w:r>
          </w:p>
        </w:tc>
        <w:tc>
          <w:tcPr>
            <w:tcW w:w="1806" w:type="dxa"/>
            <w:noWrap w:val="0"/>
            <w:tcMar>
              <w:top w:w="0" w:type="dxa"/>
              <w:left w:w="108" w:type="dxa"/>
              <w:bottom w:w="0" w:type="dxa"/>
              <w:right w:w="108" w:type="dxa"/>
            </w:tcMar>
            <w:vAlign w:val="center"/>
          </w:tcPr>
          <w:p w14:paraId="4F2D6A0D">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22FF09C5">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4个</w:t>
            </w:r>
          </w:p>
        </w:tc>
        <w:tc>
          <w:tcPr>
            <w:tcW w:w="2674" w:type="dxa"/>
            <w:noWrap w:val="0"/>
            <w:tcMar>
              <w:top w:w="0" w:type="dxa"/>
              <w:left w:w="108" w:type="dxa"/>
              <w:bottom w:w="0" w:type="dxa"/>
              <w:right w:w="108" w:type="dxa"/>
            </w:tcMar>
            <w:vAlign w:val="center"/>
          </w:tcPr>
          <w:p w14:paraId="62F82F28">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行政办公室</w:t>
            </w:r>
          </w:p>
        </w:tc>
      </w:tr>
      <w:tr w14:paraId="7AE0E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73" w:hRule="atLeast"/>
          <w:jc w:val="center"/>
        </w:trPr>
        <w:tc>
          <w:tcPr>
            <w:tcW w:w="1259" w:type="dxa"/>
            <w:vMerge w:val="continue"/>
            <w:noWrap w:val="0"/>
            <w:vAlign w:val="center"/>
          </w:tcPr>
          <w:p w14:paraId="1D8D50B1">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F4FD6A2">
            <w:pPr>
              <w:pStyle w:val="194"/>
              <w:jc w:val="center"/>
              <w:rPr>
                <w:rFonts w:hint="default"/>
                <w:b w:val="0"/>
                <w:bCs w:val="0"/>
                <w:color w:val="000000"/>
                <w:kern w:val="2"/>
                <w:szCs w:val="21"/>
              </w:rPr>
            </w:pPr>
            <w:r>
              <w:rPr>
                <w:rFonts w:hint="default"/>
                <w:b w:val="0"/>
                <w:bCs w:val="0"/>
                <w:color w:val="000000"/>
                <w:kern w:val="2"/>
                <w:szCs w:val="21"/>
              </w:rPr>
              <w:t>纱布</w:t>
            </w:r>
          </w:p>
        </w:tc>
        <w:tc>
          <w:tcPr>
            <w:tcW w:w="1806" w:type="dxa"/>
            <w:noWrap w:val="0"/>
            <w:tcMar>
              <w:top w:w="0" w:type="dxa"/>
              <w:left w:w="108" w:type="dxa"/>
              <w:bottom w:w="0" w:type="dxa"/>
              <w:right w:w="108" w:type="dxa"/>
            </w:tcMar>
            <w:vAlign w:val="center"/>
          </w:tcPr>
          <w:p w14:paraId="34047167">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59BC5D05">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6块</w:t>
            </w:r>
          </w:p>
        </w:tc>
        <w:tc>
          <w:tcPr>
            <w:tcW w:w="2674" w:type="dxa"/>
            <w:noWrap w:val="0"/>
            <w:tcMar>
              <w:top w:w="0" w:type="dxa"/>
              <w:left w:w="108" w:type="dxa"/>
              <w:bottom w:w="0" w:type="dxa"/>
              <w:right w:w="108" w:type="dxa"/>
            </w:tcMar>
            <w:vAlign w:val="center"/>
          </w:tcPr>
          <w:p w14:paraId="29D9F145">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52C17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1205A5BC">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67CF466">
            <w:pPr>
              <w:pStyle w:val="194"/>
              <w:jc w:val="center"/>
              <w:rPr>
                <w:rFonts w:hint="default"/>
                <w:b w:val="0"/>
                <w:bCs w:val="0"/>
                <w:color w:val="000000"/>
                <w:kern w:val="2"/>
                <w:szCs w:val="21"/>
              </w:rPr>
            </w:pPr>
            <w:r>
              <w:rPr>
                <w:rFonts w:hint="default"/>
                <w:b w:val="0"/>
                <w:bCs w:val="0"/>
                <w:color w:val="000000"/>
                <w:kern w:val="2"/>
                <w:szCs w:val="21"/>
              </w:rPr>
              <w:t>绷带</w:t>
            </w:r>
          </w:p>
        </w:tc>
        <w:tc>
          <w:tcPr>
            <w:tcW w:w="1806" w:type="dxa"/>
            <w:noWrap w:val="0"/>
            <w:tcMar>
              <w:top w:w="0" w:type="dxa"/>
              <w:left w:w="108" w:type="dxa"/>
              <w:bottom w:w="0" w:type="dxa"/>
              <w:right w:w="108" w:type="dxa"/>
            </w:tcMar>
            <w:vAlign w:val="center"/>
          </w:tcPr>
          <w:p w14:paraId="3DEC218D">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06540D21">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6条</w:t>
            </w:r>
          </w:p>
        </w:tc>
        <w:tc>
          <w:tcPr>
            <w:tcW w:w="2674" w:type="dxa"/>
            <w:noWrap w:val="0"/>
            <w:tcMar>
              <w:top w:w="0" w:type="dxa"/>
              <w:left w:w="108" w:type="dxa"/>
              <w:bottom w:w="0" w:type="dxa"/>
              <w:right w:w="108" w:type="dxa"/>
            </w:tcMar>
            <w:vAlign w:val="center"/>
          </w:tcPr>
          <w:p w14:paraId="34A3B0A9">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55933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8AA66C6">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5AAFCE46">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创口贴</w:t>
            </w:r>
          </w:p>
        </w:tc>
        <w:tc>
          <w:tcPr>
            <w:tcW w:w="1806" w:type="dxa"/>
            <w:noWrap w:val="0"/>
            <w:tcMar>
              <w:top w:w="0" w:type="dxa"/>
              <w:left w:w="108" w:type="dxa"/>
              <w:bottom w:w="0" w:type="dxa"/>
              <w:right w:w="108" w:type="dxa"/>
            </w:tcMar>
            <w:vAlign w:val="center"/>
          </w:tcPr>
          <w:p w14:paraId="1445BA50">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47073924">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10盒</w:t>
            </w:r>
          </w:p>
        </w:tc>
        <w:tc>
          <w:tcPr>
            <w:tcW w:w="2674" w:type="dxa"/>
            <w:noWrap w:val="0"/>
            <w:tcMar>
              <w:top w:w="0" w:type="dxa"/>
              <w:left w:w="108" w:type="dxa"/>
              <w:bottom w:w="0" w:type="dxa"/>
              <w:right w:w="108" w:type="dxa"/>
            </w:tcMar>
            <w:vAlign w:val="center"/>
          </w:tcPr>
          <w:p w14:paraId="59691087">
            <w:pPr>
              <w:pStyle w:val="194"/>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行政办公室</w:t>
            </w:r>
          </w:p>
        </w:tc>
      </w:tr>
      <w:tr w14:paraId="43C41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D2FCEBA">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75F59B7">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烫伤膏</w:t>
            </w:r>
          </w:p>
        </w:tc>
        <w:tc>
          <w:tcPr>
            <w:tcW w:w="1806" w:type="dxa"/>
            <w:noWrap w:val="0"/>
            <w:tcMar>
              <w:top w:w="0" w:type="dxa"/>
              <w:left w:w="108" w:type="dxa"/>
              <w:bottom w:w="0" w:type="dxa"/>
              <w:right w:w="108" w:type="dxa"/>
            </w:tcMar>
            <w:vAlign w:val="center"/>
          </w:tcPr>
          <w:p w14:paraId="1F39950F">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27DA11E6">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10支</w:t>
            </w:r>
          </w:p>
        </w:tc>
        <w:tc>
          <w:tcPr>
            <w:tcW w:w="2674" w:type="dxa"/>
            <w:noWrap w:val="0"/>
            <w:tcMar>
              <w:top w:w="0" w:type="dxa"/>
              <w:left w:w="108" w:type="dxa"/>
              <w:bottom w:w="0" w:type="dxa"/>
              <w:right w:w="108" w:type="dxa"/>
            </w:tcMar>
            <w:vAlign w:val="center"/>
          </w:tcPr>
          <w:p w14:paraId="2AB0104E">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09411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235E2748">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96AC90F">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藿香正气水</w:t>
            </w:r>
          </w:p>
        </w:tc>
        <w:tc>
          <w:tcPr>
            <w:tcW w:w="1806" w:type="dxa"/>
            <w:noWrap w:val="0"/>
            <w:tcMar>
              <w:top w:w="0" w:type="dxa"/>
              <w:left w:w="108" w:type="dxa"/>
              <w:bottom w:w="0" w:type="dxa"/>
              <w:right w:w="108" w:type="dxa"/>
            </w:tcMar>
            <w:vAlign w:val="center"/>
          </w:tcPr>
          <w:p w14:paraId="788A4200">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771AE33D">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10盒</w:t>
            </w:r>
          </w:p>
        </w:tc>
        <w:tc>
          <w:tcPr>
            <w:tcW w:w="2674" w:type="dxa"/>
            <w:noWrap w:val="0"/>
            <w:tcMar>
              <w:top w:w="0" w:type="dxa"/>
              <w:left w:w="108" w:type="dxa"/>
              <w:bottom w:w="0" w:type="dxa"/>
              <w:right w:w="108" w:type="dxa"/>
            </w:tcMar>
            <w:vAlign w:val="center"/>
          </w:tcPr>
          <w:p w14:paraId="365ADC10">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2AB8A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2CBEA3AC">
            <w:pPr>
              <w:pStyle w:val="194"/>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1B9ED0B5">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酒精</w:t>
            </w:r>
          </w:p>
        </w:tc>
        <w:tc>
          <w:tcPr>
            <w:tcW w:w="1806" w:type="dxa"/>
            <w:noWrap w:val="0"/>
            <w:tcMar>
              <w:top w:w="0" w:type="dxa"/>
              <w:left w:w="108" w:type="dxa"/>
              <w:bottom w:w="0" w:type="dxa"/>
              <w:right w:w="108" w:type="dxa"/>
            </w:tcMar>
            <w:vAlign w:val="center"/>
          </w:tcPr>
          <w:p w14:paraId="627115DA">
            <w:pPr>
              <w:pStyle w:val="194"/>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31BC3EEB">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5瓶</w:t>
            </w:r>
          </w:p>
        </w:tc>
        <w:tc>
          <w:tcPr>
            <w:tcW w:w="2674" w:type="dxa"/>
            <w:noWrap w:val="0"/>
            <w:tcMar>
              <w:top w:w="0" w:type="dxa"/>
              <w:left w:w="108" w:type="dxa"/>
              <w:bottom w:w="0" w:type="dxa"/>
              <w:right w:w="108" w:type="dxa"/>
            </w:tcMar>
            <w:vAlign w:val="center"/>
          </w:tcPr>
          <w:p w14:paraId="566AF905">
            <w:pPr>
              <w:pStyle w:val="194"/>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bl>
    <w:p w14:paraId="210D6782">
      <w:pPr>
        <w:pStyle w:val="13"/>
        <w:spacing w:before="0" w:after="0" w:line="500" w:lineRule="exact"/>
        <w:jc w:val="both"/>
        <w:rPr>
          <w:rFonts w:hint="default" w:ascii="Times New Roman" w:hAnsi="Times New Roman" w:eastAsia="宋体" w:cs="Times New Roman"/>
          <w:b/>
          <w:bCs/>
        </w:rPr>
      </w:pPr>
    </w:p>
    <w:p w14:paraId="62C6A9A7">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31" w:name="_TOC_250047"/>
      <w:bookmarkEnd w:id="131"/>
      <w:bookmarkStart w:id="132" w:name="3.7.3应急监测能力"/>
      <w:bookmarkEnd w:id="132"/>
      <w:bookmarkStart w:id="133" w:name="_Toc3357"/>
      <w:bookmarkStart w:id="134" w:name="_Toc14714"/>
      <w:r>
        <w:rPr>
          <w:rFonts w:hint="default" w:ascii="Times New Roman" w:hAnsi="Times New Roman" w:eastAsia="宋体" w:cs="Times New Roman"/>
          <w:sz w:val="24"/>
          <w:szCs w:val="24"/>
        </w:rPr>
        <w:t>3.</w:t>
      </w:r>
      <w:r>
        <w:rPr>
          <w:rFonts w:hint="eastAsia" w:cs="Times New Roman"/>
          <w:sz w:val="24"/>
          <w:szCs w:val="24"/>
          <w:lang w:val="en-US" w:eastAsia="zh-CN"/>
        </w:rPr>
        <w:t>8.3</w:t>
      </w:r>
      <w:r>
        <w:rPr>
          <w:rFonts w:hint="eastAsia" w:eastAsia="宋体" w:cs="Times New Roman"/>
          <w:sz w:val="24"/>
          <w:szCs w:val="24"/>
          <w:lang w:val="en-US" w:eastAsia="zh-CN"/>
        </w:rPr>
        <w:t>应急监测能力</w:t>
      </w:r>
      <w:bookmarkEnd w:id="133"/>
      <w:bookmarkEnd w:id="134"/>
    </w:p>
    <w:p w14:paraId="782BE0AC">
      <w:pPr>
        <w:pStyle w:val="13"/>
        <w:spacing w:before="0" w:after="0" w:line="500" w:lineRule="exact"/>
        <w:ind w:left="0" w:firstLine="440" w:firstLineChars="200"/>
        <w:rPr>
          <w:rFonts w:eastAsia="宋体"/>
          <w:spacing w:val="-10"/>
        </w:rPr>
      </w:pPr>
      <w:r>
        <w:rPr>
          <w:rFonts w:eastAsia="宋体"/>
          <w:spacing w:val="-10"/>
        </w:rPr>
        <w:t>目前我公司无应急监测能力（人员、监测设备不具备）</w:t>
      </w:r>
      <w:r>
        <w:rPr>
          <w:rFonts w:hint="default" w:eastAsia="宋体"/>
          <w:spacing w:val="-10"/>
          <w:lang w:eastAsia="zh-CN"/>
        </w:rPr>
        <w:t>，</w:t>
      </w:r>
      <w:r>
        <w:rPr>
          <w:rFonts w:hint="default" w:eastAsia="宋体"/>
          <w:spacing w:val="-10"/>
          <w:lang w:val="en-US" w:eastAsia="zh-CN"/>
        </w:rPr>
        <w:t>委托江苏裕和检测技术有限公司进行应急监测</w:t>
      </w:r>
      <w:r>
        <w:rPr>
          <w:rFonts w:eastAsia="宋体"/>
          <w:spacing w:val="-10"/>
        </w:rPr>
        <w:t>。</w:t>
      </w:r>
    </w:p>
    <w:p w14:paraId="77303791">
      <w:pPr>
        <w:pStyle w:val="249"/>
        <w:pageBreakBefore w:val="0"/>
        <w:widowControl/>
        <w:kinsoku/>
        <w:wordWrap/>
        <w:overflowPunct/>
        <w:topLinePunct w:val="0"/>
        <w:autoSpaceDE/>
        <w:autoSpaceDN/>
        <w:bidi w:val="0"/>
        <w:adjustRightInd/>
        <w:snapToGrid w:val="0"/>
        <w:textAlignment w:val="auto"/>
        <w:outlineLvl w:val="2"/>
        <w:rPr>
          <w:rFonts w:hint="eastAsia" w:eastAsia="宋体" w:cs="Times New Roman"/>
          <w:sz w:val="24"/>
          <w:szCs w:val="24"/>
          <w:lang w:val="en-US" w:eastAsia="zh-CN"/>
        </w:rPr>
      </w:pPr>
      <w:bookmarkStart w:id="135" w:name="_TOC_250046"/>
      <w:bookmarkEnd w:id="135"/>
      <w:bookmarkStart w:id="136" w:name="3.7.4内部应急队伍"/>
      <w:bookmarkEnd w:id="136"/>
      <w:bookmarkStart w:id="137" w:name="_Toc5748"/>
      <w:bookmarkStart w:id="138" w:name="_Toc5943"/>
      <w:r>
        <w:rPr>
          <w:rFonts w:hint="default" w:ascii="Times New Roman" w:hAnsi="Times New Roman" w:eastAsia="宋体" w:cs="Times New Roman"/>
          <w:sz w:val="24"/>
          <w:szCs w:val="24"/>
        </w:rPr>
        <w:t>3.</w:t>
      </w:r>
      <w:r>
        <w:rPr>
          <w:rFonts w:hint="eastAsia" w:cs="Times New Roman"/>
          <w:sz w:val="24"/>
          <w:szCs w:val="24"/>
          <w:lang w:val="en-US" w:eastAsia="zh-CN"/>
        </w:rPr>
        <w:t>8.4</w:t>
      </w:r>
      <w:r>
        <w:rPr>
          <w:rFonts w:hint="eastAsia" w:eastAsia="宋体" w:cs="Times New Roman"/>
          <w:sz w:val="24"/>
          <w:szCs w:val="24"/>
          <w:lang w:val="en-US" w:eastAsia="zh-CN"/>
        </w:rPr>
        <w:t>内部应急队伍</w:t>
      </w:r>
      <w:bookmarkEnd w:id="137"/>
      <w:bookmarkEnd w:id="138"/>
    </w:p>
    <w:p w14:paraId="74141C0E">
      <w:pPr>
        <w:pStyle w:val="13"/>
        <w:spacing w:before="0" w:after="0" w:line="500" w:lineRule="exact"/>
        <w:jc w:val="center"/>
        <w:rPr>
          <w:rFonts w:hint="eastAsia" w:ascii="Times New Roman" w:hAnsi="Times New Roman" w:eastAsia="宋体" w:cs="Times New Roman"/>
          <w:b/>
          <w:bCs/>
          <w:lang w:val="en-US" w:eastAsia="zh-CN"/>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21</w:t>
      </w:r>
      <w:r>
        <w:rPr>
          <w:rFonts w:hint="eastAsia" w:ascii="Times New Roman" w:hAnsi="Times New Roman" w:eastAsia="宋体" w:cs="Times New Roman"/>
          <w:b/>
          <w:bCs/>
          <w:lang w:val="en-US" w:eastAsia="zh-CN"/>
        </w:rPr>
        <w:t>现有应</w:t>
      </w:r>
      <w:r>
        <w:rPr>
          <w:rFonts w:hint="eastAsia" w:ascii="Times New Roman" w:hAnsi="Times New Roman" w:eastAsia="宋体" w:cs="Times New Roman"/>
          <w:b/>
          <w:bCs/>
          <w:highlight w:val="none"/>
          <w:lang w:val="en-US" w:eastAsia="zh-CN"/>
        </w:rPr>
        <w:t>急救援组织机构人</w:t>
      </w:r>
      <w:r>
        <w:rPr>
          <w:rFonts w:hint="eastAsia" w:ascii="Times New Roman" w:hAnsi="Times New Roman" w:eastAsia="宋体" w:cs="Times New Roman"/>
          <w:b/>
          <w:bCs/>
          <w:lang w:val="en-US" w:eastAsia="zh-CN"/>
        </w:rPr>
        <w:t>员</w:t>
      </w:r>
    </w:p>
    <w:p w14:paraId="53B74DF4">
      <w:pPr>
        <w:rPr>
          <w:rFonts w:hint="eastAsia" w:ascii="Times New Roman" w:hAnsi="Times New Roman" w:eastAsia="宋体" w:cs="Times New Roman"/>
          <w:b/>
          <w:bCs/>
          <w:lang w:val="en-US" w:eastAsia="zh-CN"/>
        </w:rPr>
      </w:pPr>
    </w:p>
    <w:tbl>
      <w:tblPr>
        <w:tblStyle w:val="37"/>
        <w:tblpPr w:leftFromText="180" w:rightFromText="180" w:vertAnchor="page" w:horzAnchor="page" w:tblpX="1709" w:tblpY="6593"/>
        <w:tblOverlap w:val="never"/>
        <w:tblW w:w="87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1758"/>
        <w:gridCol w:w="1758"/>
        <w:gridCol w:w="1757"/>
      </w:tblGrid>
      <w:tr w14:paraId="0A0F7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tcBorders>
              <w:tl2br w:val="nil"/>
              <w:tr2bl w:val="nil"/>
            </w:tcBorders>
            <w:noWrap w:val="0"/>
            <w:vAlign w:val="center"/>
          </w:tcPr>
          <w:p w14:paraId="6777A0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机构</w:t>
            </w:r>
          </w:p>
        </w:tc>
        <w:tc>
          <w:tcPr>
            <w:tcW w:w="1757" w:type="dxa"/>
            <w:tcBorders>
              <w:tl2br w:val="nil"/>
              <w:tr2bl w:val="nil"/>
            </w:tcBorders>
            <w:noWrap w:val="0"/>
            <w:vAlign w:val="center"/>
          </w:tcPr>
          <w:p w14:paraId="0819DC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职务</w:t>
            </w:r>
          </w:p>
        </w:tc>
        <w:tc>
          <w:tcPr>
            <w:tcW w:w="1758" w:type="dxa"/>
            <w:tcBorders>
              <w:tl2br w:val="nil"/>
              <w:tr2bl w:val="nil"/>
            </w:tcBorders>
            <w:noWrap w:val="0"/>
            <w:vAlign w:val="center"/>
          </w:tcPr>
          <w:p w14:paraId="3389E2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姓名</w:t>
            </w:r>
          </w:p>
        </w:tc>
        <w:tc>
          <w:tcPr>
            <w:tcW w:w="1758" w:type="dxa"/>
            <w:tcBorders>
              <w:tl2br w:val="nil"/>
              <w:tr2bl w:val="nil"/>
            </w:tcBorders>
            <w:noWrap w:val="0"/>
            <w:vAlign w:val="center"/>
          </w:tcPr>
          <w:p w14:paraId="12A59F9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000000"/>
                <w:sz w:val="21"/>
                <w:szCs w:val="21"/>
                <w:lang w:val="en-US" w:eastAsia="zh-CN"/>
              </w:rPr>
            </w:pPr>
            <w:r>
              <w:rPr>
                <w:rFonts w:hint="eastAsia" w:ascii="Times New Roman" w:hAnsi="Times New Roman" w:eastAsia="宋体" w:cs="Times New Roman"/>
                <w:b/>
                <w:bCs/>
                <w:color w:val="000000"/>
                <w:sz w:val="21"/>
                <w:szCs w:val="21"/>
                <w:lang w:val="en-US" w:eastAsia="zh-CN"/>
              </w:rPr>
              <w:t>职位</w:t>
            </w:r>
          </w:p>
        </w:tc>
        <w:tc>
          <w:tcPr>
            <w:tcW w:w="1757" w:type="dxa"/>
            <w:tcBorders>
              <w:tl2br w:val="nil"/>
              <w:tr2bl w:val="nil"/>
            </w:tcBorders>
            <w:noWrap w:val="0"/>
            <w:vAlign w:val="center"/>
          </w:tcPr>
          <w:p w14:paraId="7C26D0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sz w:val="21"/>
                <w:szCs w:val="21"/>
              </w:rPr>
            </w:pPr>
            <w:r>
              <w:rPr>
                <w:rFonts w:hint="default" w:ascii="Times New Roman" w:hAnsi="Times New Roman" w:eastAsia="宋体" w:cs="Times New Roman"/>
                <w:b/>
                <w:bCs/>
                <w:color w:val="000000"/>
                <w:sz w:val="21"/>
                <w:szCs w:val="21"/>
              </w:rPr>
              <w:t>联系电话</w:t>
            </w:r>
          </w:p>
        </w:tc>
      </w:tr>
      <w:tr w14:paraId="535F3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4671BF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应急指挥部</w:t>
            </w:r>
          </w:p>
        </w:tc>
        <w:tc>
          <w:tcPr>
            <w:tcW w:w="1757" w:type="dxa"/>
            <w:tcBorders>
              <w:tl2br w:val="nil"/>
              <w:tr2bl w:val="nil"/>
            </w:tcBorders>
            <w:noWrap w:val="0"/>
            <w:vAlign w:val="center"/>
          </w:tcPr>
          <w:p w14:paraId="7A6FDB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总指挥</w:t>
            </w:r>
          </w:p>
        </w:tc>
        <w:tc>
          <w:tcPr>
            <w:tcW w:w="1758" w:type="dxa"/>
            <w:tcBorders>
              <w:tl2br w:val="nil"/>
              <w:tr2bl w:val="nil"/>
            </w:tcBorders>
            <w:noWrap w:val="0"/>
            <w:vAlign w:val="center"/>
          </w:tcPr>
          <w:p w14:paraId="7D79401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曹伟强</w:t>
            </w:r>
          </w:p>
        </w:tc>
        <w:tc>
          <w:tcPr>
            <w:tcW w:w="1758" w:type="dxa"/>
            <w:tcBorders>
              <w:tl2br w:val="nil"/>
              <w:tr2bl w:val="nil"/>
            </w:tcBorders>
            <w:noWrap w:val="0"/>
            <w:vAlign w:val="center"/>
          </w:tcPr>
          <w:p w14:paraId="3940C5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总经理</w:t>
            </w:r>
          </w:p>
        </w:tc>
        <w:tc>
          <w:tcPr>
            <w:tcW w:w="1757" w:type="dxa"/>
            <w:tcBorders>
              <w:tl2br w:val="nil"/>
              <w:tr2bl w:val="nil"/>
            </w:tcBorders>
            <w:noWrap w:val="0"/>
            <w:vAlign w:val="center"/>
          </w:tcPr>
          <w:p w14:paraId="105D3F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13957312378</w:t>
            </w:r>
          </w:p>
        </w:tc>
      </w:tr>
      <w:tr w14:paraId="68695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2D29F1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6C897E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副总</w:t>
            </w:r>
            <w:r>
              <w:rPr>
                <w:rFonts w:hint="default" w:ascii="Times New Roman" w:hAnsi="Times New Roman" w:eastAsia="宋体" w:cs="Times New Roman"/>
                <w:b w:val="0"/>
                <w:bCs w:val="0"/>
                <w:color w:val="000000"/>
                <w:sz w:val="21"/>
                <w:szCs w:val="21"/>
              </w:rPr>
              <w:t>指挥</w:t>
            </w:r>
          </w:p>
        </w:tc>
        <w:tc>
          <w:tcPr>
            <w:tcW w:w="1758" w:type="dxa"/>
            <w:tcBorders>
              <w:tl2br w:val="nil"/>
              <w:tr2bl w:val="nil"/>
            </w:tcBorders>
            <w:noWrap w:val="0"/>
            <w:vAlign w:val="center"/>
          </w:tcPr>
          <w:p w14:paraId="1D802D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左永平</w:t>
            </w:r>
          </w:p>
        </w:tc>
        <w:tc>
          <w:tcPr>
            <w:tcW w:w="1758" w:type="dxa"/>
            <w:tcBorders>
              <w:tl2br w:val="nil"/>
              <w:tr2bl w:val="nil"/>
            </w:tcBorders>
            <w:noWrap w:val="0"/>
            <w:vAlign w:val="center"/>
          </w:tcPr>
          <w:p w14:paraId="2A09FC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行政</w:t>
            </w:r>
          </w:p>
        </w:tc>
        <w:tc>
          <w:tcPr>
            <w:tcW w:w="1757" w:type="dxa"/>
            <w:tcBorders>
              <w:tl2br w:val="nil"/>
              <w:tr2bl w:val="nil"/>
            </w:tcBorders>
            <w:noWrap w:val="0"/>
            <w:vAlign w:val="center"/>
          </w:tcPr>
          <w:p w14:paraId="71231A5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18321100722</w:t>
            </w:r>
          </w:p>
        </w:tc>
      </w:tr>
      <w:tr w14:paraId="5658C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22E585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综合协调组</w:t>
            </w:r>
          </w:p>
        </w:tc>
        <w:tc>
          <w:tcPr>
            <w:tcW w:w="1757" w:type="dxa"/>
            <w:tcBorders>
              <w:tl2br w:val="nil"/>
              <w:tr2bl w:val="nil"/>
            </w:tcBorders>
            <w:noWrap w:val="0"/>
            <w:vAlign w:val="center"/>
          </w:tcPr>
          <w:p w14:paraId="4E29F21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组长</w:t>
            </w:r>
          </w:p>
        </w:tc>
        <w:tc>
          <w:tcPr>
            <w:tcW w:w="1758" w:type="dxa"/>
            <w:tcBorders>
              <w:tl2br w:val="nil"/>
              <w:tr2bl w:val="nil"/>
            </w:tcBorders>
            <w:noWrap w:val="0"/>
            <w:vAlign w:val="center"/>
          </w:tcPr>
          <w:p w14:paraId="6DC0BB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段益飞</w:t>
            </w:r>
          </w:p>
        </w:tc>
        <w:tc>
          <w:tcPr>
            <w:tcW w:w="1758" w:type="dxa"/>
            <w:tcBorders>
              <w:tl2br w:val="nil"/>
              <w:tr2bl w:val="nil"/>
            </w:tcBorders>
            <w:noWrap w:val="0"/>
            <w:vAlign w:val="center"/>
          </w:tcPr>
          <w:p w14:paraId="4C1103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行政</w:t>
            </w:r>
          </w:p>
        </w:tc>
        <w:tc>
          <w:tcPr>
            <w:tcW w:w="1757" w:type="dxa"/>
            <w:tcBorders>
              <w:tl2br w:val="nil"/>
              <w:tr2bl w:val="nil"/>
            </w:tcBorders>
            <w:noWrap w:val="0"/>
            <w:vAlign w:val="center"/>
          </w:tcPr>
          <w:p w14:paraId="0BF13B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18721767153</w:t>
            </w:r>
          </w:p>
        </w:tc>
      </w:tr>
      <w:tr w14:paraId="5234F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13DC65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p>
        </w:tc>
        <w:tc>
          <w:tcPr>
            <w:tcW w:w="1757" w:type="dxa"/>
            <w:tcBorders>
              <w:tl2br w:val="nil"/>
              <w:tr2bl w:val="nil"/>
            </w:tcBorders>
            <w:noWrap w:val="0"/>
            <w:vAlign w:val="center"/>
          </w:tcPr>
          <w:p w14:paraId="71C4F5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成员</w:t>
            </w:r>
          </w:p>
        </w:tc>
        <w:tc>
          <w:tcPr>
            <w:tcW w:w="1758" w:type="dxa"/>
            <w:tcBorders>
              <w:tl2br w:val="nil"/>
              <w:tr2bl w:val="nil"/>
            </w:tcBorders>
            <w:noWrap w:val="0"/>
            <w:vAlign w:val="center"/>
          </w:tcPr>
          <w:p w14:paraId="1E90D4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罗序如</w:t>
            </w:r>
          </w:p>
        </w:tc>
        <w:tc>
          <w:tcPr>
            <w:tcW w:w="1758" w:type="dxa"/>
            <w:tcBorders>
              <w:tl2br w:val="nil"/>
              <w:tr2bl w:val="nil"/>
            </w:tcBorders>
            <w:noWrap w:val="0"/>
            <w:vAlign w:val="center"/>
          </w:tcPr>
          <w:p w14:paraId="1B808A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行政</w:t>
            </w:r>
          </w:p>
        </w:tc>
        <w:tc>
          <w:tcPr>
            <w:tcW w:w="1757" w:type="dxa"/>
            <w:tcBorders>
              <w:tl2br w:val="nil"/>
              <w:tr2bl w:val="nil"/>
            </w:tcBorders>
            <w:noWrap w:val="0"/>
            <w:vAlign w:val="center"/>
          </w:tcPr>
          <w:p w14:paraId="58F70E8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15370490509</w:t>
            </w:r>
          </w:p>
        </w:tc>
      </w:tr>
      <w:tr w14:paraId="6657E6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4EB67D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p>
        </w:tc>
        <w:tc>
          <w:tcPr>
            <w:tcW w:w="1757" w:type="dxa"/>
            <w:tcBorders>
              <w:tl2br w:val="nil"/>
              <w:tr2bl w:val="nil"/>
            </w:tcBorders>
            <w:noWrap w:val="0"/>
            <w:vAlign w:val="center"/>
          </w:tcPr>
          <w:p w14:paraId="0842BE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成员</w:t>
            </w:r>
          </w:p>
        </w:tc>
        <w:tc>
          <w:tcPr>
            <w:tcW w:w="1758" w:type="dxa"/>
            <w:tcBorders>
              <w:tl2br w:val="nil"/>
              <w:tr2bl w:val="nil"/>
            </w:tcBorders>
            <w:noWrap w:val="0"/>
            <w:vAlign w:val="center"/>
          </w:tcPr>
          <w:p w14:paraId="23330C8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段雨婷</w:t>
            </w:r>
          </w:p>
        </w:tc>
        <w:tc>
          <w:tcPr>
            <w:tcW w:w="1758" w:type="dxa"/>
            <w:tcBorders>
              <w:tl2br w:val="nil"/>
              <w:tr2bl w:val="nil"/>
            </w:tcBorders>
            <w:noWrap w:val="0"/>
            <w:vAlign w:val="center"/>
          </w:tcPr>
          <w:p w14:paraId="03CFA2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行政</w:t>
            </w:r>
          </w:p>
        </w:tc>
        <w:tc>
          <w:tcPr>
            <w:tcW w:w="1757" w:type="dxa"/>
            <w:tcBorders>
              <w:tl2br w:val="nil"/>
              <w:tr2bl w:val="nil"/>
            </w:tcBorders>
            <w:noWrap w:val="0"/>
            <w:vAlign w:val="center"/>
          </w:tcPr>
          <w:p w14:paraId="4B35F1D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15870871313</w:t>
            </w:r>
          </w:p>
        </w:tc>
      </w:tr>
      <w:tr w14:paraId="3E025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34BEBF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现场处置</w:t>
            </w:r>
            <w:r>
              <w:rPr>
                <w:rFonts w:hint="default" w:ascii="Times New Roman" w:hAnsi="Times New Roman" w:eastAsia="宋体" w:cs="Times New Roman"/>
                <w:b w:val="0"/>
                <w:bCs w:val="0"/>
                <w:color w:val="000000"/>
                <w:sz w:val="21"/>
                <w:szCs w:val="21"/>
              </w:rPr>
              <w:t>组</w:t>
            </w:r>
          </w:p>
        </w:tc>
        <w:tc>
          <w:tcPr>
            <w:tcW w:w="1757" w:type="dxa"/>
            <w:tcBorders>
              <w:tl2br w:val="nil"/>
              <w:tr2bl w:val="nil"/>
            </w:tcBorders>
            <w:noWrap w:val="0"/>
            <w:vAlign w:val="center"/>
          </w:tcPr>
          <w:p w14:paraId="4BF2CC4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组长</w:t>
            </w:r>
          </w:p>
        </w:tc>
        <w:tc>
          <w:tcPr>
            <w:tcW w:w="1758" w:type="dxa"/>
            <w:tcBorders>
              <w:tl2br w:val="nil"/>
              <w:tr2bl w:val="nil"/>
            </w:tcBorders>
            <w:noWrap w:val="0"/>
            <w:vAlign w:val="center"/>
          </w:tcPr>
          <w:p w14:paraId="4E4865D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段益飞</w:t>
            </w:r>
          </w:p>
        </w:tc>
        <w:tc>
          <w:tcPr>
            <w:tcW w:w="1758" w:type="dxa"/>
            <w:tcBorders>
              <w:tl2br w:val="nil"/>
              <w:tr2bl w:val="nil"/>
            </w:tcBorders>
            <w:noWrap w:val="0"/>
            <w:vAlign w:val="center"/>
          </w:tcPr>
          <w:p w14:paraId="08F6629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行政</w:t>
            </w:r>
          </w:p>
        </w:tc>
        <w:tc>
          <w:tcPr>
            <w:tcW w:w="1757" w:type="dxa"/>
            <w:tcBorders>
              <w:tl2br w:val="nil"/>
              <w:tr2bl w:val="nil"/>
            </w:tcBorders>
            <w:noWrap w:val="0"/>
            <w:vAlign w:val="center"/>
          </w:tcPr>
          <w:p w14:paraId="428687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18721767153</w:t>
            </w:r>
          </w:p>
        </w:tc>
      </w:tr>
      <w:tr w14:paraId="708E78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5D41AE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58722C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eastAsia="zh-CN"/>
              </w:rPr>
              <w:t>成员</w:t>
            </w:r>
          </w:p>
        </w:tc>
        <w:tc>
          <w:tcPr>
            <w:tcW w:w="1758" w:type="dxa"/>
            <w:tcBorders>
              <w:tl2br w:val="nil"/>
              <w:tr2bl w:val="nil"/>
            </w:tcBorders>
            <w:shd w:val="clear" w:color="auto" w:fill="auto"/>
            <w:noWrap w:val="0"/>
            <w:vAlign w:val="center"/>
          </w:tcPr>
          <w:p w14:paraId="36F40F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李 方</w:t>
            </w:r>
          </w:p>
        </w:tc>
        <w:tc>
          <w:tcPr>
            <w:tcW w:w="1758" w:type="dxa"/>
            <w:tcBorders>
              <w:tl2br w:val="nil"/>
              <w:tr2bl w:val="nil"/>
            </w:tcBorders>
            <w:shd w:val="clear" w:color="auto" w:fill="auto"/>
            <w:noWrap w:val="0"/>
            <w:vAlign w:val="center"/>
          </w:tcPr>
          <w:p w14:paraId="6DB218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木工</w:t>
            </w:r>
          </w:p>
        </w:tc>
        <w:tc>
          <w:tcPr>
            <w:tcW w:w="1757" w:type="dxa"/>
            <w:tcBorders>
              <w:tl2br w:val="nil"/>
              <w:tr2bl w:val="nil"/>
            </w:tcBorders>
            <w:shd w:val="clear" w:color="auto" w:fill="auto"/>
            <w:noWrap w:val="0"/>
            <w:vAlign w:val="center"/>
          </w:tcPr>
          <w:p w14:paraId="7E7A11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15151315136</w:t>
            </w:r>
          </w:p>
        </w:tc>
      </w:tr>
      <w:tr w14:paraId="60D7C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29ED8F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47DE44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eastAsia="zh-CN"/>
              </w:rPr>
            </w:pPr>
            <w:r>
              <w:rPr>
                <w:rFonts w:hint="eastAsia" w:ascii="Times New Roman" w:hAnsi="Times New Roman" w:eastAsia="宋体" w:cs="Times New Roman"/>
                <w:b w:val="0"/>
                <w:bCs w:val="0"/>
                <w:color w:val="000000"/>
                <w:sz w:val="21"/>
                <w:szCs w:val="21"/>
                <w:lang w:val="en-US" w:eastAsia="zh-CN"/>
              </w:rPr>
              <w:t>成员</w:t>
            </w:r>
          </w:p>
        </w:tc>
        <w:tc>
          <w:tcPr>
            <w:tcW w:w="1758" w:type="dxa"/>
            <w:tcBorders>
              <w:tl2br w:val="nil"/>
              <w:tr2bl w:val="nil"/>
            </w:tcBorders>
            <w:noWrap w:val="0"/>
            <w:vAlign w:val="center"/>
          </w:tcPr>
          <w:p w14:paraId="05424D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丁佳佳</w:t>
            </w:r>
          </w:p>
        </w:tc>
        <w:tc>
          <w:tcPr>
            <w:tcW w:w="1758" w:type="dxa"/>
            <w:tcBorders>
              <w:tl2br w:val="nil"/>
              <w:tr2bl w:val="nil"/>
            </w:tcBorders>
            <w:noWrap w:val="0"/>
            <w:vAlign w:val="center"/>
          </w:tcPr>
          <w:p w14:paraId="3379F5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木工</w:t>
            </w:r>
          </w:p>
        </w:tc>
        <w:tc>
          <w:tcPr>
            <w:tcW w:w="1757" w:type="dxa"/>
            <w:tcBorders>
              <w:tl2br w:val="nil"/>
              <w:tr2bl w:val="nil"/>
            </w:tcBorders>
            <w:noWrap w:val="0"/>
            <w:vAlign w:val="center"/>
          </w:tcPr>
          <w:p w14:paraId="2CD162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18270271214</w:t>
            </w:r>
          </w:p>
        </w:tc>
      </w:tr>
      <w:tr w14:paraId="09A28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0CBFE4A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应急保障</w:t>
            </w:r>
            <w:r>
              <w:rPr>
                <w:rFonts w:hint="default" w:ascii="Times New Roman" w:hAnsi="Times New Roman" w:eastAsia="宋体" w:cs="Times New Roman"/>
                <w:b w:val="0"/>
                <w:bCs w:val="0"/>
                <w:color w:val="000000"/>
                <w:sz w:val="21"/>
                <w:szCs w:val="21"/>
              </w:rPr>
              <w:t>组</w:t>
            </w:r>
          </w:p>
        </w:tc>
        <w:tc>
          <w:tcPr>
            <w:tcW w:w="1757" w:type="dxa"/>
            <w:tcBorders>
              <w:tl2br w:val="nil"/>
              <w:tr2bl w:val="nil"/>
            </w:tcBorders>
            <w:noWrap w:val="0"/>
            <w:vAlign w:val="center"/>
          </w:tcPr>
          <w:p w14:paraId="74A804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组长</w:t>
            </w:r>
          </w:p>
        </w:tc>
        <w:tc>
          <w:tcPr>
            <w:tcW w:w="1758" w:type="dxa"/>
            <w:tcBorders>
              <w:tl2br w:val="nil"/>
              <w:tr2bl w:val="nil"/>
            </w:tcBorders>
            <w:noWrap w:val="0"/>
            <w:vAlign w:val="center"/>
          </w:tcPr>
          <w:p w14:paraId="769A7D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吴光明</w:t>
            </w:r>
          </w:p>
        </w:tc>
        <w:tc>
          <w:tcPr>
            <w:tcW w:w="1758" w:type="dxa"/>
            <w:tcBorders>
              <w:tl2br w:val="nil"/>
              <w:tr2bl w:val="nil"/>
            </w:tcBorders>
            <w:noWrap w:val="0"/>
            <w:vAlign w:val="center"/>
          </w:tcPr>
          <w:p w14:paraId="1EEF7A1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员工</w:t>
            </w:r>
          </w:p>
        </w:tc>
        <w:tc>
          <w:tcPr>
            <w:tcW w:w="1757" w:type="dxa"/>
            <w:tcBorders>
              <w:tl2br w:val="nil"/>
              <w:tr2bl w:val="nil"/>
            </w:tcBorders>
            <w:noWrap w:val="0"/>
            <w:vAlign w:val="center"/>
          </w:tcPr>
          <w:p w14:paraId="544C15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13218526785</w:t>
            </w:r>
          </w:p>
        </w:tc>
      </w:tr>
      <w:tr w14:paraId="7F3FA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388CDD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163AE6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eastAsia="zh-CN"/>
              </w:rPr>
              <w:t>成员</w:t>
            </w:r>
          </w:p>
        </w:tc>
        <w:tc>
          <w:tcPr>
            <w:tcW w:w="1758" w:type="dxa"/>
            <w:tcBorders>
              <w:tl2br w:val="nil"/>
              <w:tr2bl w:val="nil"/>
            </w:tcBorders>
            <w:noWrap w:val="0"/>
            <w:vAlign w:val="center"/>
          </w:tcPr>
          <w:p w14:paraId="32787E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俞长征</w:t>
            </w:r>
          </w:p>
        </w:tc>
        <w:tc>
          <w:tcPr>
            <w:tcW w:w="1758" w:type="dxa"/>
            <w:tcBorders>
              <w:tl2br w:val="nil"/>
              <w:tr2bl w:val="nil"/>
            </w:tcBorders>
            <w:noWrap w:val="0"/>
            <w:vAlign w:val="center"/>
          </w:tcPr>
          <w:p w14:paraId="1D2926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员工</w:t>
            </w:r>
          </w:p>
        </w:tc>
        <w:tc>
          <w:tcPr>
            <w:tcW w:w="1757" w:type="dxa"/>
            <w:tcBorders>
              <w:tl2br w:val="nil"/>
              <w:tr2bl w:val="nil"/>
            </w:tcBorders>
            <w:noWrap w:val="0"/>
            <w:vAlign w:val="center"/>
          </w:tcPr>
          <w:p w14:paraId="7B47818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13248347126</w:t>
            </w:r>
          </w:p>
        </w:tc>
      </w:tr>
      <w:tr w14:paraId="59933C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40E257D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32117E2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eastAsia="zh-CN"/>
              </w:rPr>
            </w:pPr>
            <w:r>
              <w:rPr>
                <w:rFonts w:hint="eastAsia" w:ascii="Times New Roman" w:hAnsi="Times New Roman" w:eastAsia="宋体" w:cs="Times New Roman"/>
                <w:b w:val="0"/>
                <w:bCs w:val="0"/>
                <w:color w:val="000000"/>
                <w:sz w:val="21"/>
                <w:szCs w:val="21"/>
                <w:lang w:val="en-US" w:eastAsia="zh-CN"/>
              </w:rPr>
              <w:t>成员</w:t>
            </w:r>
          </w:p>
        </w:tc>
        <w:tc>
          <w:tcPr>
            <w:tcW w:w="1758" w:type="dxa"/>
            <w:tcBorders>
              <w:tl2br w:val="nil"/>
              <w:tr2bl w:val="nil"/>
            </w:tcBorders>
            <w:noWrap w:val="0"/>
            <w:vAlign w:val="center"/>
          </w:tcPr>
          <w:p w14:paraId="540A4F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韩信梅</w:t>
            </w:r>
          </w:p>
        </w:tc>
        <w:tc>
          <w:tcPr>
            <w:tcW w:w="1758" w:type="dxa"/>
            <w:tcBorders>
              <w:tl2br w:val="nil"/>
              <w:tr2bl w:val="nil"/>
            </w:tcBorders>
            <w:noWrap w:val="0"/>
            <w:vAlign w:val="center"/>
          </w:tcPr>
          <w:p w14:paraId="27B2FA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员工</w:t>
            </w:r>
          </w:p>
        </w:tc>
        <w:tc>
          <w:tcPr>
            <w:tcW w:w="1757" w:type="dxa"/>
            <w:tcBorders>
              <w:tl2br w:val="nil"/>
              <w:tr2bl w:val="nil"/>
            </w:tcBorders>
            <w:noWrap w:val="0"/>
            <w:vAlign w:val="center"/>
          </w:tcPr>
          <w:p w14:paraId="37E5BC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13236298983</w:t>
            </w:r>
          </w:p>
        </w:tc>
      </w:tr>
      <w:tr w14:paraId="48BA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1C0A38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eastAsia" w:ascii="Times New Roman" w:hAnsi="Times New Roman" w:eastAsia="宋体" w:cs="Times New Roman"/>
                <w:b w:val="0"/>
                <w:bCs w:val="0"/>
                <w:color w:val="000000"/>
                <w:sz w:val="21"/>
                <w:szCs w:val="21"/>
                <w:lang w:val="en-US" w:eastAsia="zh-CN"/>
              </w:rPr>
              <w:t>医疗救治</w:t>
            </w:r>
            <w:r>
              <w:rPr>
                <w:rFonts w:hint="default" w:ascii="Times New Roman" w:hAnsi="Times New Roman" w:eastAsia="宋体" w:cs="Times New Roman"/>
                <w:b w:val="0"/>
                <w:bCs w:val="0"/>
                <w:color w:val="000000"/>
                <w:sz w:val="21"/>
                <w:szCs w:val="21"/>
              </w:rPr>
              <w:t>组</w:t>
            </w:r>
          </w:p>
        </w:tc>
        <w:tc>
          <w:tcPr>
            <w:tcW w:w="1757" w:type="dxa"/>
            <w:tcBorders>
              <w:tl2br w:val="nil"/>
              <w:tr2bl w:val="nil"/>
            </w:tcBorders>
            <w:noWrap w:val="0"/>
            <w:vAlign w:val="center"/>
          </w:tcPr>
          <w:p w14:paraId="393795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组长</w:t>
            </w:r>
          </w:p>
        </w:tc>
        <w:tc>
          <w:tcPr>
            <w:tcW w:w="1758" w:type="dxa"/>
            <w:tcBorders>
              <w:tl2br w:val="nil"/>
              <w:tr2bl w:val="nil"/>
            </w:tcBorders>
            <w:noWrap w:val="0"/>
            <w:vAlign w:val="center"/>
          </w:tcPr>
          <w:p w14:paraId="0532B0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张继柱</w:t>
            </w:r>
          </w:p>
        </w:tc>
        <w:tc>
          <w:tcPr>
            <w:tcW w:w="1758" w:type="dxa"/>
            <w:tcBorders>
              <w:tl2br w:val="nil"/>
              <w:tr2bl w:val="nil"/>
            </w:tcBorders>
            <w:noWrap w:val="0"/>
            <w:vAlign w:val="center"/>
          </w:tcPr>
          <w:p w14:paraId="2F821CB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员工</w:t>
            </w:r>
          </w:p>
        </w:tc>
        <w:tc>
          <w:tcPr>
            <w:tcW w:w="1757" w:type="dxa"/>
            <w:tcBorders>
              <w:tl2br w:val="nil"/>
              <w:tr2bl w:val="nil"/>
            </w:tcBorders>
            <w:noWrap w:val="0"/>
            <w:vAlign w:val="center"/>
          </w:tcPr>
          <w:p w14:paraId="695AE1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13218526785</w:t>
            </w:r>
          </w:p>
        </w:tc>
      </w:tr>
      <w:tr w14:paraId="42F788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605DD9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25A0FA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eastAsia="zh-CN"/>
              </w:rPr>
              <w:t>成员</w:t>
            </w:r>
          </w:p>
        </w:tc>
        <w:tc>
          <w:tcPr>
            <w:tcW w:w="1758" w:type="dxa"/>
            <w:tcBorders>
              <w:tl2br w:val="nil"/>
              <w:tr2bl w:val="nil"/>
            </w:tcBorders>
            <w:noWrap w:val="0"/>
            <w:vAlign w:val="center"/>
          </w:tcPr>
          <w:p w14:paraId="3F8FE2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左菊香</w:t>
            </w:r>
          </w:p>
        </w:tc>
        <w:tc>
          <w:tcPr>
            <w:tcW w:w="1758" w:type="dxa"/>
            <w:tcBorders>
              <w:tl2br w:val="nil"/>
              <w:tr2bl w:val="nil"/>
            </w:tcBorders>
            <w:noWrap w:val="0"/>
            <w:vAlign w:val="center"/>
          </w:tcPr>
          <w:p w14:paraId="547DFE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员工</w:t>
            </w:r>
          </w:p>
        </w:tc>
        <w:tc>
          <w:tcPr>
            <w:tcW w:w="1757" w:type="dxa"/>
            <w:tcBorders>
              <w:tl2br w:val="nil"/>
              <w:tr2bl w:val="nil"/>
            </w:tcBorders>
            <w:noWrap w:val="0"/>
            <w:vAlign w:val="center"/>
          </w:tcPr>
          <w:p w14:paraId="09037A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18279282995</w:t>
            </w:r>
          </w:p>
        </w:tc>
      </w:tr>
      <w:tr w14:paraId="5EFB81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58327C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2A3F74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eastAsia="zh-CN"/>
              </w:rPr>
            </w:pPr>
            <w:r>
              <w:rPr>
                <w:rFonts w:hint="eastAsia" w:ascii="Times New Roman" w:hAnsi="Times New Roman" w:eastAsia="宋体" w:cs="Times New Roman"/>
                <w:b w:val="0"/>
                <w:bCs w:val="0"/>
                <w:color w:val="000000"/>
                <w:sz w:val="21"/>
                <w:szCs w:val="21"/>
                <w:lang w:val="en-US" w:eastAsia="zh-CN"/>
              </w:rPr>
              <w:t>成员</w:t>
            </w:r>
          </w:p>
        </w:tc>
        <w:tc>
          <w:tcPr>
            <w:tcW w:w="1758" w:type="dxa"/>
            <w:tcBorders>
              <w:tl2br w:val="nil"/>
              <w:tr2bl w:val="nil"/>
            </w:tcBorders>
            <w:noWrap w:val="0"/>
            <w:vAlign w:val="center"/>
          </w:tcPr>
          <w:p w14:paraId="7E1854B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杨瑾</w:t>
            </w:r>
          </w:p>
        </w:tc>
        <w:tc>
          <w:tcPr>
            <w:tcW w:w="1758" w:type="dxa"/>
            <w:tcBorders>
              <w:tl2br w:val="nil"/>
              <w:tr2bl w:val="nil"/>
            </w:tcBorders>
            <w:noWrap w:val="0"/>
            <w:vAlign w:val="center"/>
          </w:tcPr>
          <w:p w14:paraId="274D91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员工</w:t>
            </w:r>
          </w:p>
        </w:tc>
        <w:tc>
          <w:tcPr>
            <w:tcW w:w="1757" w:type="dxa"/>
            <w:tcBorders>
              <w:tl2br w:val="nil"/>
              <w:tr2bl w:val="nil"/>
            </w:tcBorders>
            <w:noWrap w:val="0"/>
            <w:vAlign w:val="center"/>
          </w:tcPr>
          <w:p w14:paraId="779419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18486591804</w:t>
            </w:r>
          </w:p>
        </w:tc>
      </w:tr>
      <w:tr w14:paraId="545B3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restart"/>
            <w:tcBorders>
              <w:tl2br w:val="nil"/>
              <w:tr2bl w:val="nil"/>
            </w:tcBorders>
            <w:noWrap w:val="0"/>
            <w:vAlign w:val="center"/>
          </w:tcPr>
          <w:p w14:paraId="22CB85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应急监测组</w:t>
            </w:r>
          </w:p>
        </w:tc>
        <w:tc>
          <w:tcPr>
            <w:tcW w:w="1757" w:type="dxa"/>
            <w:tcBorders>
              <w:tl2br w:val="nil"/>
              <w:tr2bl w:val="nil"/>
            </w:tcBorders>
            <w:noWrap w:val="0"/>
            <w:vAlign w:val="center"/>
          </w:tcPr>
          <w:p w14:paraId="38342E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rPr>
              <w:t>组长</w:t>
            </w:r>
          </w:p>
        </w:tc>
        <w:tc>
          <w:tcPr>
            <w:tcW w:w="1758" w:type="dxa"/>
            <w:tcBorders>
              <w:tl2br w:val="nil"/>
              <w:tr2bl w:val="nil"/>
            </w:tcBorders>
            <w:noWrap w:val="0"/>
            <w:vAlign w:val="center"/>
          </w:tcPr>
          <w:p w14:paraId="0901216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淦千牛</w:t>
            </w:r>
          </w:p>
        </w:tc>
        <w:tc>
          <w:tcPr>
            <w:tcW w:w="1758" w:type="dxa"/>
            <w:tcBorders>
              <w:tl2br w:val="nil"/>
              <w:tr2bl w:val="nil"/>
            </w:tcBorders>
            <w:noWrap w:val="0"/>
            <w:vAlign w:val="center"/>
          </w:tcPr>
          <w:p w14:paraId="129600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员工</w:t>
            </w:r>
          </w:p>
        </w:tc>
        <w:tc>
          <w:tcPr>
            <w:tcW w:w="1757" w:type="dxa"/>
            <w:tcBorders>
              <w:tl2br w:val="nil"/>
              <w:tr2bl w:val="nil"/>
            </w:tcBorders>
            <w:noWrap w:val="0"/>
            <w:vAlign w:val="center"/>
          </w:tcPr>
          <w:p w14:paraId="0B9139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18068621299</w:t>
            </w:r>
          </w:p>
        </w:tc>
      </w:tr>
      <w:tr w14:paraId="059E5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18208F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56A46D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eastAsia="zh-CN"/>
              </w:rPr>
              <w:t>成员</w:t>
            </w:r>
          </w:p>
        </w:tc>
        <w:tc>
          <w:tcPr>
            <w:tcW w:w="1758" w:type="dxa"/>
            <w:tcBorders>
              <w:tl2br w:val="nil"/>
              <w:tr2bl w:val="nil"/>
            </w:tcBorders>
            <w:noWrap w:val="0"/>
            <w:vAlign w:val="center"/>
          </w:tcPr>
          <w:p w14:paraId="239FAD5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淦作平</w:t>
            </w:r>
          </w:p>
        </w:tc>
        <w:tc>
          <w:tcPr>
            <w:tcW w:w="1758" w:type="dxa"/>
            <w:tcBorders>
              <w:tl2br w:val="nil"/>
              <w:tr2bl w:val="nil"/>
            </w:tcBorders>
            <w:noWrap w:val="0"/>
            <w:vAlign w:val="center"/>
          </w:tcPr>
          <w:p w14:paraId="1414B9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员工</w:t>
            </w:r>
          </w:p>
        </w:tc>
        <w:tc>
          <w:tcPr>
            <w:tcW w:w="1757" w:type="dxa"/>
            <w:tcBorders>
              <w:tl2br w:val="nil"/>
              <w:tr2bl w:val="nil"/>
            </w:tcBorders>
            <w:noWrap w:val="0"/>
            <w:vAlign w:val="center"/>
          </w:tcPr>
          <w:p w14:paraId="215483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15397926896</w:t>
            </w:r>
          </w:p>
        </w:tc>
      </w:tr>
      <w:tr w14:paraId="69255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57" w:type="dxa"/>
            <w:vMerge w:val="continue"/>
            <w:tcBorders>
              <w:tl2br w:val="nil"/>
              <w:tr2bl w:val="nil"/>
            </w:tcBorders>
            <w:noWrap w:val="0"/>
            <w:vAlign w:val="center"/>
          </w:tcPr>
          <w:p w14:paraId="07BF9E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rPr>
            </w:pPr>
          </w:p>
        </w:tc>
        <w:tc>
          <w:tcPr>
            <w:tcW w:w="1757" w:type="dxa"/>
            <w:tcBorders>
              <w:tl2br w:val="nil"/>
              <w:tr2bl w:val="nil"/>
            </w:tcBorders>
            <w:noWrap w:val="0"/>
            <w:vAlign w:val="center"/>
          </w:tcPr>
          <w:p w14:paraId="37CABC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eastAsia="zh-CN"/>
              </w:rPr>
            </w:pPr>
            <w:r>
              <w:rPr>
                <w:rFonts w:hint="eastAsia" w:ascii="Times New Roman" w:hAnsi="Times New Roman" w:eastAsia="宋体" w:cs="Times New Roman"/>
                <w:b w:val="0"/>
                <w:bCs w:val="0"/>
                <w:color w:val="000000"/>
                <w:sz w:val="21"/>
                <w:szCs w:val="21"/>
                <w:lang w:val="en-US" w:eastAsia="zh-CN"/>
              </w:rPr>
              <w:t>成员</w:t>
            </w:r>
          </w:p>
        </w:tc>
        <w:tc>
          <w:tcPr>
            <w:tcW w:w="1758" w:type="dxa"/>
            <w:tcBorders>
              <w:tl2br w:val="nil"/>
              <w:tr2bl w:val="nil"/>
            </w:tcBorders>
            <w:noWrap w:val="0"/>
            <w:vAlign w:val="center"/>
          </w:tcPr>
          <w:p w14:paraId="24F7C35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龙明仙</w:t>
            </w:r>
          </w:p>
        </w:tc>
        <w:tc>
          <w:tcPr>
            <w:tcW w:w="1758" w:type="dxa"/>
            <w:tcBorders>
              <w:tl2br w:val="nil"/>
              <w:tr2bl w:val="nil"/>
            </w:tcBorders>
            <w:noWrap w:val="0"/>
            <w:vAlign w:val="center"/>
          </w:tcPr>
          <w:p w14:paraId="1498D10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员工</w:t>
            </w:r>
          </w:p>
        </w:tc>
        <w:tc>
          <w:tcPr>
            <w:tcW w:w="1757" w:type="dxa"/>
            <w:tcBorders>
              <w:tl2br w:val="nil"/>
              <w:tr2bl w:val="nil"/>
            </w:tcBorders>
            <w:noWrap w:val="0"/>
            <w:vAlign w:val="center"/>
          </w:tcPr>
          <w:p w14:paraId="64BAD3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15761432687</w:t>
            </w:r>
          </w:p>
        </w:tc>
      </w:tr>
    </w:tbl>
    <w:p w14:paraId="1ECFEEE4">
      <w:pPr>
        <w:pStyle w:val="13"/>
        <w:spacing w:before="0" w:after="0" w:line="500" w:lineRule="exact"/>
        <w:ind w:right="0"/>
        <w:jc w:val="both"/>
        <w:rPr>
          <w:rFonts w:hint="default" w:ascii="Times New Roman" w:hAnsi="Times New Roman" w:eastAsia="宋体" w:cs="Times New Roman"/>
          <w:b/>
          <w:bCs/>
          <w:lang w:val="en-US" w:eastAsia="zh-CN"/>
        </w:rPr>
      </w:pP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10"/>
          <w:sz w:val="24"/>
          <w:szCs w:val="24"/>
          <w:u w:val="none"/>
          <w:lang w:eastAsia="zh-CN"/>
          <w14:textFill>
            <w14:solidFill>
              <w14:schemeClr w14:val="tx1"/>
            </w14:solidFill>
          </w14:textFill>
        </w:rPr>
        <w:t>海安帝洁雅家具有限公司</w:t>
      </w:r>
      <w:r>
        <w:rPr>
          <w:rStyle w:val="39"/>
          <w:rFonts w:hint="eastAsia" w:eastAsia="宋体" w:cs="Times New Roman"/>
          <w:i w:val="0"/>
          <w:iCs w:val="0"/>
          <w:caps w:val="0"/>
          <w:color w:val="000000" w:themeColor="text1"/>
          <w:spacing w:val="-10"/>
          <w:sz w:val="24"/>
          <w:szCs w:val="24"/>
          <w:u w:val="none"/>
          <w:lang w:eastAsia="zh-CN"/>
          <w14:textFill>
            <w14:solidFill>
              <w14:schemeClr w14:val="tx1"/>
            </w14:solidFill>
          </w14:textFill>
        </w:rPr>
        <w:tab/>
      </w:r>
      <w:r>
        <w:rPr>
          <w:rFonts w:hint="default"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end"/>
      </w:r>
      <w:r>
        <w:rPr>
          <w:rFonts w:eastAsia="宋体"/>
          <w:spacing w:val="-10"/>
        </w:rPr>
        <w:t>针对应急预案应急救援组织机构下设总指挥、副总指挥、综合</w:t>
      </w:r>
      <w:r>
        <w:rPr>
          <w:rFonts w:hint="eastAsia" w:ascii="Times New Roman" w:hAnsi="Times New Roman" w:eastAsia="宋体" w:cs="Times New Roman"/>
          <w:spacing w:val="-10"/>
          <w:lang w:val="en-US" w:eastAsia="zh-CN"/>
        </w:rPr>
        <w:t>协调</w:t>
      </w:r>
      <w:r>
        <w:rPr>
          <w:rFonts w:eastAsia="宋体"/>
          <w:spacing w:val="-10"/>
        </w:rPr>
        <w:t>组、</w:t>
      </w:r>
      <w:r>
        <w:rPr>
          <w:rFonts w:hint="eastAsia" w:ascii="Times New Roman" w:hAnsi="Times New Roman" w:eastAsia="宋体" w:cs="Times New Roman"/>
          <w:spacing w:val="-10"/>
          <w:lang w:val="en-US" w:eastAsia="zh-CN"/>
        </w:rPr>
        <w:t>现场处置</w:t>
      </w:r>
      <w:r>
        <w:rPr>
          <w:rFonts w:eastAsia="宋体"/>
          <w:spacing w:val="-10"/>
        </w:rPr>
        <w:t>组、</w:t>
      </w:r>
      <w:r>
        <w:rPr>
          <w:rFonts w:hint="eastAsia" w:ascii="Times New Roman" w:hAnsi="Times New Roman" w:eastAsia="宋体" w:cs="Times New Roman"/>
          <w:spacing w:val="-10"/>
          <w:lang w:val="en-US" w:eastAsia="zh-CN"/>
        </w:rPr>
        <w:t>应急保障</w:t>
      </w:r>
      <w:r>
        <w:rPr>
          <w:rFonts w:eastAsia="宋体"/>
          <w:spacing w:val="-10"/>
        </w:rPr>
        <w:t>组、</w:t>
      </w:r>
      <w:r>
        <w:rPr>
          <w:rFonts w:hint="eastAsia" w:ascii="Times New Roman" w:hAnsi="Times New Roman" w:eastAsia="宋体" w:cs="Times New Roman"/>
          <w:spacing w:val="-10"/>
          <w:lang w:val="en-US" w:eastAsia="zh-CN"/>
        </w:rPr>
        <w:t>医疗救治</w:t>
      </w:r>
      <w:r>
        <w:rPr>
          <w:rFonts w:eastAsia="宋体"/>
          <w:spacing w:val="-10"/>
        </w:rPr>
        <w:t>组、</w:t>
      </w:r>
      <w:r>
        <w:rPr>
          <w:rFonts w:hint="eastAsia" w:ascii="Times New Roman" w:hAnsi="Times New Roman" w:eastAsia="宋体" w:cs="Times New Roman"/>
          <w:spacing w:val="-10"/>
          <w:lang w:val="en-US" w:eastAsia="zh-CN"/>
        </w:rPr>
        <w:t>应急</w:t>
      </w:r>
      <w:r>
        <w:rPr>
          <w:rFonts w:eastAsia="宋体"/>
          <w:spacing w:val="-10"/>
        </w:rPr>
        <w:t>监测组。具体救援组成员见表</w:t>
      </w:r>
      <w:r>
        <w:rPr>
          <w:rFonts w:ascii="Times New Roman" w:eastAsia="宋体"/>
          <w:spacing w:val="-10"/>
        </w:rPr>
        <w:t>3-</w:t>
      </w:r>
      <w:r>
        <w:rPr>
          <w:rFonts w:hint="eastAsia" w:eastAsia="宋体"/>
          <w:spacing w:val="-10"/>
          <w:lang w:val="en-US" w:eastAsia="zh-CN"/>
        </w:rPr>
        <w:t>21</w:t>
      </w:r>
      <w:r>
        <w:rPr>
          <w:rFonts w:eastAsia="宋体"/>
          <w:spacing w:val="-10"/>
        </w:rPr>
        <w:t>所示。</w:t>
      </w:r>
    </w:p>
    <w:p w14:paraId="050E8F40">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39" w:name="_TOC_250045"/>
      <w:bookmarkEnd w:id="139"/>
      <w:bookmarkStart w:id="140" w:name="3.7.5外部应急救援力量"/>
      <w:bookmarkEnd w:id="140"/>
      <w:bookmarkStart w:id="141" w:name="_Toc26885"/>
      <w:bookmarkStart w:id="142" w:name="_Toc22493"/>
      <w:r>
        <w:rPr>
          <w:rFonts w:hint="default" w:ascii="Times New Roman" w:hAnsi="Times New Roman" w:eastAsia="宋体" w:cs="Times New Roman"/>
          <w:sz w:val="24"/>
          <w:szCs w:val="24"/>
        </w:rPr>
        <w:t>3.</w:t>
      </w:r>
      <w:r>
        <w:rPr>
          <w:rFonts w:hint="eastAsia" w:cs="Times New Roman"/>
          <w:sz w:val="24"/>
          <w:szCs w:val="24"/>
          <w:lang w:val="en-US" w:eastAsia="zh-CN"/>
        </w:rPr>
        <w:t>8.5</w:t>
      </w:r>
      <w:r>
        <w:rPr>
          <w:rFonts w:hint="eastAsia" w:eastAsia="宋体" w:cs="Times New Roman"/>
          <w:sz w:val="24"/>
          <w:szCs w:val="24"/>
          <w:lang w:val="en-US" w:eastAsia="zh-CN"/>
        </w:rPr>
        <w:t>外部应急救援力量</w:t>
      </w:r>
      <w:bookmarkEnd w:id="141"/>
      <w:bookmarkEnd w:id="142"/>
    </w:p>
    <w:p w14:paraId="1EDFC3A8">
      <w:pPr>
        <w:pStyle w:val="13"/>
        <w:spacing w:before="0" w:after="0" w:line="500" w:lineRule="exact"/>
        <w:ind w:left="0" w:right="0" w:firstLine="480" w:firstLineChars="200"/>
        <w:rPr>
          <w:rFonts w:hint="default" w:eastAsia="宋体"/>
        </w:rPr>
      </w:pPr>
      <w:r>
        <w:rPr>
          <w:rFonts w:hint="default" w:eastAsia="宋体"/>
        </w:rPr>
        <w:t>当遇到较大或重大突发环境事件时，应及时向表</w:t>
      </w:r>
      <w:r>
        <w:rPr>
          <w:rFonts w:hint="default" w:ascii="Times New Roman" w:eastAsia="宋体"/>
        </w:rPr>
        <w:t>3-</w:t>
      </w:r>
      <w:r>
        <w:rPr>
          <w:rFonts w:hint="eastAsia" w:ascii="Times New Roman" w:hAnsi="Times New Roman" w:eastAsia="宋体" w:cs="Times New Roman"/>
          <w:lang w:eastAsia="zh-CN"/>
        </w:rPr>
        <w:t>2</w:t>
      </w:r>
      <w:r>
        <w:rPr>
          <w:rFonts w:hint="eastAsia" w:eastAsia="宋体" w:cs="Times New Roman"/>
          <w:lang w:val="en-US" w:eastAsia="zh-CN"/>
        </w:rPr>
        <w:t>2</w:t>
      </w:r>
      <w:r>
        <w:rPr>
          <w:rFonts w:hint="default" w:eastAsia="宋体"/>
        </w:rPr>
        <w:t>中的外部应急救援力量请求援助，以便将事故造成的危害控制降至最低。</w:t>
      </w:r>
    </w:p>
    <w:p w14:paraId="26807D34">
      <w:pPr>
        <w:keepNext/>
        <w:keepLines/>
        <w:spacing w:before="0" w:line="500" w:lineRule="exact"/>
        <w:ind w:left="0"/>
        <w:jc w:val="center"/>
        <w:outlineLvl w:val="9"/>
        <w:rPr>
          <w:rFonts w:hint="default" w:ascii="Times New Roman" w:hAnsi="Times New Roman" w:eastAsia="宋体" w:cs="Times New Roman"/>
          <w:b/>
          <w:bCs/>
          <w:lang w:val="en-US" w:eastAsia="zh-CN"/>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ascii="Times New Roman" w:hAnsi="Times New Roman" w:eastAsia="宋体" w:cs="Times New Roman"/>
          <w:b/>
          <w:bCs/>
          <w:lang w:val="en-US" w:eastAsia="zh-CN"/>
        </w:rPr>
        <w:t>2</w:t>
      </w:r>
      <w:r>
        <w:rPr>
          <w:rFonts w:hint="eastAsia" w:eastAsia="宋体" w:cs="Times New Roman"/>
          <w:b/>
          <w:bCs/>
          <w:lang w:val="en-US" w:eastAsia="zh-CN"/>
        </w:rPr>
        <w:t>3</w:t>
      </w:r>
      <w:r>
        <w:rPr>
          <w:rFonts w:hint="eastAsia" w:ascii="Times New Roman" w:hAnsi="Times New Roman" w:eastAsia="宋体" w:cs="Times New Roman"/>
          <w:b/>
          <w:bCs/>
          <w:lang w:val="en-US" w:eastAsia="zh-CN"/>
        </w:rPr>
        <w:t>外部应急救援通讯录</w:t>
      </w:r>
    </w:p>
    <w:tbl>
      <w:tblPr>
        <w:tblStyle w:val="37"/>
        <w:tblW w:w="0" w:type="auto"/>
        <w:tblInd w:w="1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26"/>
        <w:gridCol w:w="4270"/>
        <w:gridCol w:w="3309"/>
      </w:tblGrid>
      <w:tr w14:paraId="6F3C83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162D3FB7">
            <w:pPr>
              <w:pStyle w:val="140"/>
              <w:spacing w:before="0"/>
              <w:ind w:left="0" w:right="0"/>
              <w:rPr>
                <w:b/>
                <w:sz w:val="21"/>
              </w:rPr>
            </w:pPr>
            <w:r>
              <w:rPr>
                <w:b/>
                <w:sz w:val="21"/>
              </w:rPr>
              <w:t>序号</w:t>
            </w:r>
          </w:p>
        </w:tc>
        <w:tc>
          <w:tcPr>
            <w:tcW w:w="4270" w:type="dxa"/>
            <w:tcBorders>
              <w:tl2br w:val="nil"/>
              <w:tr2bl w:val="nil"/>
            </w:tcBorders>
            <w:vAlign w:val="center"/>
          </w:tcPr>
          <w:p w14:paraId="7B969DA4">
            <w:pPr>
              <w:pStyle w:val="140"/>
              <w:spacing w:before="0"/>
              <w:ind w:left="0" w:right="0"/>
              <w:rPr>
                <w:b/>
                <w:sz w:val="21"/>
              </w:rPr>
            </w:pPr>
            <w:r>
              <w:rPr>
                <w:b/>
                <w:sz w:val="21"/>
              </w:rPr>
              <w:t>部门名称</w:t>
            </w:r>
          </w:p>
        </w:tc>
        <w:tc>
          <w:tcPr>
            <w:tcW w:w="3309" w:type="dxa"/>
            <w:tcBorders>
              <w:tl2br w:val="nil"/>
              <w:tr2bl w:val="nil"/>
            </w:tcBorders>
            <w:vAlign w:val="center"/>
          </w:tcPr>
          <w:p w14:paraId="63C8CB06">
            <w:pPr>
              <w:pStyle w:val="140"/>
              <w:spacing w:before="0"/>
              <w:ind w:left="0" w:right="0"/>
              <w:rPr>
                <w:b/>
                <w:sz w:val="21"/>
              </w:rPr>
            </w:pPr>
            <w:r>
              <w:rPr>
                <w:b/>
                <w:sz w:val="21"/>
              </w:rPr>
              <w:t>报警或值班电话</w:t>
            </w:r>
          </w:p>
        </w:tc>
      </w:tr>
      <w:tr w14:paraId="47A02D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FB15235">
            <w:pPr>
              <w:pStyle w:val="140"/>
              <w:spacing w:before="0"/>
              <w:ind w:left="0"/>
              <w:rPr>
                <w:rFonts w:ascii="Times New Roman"/>
                <w:sz w:val="21"/>
              </w:rPr>
            </w:pPr>
            <w:r>
              <w:rPr>
                <w:rFonts w:ascii="Times New Roman"/>
                <w:w w:val="99"/>
                <w:sz w:val="21"/>
              </w:rPr>
              <w:t>1</w:t>
            </w:r>
          </w:p>
        </w:tc>
        <w:tc>
          <w:tcPr>
            <w:tcW w:w="4270" w:type="dxa"/>
            <w:tcBorders>
              <w:tl2br w:val="nil"/>
              <w:tr2bl w:val="nil"/>
            </w:tcBorders>
            <w:vAlign w:val="center"/>
          </w:tcPr>
          <w:p w14:paraId="6297ADF4">
            <w:pPr>
              <w:pStyle w:val="140"/>
              <w:spacing w:before="0"/>
              <w:ind w:left="0" w:right="0"/>
              <w:rPr>
                <w:sz w:val="21"/>
              </w:rPr>
            </w:pPr>
            <w:r>
              <w:rPr>
                <w:sz w:val="21"/>
              </w:rPr>
              <w:t>海安市政府办公室</w:t>
            </w:r>
          </w:p>
        </w:tc>
        <w:tc>
          <w:tcPr>
            <w:tcW w:w="3309" w:type="dxa"/>
            <w:tcBorders>
              <w:tl2br w:val="nil"/>
              <w:tr2bl w:val="nil"/>
            </w:tcBorders>
            <w:vAlign w:val="center"/>
          </w:tcPr>
          <w:p w14:paraId="3A1D914E">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88813815</w:t>
            </w:r>
          </w:p>
        </w:tc>
      </w:tr>
      <w:tr w14:paraId="78184B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FE7946F">
            <w:pPr>
              <w:pStyle w:val="140"/>
              <w:spacing w:before="0"/>
              <w:ind w:left="0"/>
              <w:rPr>
                <w:rFonts w:ascii="Times New Roman"/>
                <w:sz w:val="21"/>
              </w:rPr>
            </w:pPr>
            <w:r>
              <w:rPr>
                <w:rFonts w:ascii="Times New Roman"/>
                <w:w w:val="99"/>
                <w:sz w:val="21"/>
              </w:rPr>
              <w:t>2</w:t>
            </w:r>
          </w:p>
        </w:tc>
        <w:tc>
          <w:tcPr>
            <w:tcW w:w="4270" w:type="dxa"/>
            <w:tcBorders>
              <w:tl2br w:val="nil"/>
              <w:tr2bl w:val="nil"/>
            </w:tcBorders>
            <w:vAlign w:val="center"/>
          </w:tcPr>
          <w:p w14:paraId="4D48BC33">
            <w:pPr>
              <w:pStyle w:val="140"/>
              <w:spacing w:before="0"/>
              <w:ind w:left="0" w:right="0"/>
              <w:rPr>
                <w:sz w:val="21"/>
              </w:rPr>
            </w:pPr>
            <w:r>
              <w:rPr>
                <w:sz w:val="21"/>
              </w:rPr>
              <w:t>海安市应急管理局</w:t>
            </w:r>
          </w:p>
        </w:tc>
        <w:tc>
          <w:tcPr>
            <w:tcW w:w="3309" w:type="dxa"/>
            <w:tcBorders>
              <w:tl2br w:val="nil"/>
              <w:tr2bl w:val="nil"/>
            </w:tcBorders>
            <w:vAlign w:val="center"/>
          </w:tcPr>
          <w:p w14:paraId="17C94C12">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88169809</w:t>
            </w:r>
          </w:p>
        </w:tc>
      </w:tr>
      <w:tr w14:paraId="620DA9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4D08E7DB">
            <w:pPr>
              <w:pStyle w:val="140"/>
              <w:spacing w:before="0"/>
              <w:ind w:left="0"/>
              <w:rPr>
                <w:rFonts w:ascii="Times New Roman"/>
                <w:sz w:val="21"/>
              </w:rPr>
            </w:pPr>
            <w:r>
              <w:rPr>
                <w:rFonts w:ascii="Times New Roman"/>
                <w:w w:val="99"/>
                <w:sz w:val="21"/>
              </w:rPr>
              <w:t>3</w:t>
            </w:r>
          </w:p>
        </w:tc>
        <w:tc>
          <w:tcPr>
            <w:tcW w:w="4270" w:type="dxa"/>
            <w:tcBorders>
              <w:tl2br w:val="nil"/>
              <w:tr2bl w:val="nil"/>
            </w:tcBorders>
            <w:vAlign w:val="center"/>
          </w:tcPr>
          <w:p w14:paraId="7EDF1899">
            <w:pPr>
              <w:pStyle w:val="140"/>
              <w:spacing w:before="0"/>
              <w:ind w:left="0" w:right="0"/>
              <w:rPr>
                <w:sz w:val="21"/>
              </w:rPr>
            </w:pPr>
            <w:r>
              <w:rPr>
                <w:sz w:val="21"/>
              </w:rPr>
              <w:t>海安市公安局</w:t>
            </w:r>
          </w:p>
        </w:tc>
        <w:tc>
          <w:tcPr>
            <w:tcW w:w="3309" w:type="dxa"/>
            <w:tcBorders>
              <w:tl2br w:val="nil"/>
              <w:tr2bl w:val="nil"/>
            </w:tcBorders>
            <w:vAlign w:val="center"/>
          </w:tcPr>
          <w:p w14:paraId="5092B715">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88926999</w:t>
            </w:r>
          </w:p>
        </w:tc>
      </w:tr>
      <w:tr w14:paraId="00CD4F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714A45D9">
            <w:pPr>
              <w:pStyle w:val="140"/>
              <w:spacing w:before="0"/>
              <w:ind w:left="0"/>
              <w:rPr>
                <w:rFonts w:ascii="Times New Roman"/>
                <w:sz w:val="21"/>
              </w:rPr>
            </w:pPr>
            <w:r>
              <w:rPr>
                <w:rFonts w:ascii="Times New Roman"/>
                <w:w w:val="99"/>
                <w:sz w:val="21"/>
              </w:rPr>
              <w:t>4</w:t>
            </w:r>
          </w:p>
        </w:tc>
        <w:tc>
          <w:tcPr>
            <w:tcW w:w="4270" w:type="dxa"/>
            <w:tcBorders>
              <w:tl2br w:val="nil"/>
              <w:tr2bl w:val="nil"/>
            </w:tcBorders>
            <w:vAlign w:val="center"/>
          </w:tcPr>
          <w:p w14:paraId="09E45F7F">
            <w:pPr>
              <w:pStyle w:val="140"/>
              <w:spacing w:before="0"/>
              <w:ind w:left="0" w:right="0"/>
              <w:rPr>
                <w:sz w:val="21"/>
              </w:rPr>
            </w:pPr>
            <w:r>
              <w:rPr>
                <w:sz w:val="21"/>
              </w:rPr>
              <w:t>海安市治安大队</w:t>
            </w:r>
          </w:p>
        </w:tc>
        <w:tc>
          <w:tcPr>
            <w:tcW w:w="3309" w:type="dxa"/>
            <w:tcBorders>
              <w:tl2br w:val="nil"/>
              <w:tr2bl w:val="nil"/>
            </w:tcBorders>
            <w:vAlign w:val="center"/>
          </w:tcPr>
          <w:p w14:paraId="2B4B62F7">
            <w:pPr>
              <w:pStyle w:val="140"/>
              <w:spacing w:before="0"/>
              <w:ind w:left="0" w:right="0"/>
              <w:rPr>
                <w:rFonts w:ascii="Times New Roman"/>
                <w:sz w:val="21"/>
              </w:rPr>
            </w:pPr>
            <w:r>
              <w:rPr>
                <w:rFonts w:ascii="Times New Roman"/>
                <w:sz w:val="21"/>
              </w:rPr>
              <w:t>110</w:t>
            </w:r>
          </w:p>
        </w:tc>
      </w:tr>
      <w:tr w14:paraId="08A4B7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68" w:hRule="atLeast"/>
        </w:trPr>
        <w:tc>
          <w:tcPr>
            <w:tcW w:w="926" w:type="dxa"/>
            <w:tcBorders>
              <w:tl2br w:val="nil"/>
              <w:tr2bl w:val="nil"/>
            </w:tcBorders>
            <w:vAlign w:val="center"/>
          </w:tcPr>
          <w:p w14:paraId="38EFB2F0">
            <w:pPr>
              <w:pStyle w:val="140"/>
              <w:spacing w:before="0"/>
              <w:ind w:left="0"/>
              <w:rPr>
                <w:rFonts w:ascii="Times New Roman"/>
                <w:sz w:val="21"/>
              </w:rPr>
            </w:pPr>
            <w:r>
              <w:rPr>
                <w:rFonts w:ascii="Times New Roman"/>
                <w:w w:val="99"/>
                <w:sz w:val="21"/>
              </w:rPr>
              <w:t>5</w:t>
            </w:r>
          </w:p>
        </w:tc>
        <w:tc>
          <w:tcPr>
            <w:tcW w:w="4270" w:type="dxa"/>
            <w:tcBorders>
              <w:tl2br w:val="nil"/>
              <w:tr2bl w:val="nil"/>
            </w:tcBorders>
            <w:vAlign w:val="center"/>
          </w:tcPr>
          <w:p w14:paraId="6A09433B">
            <w:pPr>
              <w:pStyle w:val="140"/>
              <w:spacing w:before="0"/>
              <w:ind w:left="0" w:right="0"/>
              <w:rPr>
                <w:sz w:val="21"/>
              </w:rPr>
            </w:pPr>
            <w:r>
              <w:rPr>
                <w:sz w:val="21"/>
              </w:rPr>
              <w:t>海安市消防救援大队</w:t>
            </w:r>
          </w:p>
        </w:tc>
        <w:tc>
          <w:tcPr>
            <w:tcW w:w="3309" w:type="dxa"/>
            <w:tcBorders>
              <w:tl2br w:val="nil"/>
              <w:tr2bl w:val="nil"/>
            </w:tcBorders>
            <w:vAlign w:val="center"/>
          </w:tcPr>
          <w:p w14:paraId="6D85C225">
            <w:pPr>
              <w:pStyle w:val="140"/>
              <w:spacing w:before="0"/>
              <w:ind w:left="0" w:right="0"/>
              <w:rPr>
                <w:sz w:val="21"/>
              </w:rPr>
            </w:pPr>
            <w:r>
              <w:rPr>
                <w:rFonts w:ascii="Times New Roman" w:eastAsia="Times New Roman"/>
                <w:sz w:val="21"/>
              </w:rPr>
              <w:t>119</w:t>
            </w:r>
            <w:r>
              <w:rPr>
                <w:sz w:val="21"/>
              </w:rPr>
              <w:t>（火警）</w:t>
            </w:r>
          </w:p>
        </w:tc>
      </w:tr>
      <w:tr w14:paraId="7A115E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754A58BF">
            <w:pPr>
              <w:pStyle w:val="140"/>
              <w:spacing w:before="0"/>
              <w:ind w:left="0"/>
              <w:rPr>
                <w:rFonts w:ascii="Times New Roman"/>
                <w:sz w:val="21"/>
              </w:rPr>
            </w:pPr>
            <w:r>
              <w:rPr>
                <w:rFonts w:ascii="Times New Roman"/>
                <w:w w:val="99"/>
                <w:sz w:val="21"/>
              </w:rPr>
              <w:t>6</w:t>
            </w:r>
          </w:p>
        </w:tc>
        <w:tc>
          <w:tcPr>
            <w:tcW w:w="4270" w:type="dxa"/>
            <w:tcBorders>
              <w:tl2br w:val="nil"/>
              <w:tr2bl w:val="nil"/>
            </w:tcBorders>
            <w:vAlign w:val="center"/>
          </w:tcPr>
          <w:p w14:paraId="7C34EC41">
            <w:pPr>
              <w:pStyle w:val="140"/>
              <w:spacing w:before="0"/>
              <w:ind w:left="0" w:right="0"/>
              <w:rPr>
                <w:sz w:val="21"/>
              </w:rPr>
            </w:pPr>
            <w:r>
              <w:rPr>
                <w:sz w:val="21"/>
              </w:rPr>
              <w:t>南通市海安生态环境局</w:t>
            </w:r>
          </w:p>
        </w:tc>
        <w:tc>
          <w:tcPr>
            <w:tcW w:w="3309" w:type="dxa"/>
            <w:tcBorders>
              <w:tl2br w:val="nil"/>
              <w:tr2bl w:val="nil"/>
            </w:tcBorders>
            <w:vAlign w:val="center"/>
          </w:tcPr>
          <w:p w14:paraId="3F0A8B94">
            <w:pPr>
              <w:pStyle w:val="140"/>
              <w:spacing w:before="0"/>
              <w:ind w:left="0" w:right="0"/>
              <w:rPr>
                <w:rFonts w:ascii="Times New Roman"/>
                <w:sz w:val="21"/>
              </w:rPr>
            </w:pPr>
            <w:r>
              <w:rPr>
                <w:rFonts w:hint="eastAsia" w:ascii="Times New Roman"/>
                <w:sz w:val="21"/>
                <w:lang w:val="en-US" w:eastAsia="zh-CN"/>
              </w:rPr>
              <w:t>0513-</w:t>
            </w:r>
            <w:r>
              <w:rPr>
                <w:rFonts w:hint="default" w:ascii="Times New Roman" w:hAnsi="Times New Roman" w:eastAsia="宋体" w:cs="Times New Roman"/>
                <w:sz w:val="21"/>
                <w:szCs w:val="21"/>
              </w:rPr>
              <w:t>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14:paraId="4C9C85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926" w:type="dxa"/>
            <w:tcBorders>
              <w:tl2br w:val="nil"/>
              <w:tr2bl w:val="nil"/>
            </w:tcBorders>
            <w:vAlign w:val="center"/>
          </w:tcPr>
          <w:p w14:paraId="1707DE8E">
            <w:pPr>
              <w:pStyle w:val="140"/>
              <w:spacing w:before="0"/>
              <w:ind w:left="0"/>
              <w:rPr>
                <w:rFonts w:ascii="Times New Roman"/>
                <w:sz w:val="21"/>
              </w:rPr>
            </w:pPr>
            <w:r>
              <w:rPr>
                <w:rFonts w:ascii="Times New Roman"/>
                <w:w w:val="99"/>
                <w:sz w:val="21"/>
              </w:rPr>
              <w:t>7</w:t>
            </w:r>
          </w:p>
        </w:tc>
        <w:tc>
          <w:tcPr>
            <w:tcW w:w="4270" w:type="dxa"/>
            <w:tcBorders>
              <w:tl2br w:val="nil"/>
              <w:tr2bl w:val="nil"/>
            </w:tcBorders>
            <w:vAlign w:val="center"/>
          </w:tcPr>
          <w:p w14:paraId="229CDE42">
            <w:pPr>
              <w:pStyle w:val="140"/>
              <w:spacing w:before="0"/>
              <w:ind w:left="0" w:right="0"/>
              <w:rPr>
                <w:sz w:val="21"/>
              </w:rPr>
            </w:pPr>
            <w:r>
              <w:rPr>
                <w:sz w:val="21"/>
              </w:rPr>
              <w:t>海安市环境监测站</w:t>
            </w:r>
          </w:p>
        </w:tc>
        <w:tc>
          <w:tcPr>
            <w:tcW w:w="3309" w:type="dxa"/>
            <w:tcBorders>
              <w:tl2br w:val="nil"/>
              <w:tr2bl w:val="nil"/>
            </w:tcBorders>
            <w:vAlign w:val="center"/>
          </w:tcPr>
          <w:p w14:paraId="70CEAFF5">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88813610</w:t>
            </w:r>
          </w:p>
        </w:tc>
      </w:tr>
      <w:tr w14:paraId="209802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49AA46AE">
            <w:pPr>
              <w:pStyle w:val="140"/>
              <w:spacing w:before="0"/>
              <w:ind w:left="0"/>
              <w:rPr>
                <w:rFonts w:ascii="Times New Roman"/>
                <w:sz w:val="21"/>
              </w:rPr>
            </w:pPr>
            <w:r>
              <w:rPr>
                <w:rFonts w:ascii="Times New Roman"/>
                <w:w w:val="99"/>
                <w:sz w:val="21"/>
              </w:rPr>
              <w:t>9</w:t>
            </w:r>
          </w:p>
        </w:tc>
        <w:tc>
          <w:tcPr>
            <w:tcW w:w="4270" w:type="dxa"/>
            <w:tcBorders>
              <w:tl2br w:val="nil"/>
              <w:tr2bl w:val="nil"/>
            </w:tcBorders>
            <w:vAlign w:val="center"/>
          </w:tcPr>
          <w:p w14:paraId="1440FA4E">
            <w:pPr>
              <w:pStyle w:val="140"/>
              <w:spacing w:before="0"/>
              <w:ind w:left="0" w:right="0"/>
              <w:rPr>
                <w:sz w:val="21"/>
              </w:rPr>
            </w:pPr>
            <w:r>
              <w:rPr>
                <w:sz w:val="21"/>
              </w:rPr>
              <w:t>海安市急救中心</w:t>
            </w:r>
          </w:p>
        </w:tc>
        <w:tc>
          <w:tcPr>
            <w:tcW w:w="3309" w:type="dxa"/>
            <w:tcBorders>
              <w:tl2br w:val="nil"/>
              <w:tr2bl w:val="nil"/>
            </w:tcBorders>
            <w:vAlign w:val="center"/>
          </w:tcPr>
          <w:p w14:paraId="29CBDEEA">
            <w:pPr>
              <w:pStyle w:val="140"/>
              <w:spacing w:before="0"/>
              <w:ind w:left="0" w:right="0"/>
              <w:rPr>
                <w:rFonts w:ascii="Times New Roman"/>
                <w:sz w:val="21"/>
              </w:rPr>
            </w:pPr>
            <w:r>
              <w:rPr>
                <w:rFonts w:ascii="Times New Roman"/>
                <w:sz w:val="21"/>
              </w:rPr>
              <w:t>120</w:t>
            </w:r>
          </w:p>
        </w:tc>
      </w:tr>
      <w:tr w14:paraId="3E9C7F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087F56D7">
            <w:pPr>
              <w:pStyle w:val="140"/>
              <w:spacing w:before="0"/>
              <w:ind w:left="0" w:right="0"/>
              <w:rPr>
                <w:rFonts w:ascii="Times New Roman"/>
                <w:sz w:val="21"/>
              </w:rPr>
            </w:pPr>
            <w:r>
              <w:rPr>
                <w:rFonts w:ascii="Times New Roman"/>
                <w:sz w:val="21"/>
              </w:rPr>
              <w:t>10</w:t>
            </w:r>
          </w:p>
        </w:tc>
        <w:tc>
          <w:tcPr>
            <w:tcW w:w="4270" w:type="dxa"/>
            <w:tcBorders>
              <w:tl2br w:val="nil"/>
              <w:tr2bl w:val="nil"/>
            </w:tcBorders>
            <w:vAlign w:val="center"/>
          </w:tcPr>
          <w:p w14:paraId="6D708D00">
            <w:pPr>
              <w:pStyle w:val="140"/>
              <w:spacing w:before="0"/>
              <w:ind w:left="0" w:right="0"/>
              <w:rPr>
                <w:sz w:val="21"/>
              </w:rPr>
            </w:pPr>
            <w:r>
              <w:rPr>
                <w:sz w:val="21"/>
              </w:rPr>
              <w:t>政府热线</w:t>
            </w:r>
          </w:p>
        </w:tc>
        <w:tc>
          <w:tcPr>
            <w:tcW w:w="3309" w:type="dxa"/>
            <w:tcBorders>
              <w:tl2br w:val="nil"/>
              <w:tr2bl w:val="nil"/>
            </w:tcBorders>
            <w:vAlign w:val="center"/>
          </w:tcPr>
          <w:p w14:paraId="20A28F49">
            <w:pPr>
              <w:pStyle w:val="140"/>
              <w:spacing w:before="0"/>
              <w:ind w:left="0" w:right="0"/>
              <w:rPr>
                <w:rFonts w:ascii="Times New Roman"/>
                <w:sz w:val="21"/>
              </w:rPr>
            </w:pPr>
            <w:r>
              <w:rPr>
                <w:rFonts w:ascii="Times New Roman"/>
                <w:sz w:val="21"/>
              </w:rPr>
              <w:t>12345</w:t>
            </w:r>
          </w:p>
        </w:tc>
      </w:tr>
      <w:tr w14:paraId="05C9D6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6D547F1E">
            <w:pPr>
              <w:pStyle w:val="140"/>
              <w:spacing w:before="0"/>
              <w:ind w:left="0" w:right="0"/>
              <w:rPr>
                <w:rFonts w:ascii="Times New Roman"/>
                <w:sz w:val="21"/>
              </w:rPr>
            </w:pPr>
            <w:r>
              <w:rPr>
                <w:rFonts w:ascii="Times New Roman"/>
                <w:sz w:val="21"/>
              </w:rPr>
              <w:t>11</w:t>
            </w:r>
          </w:p>
        </w:tc>
        <w:tc>
          <w:tcPr>
            <w:tcW w:w="4270" w:type="dxa"/>
            <w:tcBorders>
              <w:tl2br w:val="nil"/>
              <w:tr2bl w:val="nil"/>
            </w:tcBorders>
            <w:vAlign w:val="center"/>
          </w:tcPr>
          <w:p w14:paraId="68D855C2">
            <w:pPr>
              <w:pStyle w:val="140"/>
              <w:spacing w:before="0"/>
              <w:ind w:left="0" w:right="0"/>
              <w:rPr>
                <w:sz w:val="21"/>
              </w:rPr>
            </w:pPr>
            <w:r>
              <w:rPr>
                <w:sz w:val="21"/>
              </w:rPr>
              <w:t>环保热线</w:t>
            </w:r>
          </w:p>
        </w:tc>
        <w:tc>
          <w:tcPr>
            <w:tcW w:w="3309" w:type="dxa"/>
            <w:tcBorders>
              <w:tl2br w:val="nil"/>
              <w:tr2bl w:val="nil"/>
            </w:tcBorders>
            <w:vAlign w:val="center"/>
          </w:tcPr>
          <w:p w14:paraId="6EC8713C">
            <w:pPr>
              <w:pStyle w:val="140"/>
              <w:spacing w:before="0"/>
              <w:ind w:left="0" w:right="0"/>
              <w:rPr>
                <w:rFonts w:ascii="Times New Roman"/>
                <w:sz w:val="21"/>
              </w:rPr>
            </w:pPr>
            <w:r>
              <w:rPr>
                <w:rFonts w:ascii="Times New Roman"/>
                <w:sz w:val="21"/>
              </w:rPr>
              <w:t>12369</w:t>
            </w:r>
          </w:p>
        </w:tc>
      </w:tr>
      <w:tr w14:paraId="23886B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3" w:hRule="atLeast"/>
        </w:trPr>
        <w:tc>
          <w:tcPr>
            <w:tcW w:w="926" w:type="dxa"/>
            <w:tcBorders>
              <w:tl2br w:val="nil"/>
              <w:tr2bl w:val="nil"/>
            </w:tcBorders>
            <w:vAlign w:val="center"/>
          </w:tcPr>
          <w:p w14:paraId="21845249">
            <w:pPr>
              <w:pStyle w:val="140"/>
              <w:spacing w:before="0"/>
              <w:ind w:left="0" w:right="0"/>
              <w:rPr>
                <w:rFonts w:ascii="Times New Roman"/>
                <w:sz w:val="21"/>
              </w:rPr>
            </w:pPr>
            <w:r>
              <w:rPr>
                <w:rFonts w:ascii="Times New Roman"/>
                <w:sz w:val="21"/>
              </w:rPr>
              <w:t>12</w:t>
            </w:r>
          </w:p>
        </w:tc>
        <w:tc>
          <w:tcPr>
            <w:tcW w:w="4270" w:type="dxa"/>
            <w:tcBorders>
              <w:tl2br w:val="nil"/>
              <w:tr2bl w:val="nil"/>
            </w:tcBorders>
            <w:vAlign w:val="center"/>
          </w:tcPr>
          <w:p w14:paraId="47BAE261">
            <w:pPr>
              <w:pStyle w:val="140"/>
              <w:spacing w:before="0"/>
              <w:ind w:left="0" w:right="0"/>
              <w:rPr>
                <w:sz w:val="21"/>
              </w:rPr>
            </w:pPr>
            <w:r>
              <w:rPr>
                <w:sz w:val="21"/>
              </w:rPr>
              <w:t>海安市卫健委</w:t>
            </w:r>
          </w:p>
        </w:tc>
        <w:tc>
          <w:tcPr>
            <w:tcW w:w="3309" w:type="dxa"/>
            <w:tcBorders>
              <w:tl2br w:val="nil"/>
              <w:tr2bl w:val="nil"/>
            </w:tcBorders>
            <w:vAlign w:val="center"/>
          </w:tcPr>
          <w:p w14:paraId="5F801573">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88852279</w:t>
            </w:r>
          </w:p>
        </w:tc>
      </w:tr>
      <w:tr w14:paraId="4007A3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2054577D">
            <w:pPr>
              <w:pStyle w:val="140"/>
              <w:spacing w:before="0"/>
              <w:ind w:left="0" w:right="0"/>
              <w:rPr>
                <w:rFonts w:ascii="Times New Roman"/>
                <w:sz w:val="21"/>
              </w:rPr>
            </w:pPr>
            <w:r>
              <w:rPr>
                <w:rFonts w:ascii="Times New Roman"/>
                <w:sz w:val="21"/>
              </w:rPr>
              <w:t>13</w:t>
            </w:r>
          </w:p>
        </w:tc>
        <w:tc>
          <w:tcPr>
            <w:tcW w:w="4270" w:type="dxa"/>
            <w:tcBorders>
              <w:tl2br w:val="nil"/>
              <w:tr2bl w:val="nil"/>
            </w:tcBorders>
            <w:vAlign w:val="center"/>
          </w:tcPr>
          <w:p w14:paraId="22E2A824">
            <w:pPr>
              <w:pStyle w:val="140"/>
              <w:spacing w:before="0"/>
              <w:ind w:left="0" w:right="0"/>
              <w:rPr>
                <w:sz w:val="21"/>
              </w:rPr>
            </w:pPr>
            <w:r>
              <w:rPr>
                <w:sz w:val="21"/>
              </w:rPr>
              <w:t>海安人民医院急诊室</w:t>
            </w:r>
          </w:p>
        </w:tc>
        <w:tc>
          <w:tcPr>
            <w:tcW w:w="3309" w:type="dxa"/>
            <w:tcBorders>
              <w:tl2br w:val="nil"/>
              <w:tr2bl w:val="nil"/>
            </w:tcBorders>
            <w:vAlign w:val="center"/>
          </w:tcPr>
          <w:p w14:paraId="42C3B63C">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88869509</w:t>
            </w:r>
          </w:p>
        </w:tc>
      </w:tr>
      <w:tr w14:paraId="3941E2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2656466E">
            <w:pPr>
              <w:pStyle w:val="140"/>
              <w:spacing w:before="0"/>
              <w:ind w:left="0" w:right="0"/>
              <w:rPr>
                <w:rFonts w:ascii="Times New Roman"/>
                <w:sz w:val="21"/>
              </w:rPr>
            </w:pPr>
            <w:r>
              <w:rPr>
                <w:rFonts w:ascii="Times New Roman"/>
                <w:sz w:val="21"/>
              </w:rPr>
              <w:t>14</w:t>
            </w:r>
          </w:p>
        </w:tc>
        <w:tc>
          <w:tcPr>
            <w:tcW w:w="4270" w:type="dxa"/>
            <w:tcBorders>
              <w:tl2br w:val="nil"/>
              <w:tr2bl w:val="nil"/>
            </w:tcBorders>
            <w:vAlign w:val="center"/>
          </w:tcPr>
          <w:p w14:paraId="254CA8CA">
            <w:pPr>
              <w:pStyle w:val="140"/>
              <w:spacing w:before="0"/>
              <w:ind w:left="0" w:right="0"/>
              <w:rPr>
                <w:sz w:val="21"/>
              </w:rPr>
            </w:pPr>
            <w:r>
              <w:rPr>
                <w:sz w:val="21"/>
              </w:rPr>
              <w:t>海安市</w:t>
            </w:r>
            <w:r>
              <w:rPr>
                <w:rFonts w:hint="eastAsia"/>
                <w:sz w:val="21"/>
                <w:lang w:val="en-US" w:eastAsia="zh-CN"/>
              </w:rPr>
              <w:t>经济技术开发</w:t>
            </w:r>
            <w:r>
              <w:rPr>
                <w:sz w:val="21"/>
              </w:rPr>
              <w:t>区管委会</w:t>
            </w:r>
          </w:p>
        </w:tc>
        <w:tc>
          <w:tcPr>
            <w:tcW w:w="3309" w:type="dxa"/>
            <w:tcBorders>
              <w:tl2br w:val="nil"/>
              <w:tr2bl w:val="nil"/>
            </w:tcBorders>
            <w:vAlign w:val="center"/>
          </w:tcPr>
          <w:p w14:paraId="138CE4EF">
            <w:pPr>
              <w:pStyle w:val="140"/>
              <w:spacing w:before="0"/>
              <w:ind w:left="0" w:right="0"/>
              <w:rPr>
                <w:rFonts w:hint="default" w:ascii="Times New Roman" w:eastAsia="宋体"/>
                <w:sz w:val="21"/>
                <w:lang w:val="en-US" w:eastAsia="zh-CN"/>
              </w:rPr>
            </w:pPr>
            <w:r>
              <w:rPr>
                <w:rFonts w:hint="eastAsia" w:ascii="Times New Roman"/>
                <w:sz w:val="21"/>
                <w:lang w:val="en-US" w:eastAsia="zh-CN"/>
              </w:rPr>
              <w:t>0513-</w:t>
            </w:r>
            <w:r>
              <w:rPr>
                <w:rFonts w:ascii="Times New Roman"/>
                <w:sz w:val="21"/>
              </w:rPr>
              <w:t>88</w:t>
            </w:r>
            <w:r>
              <w:rPr>
                <w:rFonts w:hint="eastAsia" w:ascii="Times New Roman"/>
                <w:sz w:val="21"/>
                <w:lang w:val="en-US" w:eastAsia="zh-CN"/>
              </w:rPr>
              <w:t>911318</w:t>
            </w:r>
          </w:p>
        </w:tc>
      </w:tr>
      <w:tr w14:paraId="700775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B626BE0">
            <w:pPr>
              <w:pStyle w:val="140"/>
              <w:spacing w:before="0"/>
              <w:ind w:left="0" w:right="0"/>
              <w:rPr>
                <w:rFonts w:hint="eastAsia" w:ascii="Times New Roman" w:eastAsia="宋体"/>
                <w:sz w:val="21"/>
                <w:lang w:eastAsia="zh-CN"/>
              </w:rPr>
            </w:pPr>
            <w:r>
              <w:rPr>
                <w:rFonts w:ascii="Times New Roman"/>
                <w:sz w:val="21"/>
              </w:rPr>
              <w:t>1</w:t>
            </w:r>
            <w:r>
              <w:rPr>
                <w:rFonts w:hint="eastAsia" w:ascii="Times New Roman"/>
                <w:sz w:val="21"/>
                <w:lang w:val="en-US" w:eastAsia="zh-CN"/>
              </w:rPr>
              <w:t>5</w:t>
            </w:r>
          </w:p>
        </w:tc>
        <w:tc>
          <w:tcPr>
            <w:tcW w:w="4270" w:type="dxa"/>
            <w:tcBorders>
              <w:tl2br w:val="nil"/>
              <w:tr2bl w:val="nil"/>
            </w:tcBorders>
            <w:vAlign w:val="center"/>
          </w:tcPr>
          <w:p w14:paraId="4BB1B16A">
            <w:pPr>
              <w:pStyle w:val="140"/>
              <w:spacing w:before="0"/>
              <w:ind w:left="0" w:right="0"/>
              <w:rPr>
                <w:rFonts w:hint="default" w:eastAsia="宋体"/>
                <w:sz w:val="21"/>
                <w:lang w:val="en-US" w:eastAsia="zh-CN"/>
              </w:rPr>
            </w:pPr>
            <w:r>
              <w:rPr>
                <w:rFonts w:hint="eastAsia" w:ascii="Times New Roman" w:hAnsi="Times New Roman"/>
                <w:sz w:val="21"/>
                <w:szCs w:val="21"/>
                <w:highlight w:val="none"/>
                <w:lang w:val="en-US" w:eastAsia="zh-CN"/>
              </w:rPr>
              <w:t>富利来家具有限公司</w:t>
            </w:r>
          </w:p>
        </w:tc>
        <w:tc>
          <w:tcPr>
            <w:tcW w:w="3309" w:type="dxa"/>
            <w:tcBorders>
              <w:tl2br w:val="nil"/>
              <w:tr2bl w:val="nil"/>
            </w:tcBorders>
            <w:vAlign w:val="center"/>
          </w:tcPr>
          <w:p w14:paraId="0C1CC0AF">
            <w:pPr>
              <w:pStyle w:val="140"/>
              <w:spacing w:before="0"/>
              <w:ind w:left="0" w:right="0"/>
              <w:rPr>
                <w:rFonts w:hint="default" w:ascii="Times New Roman" w:eastAsia="宋体"/>
                <w:sz w:val="21"/>
                <w:lang w:val="en-US" w:eastAsia="zh-CN"/>
              </w:rPr>
            </w:pPr>
            <w:r>
              <w:rPr>
                <w:rFonts w:hint="eastAsia" w:ascii="Times New Roman"/>
                <w:sz w:val="21"/>
                <w:lang w:val="en-US" w:eastAsia="zh-CN"/>
              </w:rPr>
              <w:t>13606219185</w:t>
            </w:r>
          </w:p>
        </w:tc>
      </w:tr>
      <w:tr w14:paraId="1C8670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59E567BC">
            <w:pPr>
              <w:pStyle w:val="140"/>
              <w:spacing w:before="0"/>
              <w:ind w:left="0" w:right="0"/>
              <w:rPr>
                <w:rFonts w:hint="default" w:ascii="Times New Roman" w:eastAsia="宋体"/>
                <w:sz w:val="21"/>
                <w:lang w:val="en-US" w:eastAsia="zh-CN"/>
              </w:rPr>
            </w:pPr>
            <w:r>
              <w:rPr>
                <w:rFonts w:hint="eastAsia" w:ascii="Times New Roman"/>
                <w:sz w:val="21"/>
                <w:lang w:val="en-US" w:eastAsia="zh-CN"/>
              </w:rPr>
              <w:t>16</w:t>
            </w:r>
          </w:p>
        </w:tc>
        <w:tc>
          <w:tcPr>
            <w:tcW w:w="4270" w:type="dxa"/>
            <w:tcBorders>
              <w:tl2br w:val="nil"/>
              <w:tr2bl w:val="nil"/>
            </w:tcBorders>
            <w:vAlign w:val="center"/>
          </w:tcPr>
          <w:p w14:paraId="04D064CA">
            <w:pPr>
              <w:pStyle w:val="140"/>
              <w:spacing w:before="0"/>
              <w:ind w:left="0" w:right="0"/>
              <w:rPr>
                <w:rFonts w:hint="default" w:eastAsia="宋体"/>
                <w:sz w:val="21"/>
                <w:lang w:val="en-US" w:eastAsia="zh-CN"/>
              </w:rPr>
            </w:pPr>
            <w:r>
              <w:rPr>
                <w:rFonts w:hint="eastAsia"/>
                <w:sz w:val="21"/>
                <w:lang w:val="en-US" w:eastAsia="zh-CN"/>
              </w:rPr>
              <w:t>江苏裕和检测技术有限公司</w:t>
            </w:r>
          </w:p>
        </w:tc>
        <w:tc>
          <w:tcPr>
            <w:tcW w:w="3309" w:type="dxa"/>
            <w:tcBorders>
              <w:tl2br w:val="nil"/>
              <w:tr2bl w:val="nil"/>
            </w:tcBorders>
            <w:vAlign w:val="center"/>
          </w:tcPr>
          <w:p w14:paraId="5A5E94C2">
            <w:pPr>
              <w:pStyle w:val="140"/>
              <w:spacing w:before="0"/>
              <w:ind w:left="0" w:right="0"/>
              <w:rPr>
                <w:rFonts w:hint="default" w:ascii="Times New Roman"/>
                <w:sz w:val="21"/>
                <w:lang w:val="en-US" w:eastAsia="zh-CN"/>
              </w:rPr>
            </w:pPr>
            <w:r>
              <w:rPr>
                <w:rFonts w:hint="eastAsia" w:ascii="Times New Roman"/>
                <w:sz w:val="21"/>
                <w:lang w:val="en-US" w:eastAsia="zh-CN"/>
              </w:rPr>
              <w:t>0513-55073526</w:t>
            </w:r>
          </w:p>
        </w:tc>
      </w:tr>
    </w:tbl>
    <w:p w14:paraId="09468689">
      <w:pPr>
        <w:spacing w:after="0"/>
        <w:rPr>
          <w:rFonts w:ascii="Times New Roman"/>
          <w:sz w:val="21"/>
        </w:rPr>
        <w:sectPr>
          <w:footerReference r:id="rId9" w:type="default"/>
          <w:pgSz w:w="11910" w:h="16840"/>
          <w:pgMar w:top="1360" w:right="1240" w:bottom="1200" w:left="1500" w:header="882" w:footer="1017" w:gutter="0"/>
          <w:pgBorders>
            <w:top w:val="none" w:sz="0" w:space="0"/>
            <w:left w:val="none" w:sz="0" w:space="0"/>
            <w:bottom w:val="none" w:sz="0" w:space="0"/>
            <w:right w:val="none" w:sz="0" w:space="0"/>
          </w:pgBorders>
          <w:cols w:space="720" w:num="1"/>
        </w:sectPr>
      </w:pPr>
    </w:p>
    <w:p w14:paraId="070AD957">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43" w:name="_Toc18181"/>
      <w:bookmarkStart w:id="144" w:name="_Toc26565"/>
      <w:bookmarkStart w:id="145" w:name="_Toc31419"/>
      <w:r>
        <w:rPr>
          <w:rFonts w:hint="eastAsia" w:ascii="Times New Roman" w:hAnsi="Times New Roman" w:eastAsia="宋体" w:cs="Times New Roman"/>
          <w:sz w:val="24"/>
          <w:szCs w:val="24"/>
        </w:rPr>
        <w:t>4突发环境事件及其后果分析</w:t>
      </w:r>
      <w:bookmarkEnd w:id="124"/>
      <w:bookmarkEnd w:id="143"/>
      <w:bookmarkEnd w:id="144"/>
      <w:bookmarkEnd w:id="145"/>
    </w:p>
    <w:p w14:paraId="259652D2">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46" w:name="_Toc13659"/>
      <w:bookmarkStart w:id="147" w:name="_Toc9896"/>
      <w:bookmarkStart w:id="148" w:name="_Toc7836"/>
      <w:bookmarkStart w:id="149" w:name="_Toc402776211"/>
      <w:r>
        <w:rPr>
          <w:rFonts w:hint="eastAsia" w:ascii="Times New Roman" w:hAnsi="Times New Roman" w:eastAsia="宋体" w:cs="Times New Roman"/>
          <w:sz w:val="24"/>
          <w:szCs w:val="24"/>
        </w:rPr>
        <w:t>4.1突发环境事件情景分析</w:t>
      </w:r>
      <w:bookmarkEnd w:id="146"/>
      <w:bookmarkEnd w:id="147"/>
      <w:bookmarkEnd w:id="148"/>
      <w:bookmarkEnd w:id="149"/>
    </w:p>
    <w:p w14:paraId="4F1525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bookmarkStart w:id="150" w:name="_Toc402776216"/>
      <w:r>
        <w:rPr>
          <w:rFonts w:hint="eastAsia" w:ascii="宋体" w:hAnsi="宋体" w:eastAsia="宋体" w:cs="宋体"/>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w:t>
      </w:r>
      <w:r>
        <w:rPr>
          <w:rFonts w:hint="eastAsia" w:ascii="宋体" w:hAnsi="宋体" w:eastAsia="宋体" w:cs="宋体"/>
          <w:highlight w:val="none"/>
        </w:rPr>
        <w:t>举了</w:t>
      </w:r>
      <w:r>
        <w:rPr>
          <w:rFonts w:eastAsia="宋体"/>
        </w:rPr>
        <w:t>江苏大江木业集团吴集有限公司</w:t>
      </w:r>
      <w:r>
        <w:rPr>
          <w:rFonts w:hint="eastAsia" w:ascii="宋体" w:hAnsi="宋体" w:eastAsia="宋体" w:cs="宋体"/>
        </w:rPr>
        <w:t>火灾案例</w:t>
      </w:r>
      <w:r>
        <w:rPr>
          <w:rFonts w:hint="eastAsia" w:ascii="宋体" w:hAnsi="宋体" w:eastAsia="宋体" w:cs="宋体"/>
          <w:lang w:eastAsia="zh-CN"/>
        </w:rPr>
        <w:t>、霸州市胜芳镇西格玛家具厂</w:t>
      </w:r>
      <w:r>
        <w:rPr>
          <w:rFonts w:hint="eastAsia" w:ascii="宋体" w:hAnsi="宋体" w:eastAsia="宋体" w:cs="宋体"/>
          <w:lang w:val="en-US" w:eastAsia="zh-CN"/>
        </w:rPr>
        <w:t>火灾案例和金河兴安人造板有限公司火灾案例</w:t>
      </w:r>
      <w:r>
        <w:rPr>
          <w:rFonts w:hint="eastAsia" w:ascii="宋体" w:hAnsi="宋体" w:eastAsia="宋体" w:cs="宋体"/>
          <w:highlight w:val="none"/>
        </w:rPr>
        <w:t>，具</w:t>
      </w:r>
      <w:r>
        <w:rPr>
          <w:rFonts w:hint="default" w:ascii="Times New Roman" w:hAnsi="Times New Roman" w:eastAsia="宋体" w:cs="Times New Roman"/>
          <w:highlight w:val="none"/>
        </w:rPr>
        <w:t>体见表4-1</w:t>
      </w:r>
      <w:r>
        <w:rPr>
          <w:rFonts w:hint="eastAsia" w:ascii="宋体" w:hAnsi="宋体" w:eastAsia="宋体" w:cs="宋体"/>
        </w:rPr>
        <w:t>。</w:t>
      </w:r>
    </w:p>
    <w:p w14:paraId="1E1A38A4">
      <w:pPr>
        <w:keepNext w:val="0"/>
        <w:keepLines w:val="0"/>
        <w:adjustRightInd w:val="0"/>
        <w:snapToGrid w:val="0"/>
        <w:spacing w:line="500" w:lineRule="exact"/>
        <w:ind w:firstLine="0" w:firstLineChars="0"/>
        <w:jc w:val="center"/>
      </w:pPr>
      <w:r>
        <w:rPr>
          <w:rFonts w:hint="default" w:ascii="Times New Roman" w:hAnsi="Times New Roman" w:eastAsia="宋体" w:cs="Times New Roman"/>
          <w:b/>
          <w:bCs/>
        </w:rPr>
        <w:t>表4-1突发环境事件案例</w:t>
      </w:r>
      <w:r>
        <w:rPr>
          <w:rFonts w:hint="eastAsia" w:eastAsia="宋体" w:cs="Times New Roman"/>
          <w:b/>
          <w:bCs/>
          <w:lang w:val="en-US" w:eastAsia="zh-CN"/>
        </w:rPr>
        <w:t>一</w:t>
      </w:r>
    </w:p>
    <w:tbl>
      <w:tblPr>
        <w:tblStyle w:val="38"/>
        <w:tblW w:w="924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75"/>
        <w:gridCol w:w="7267"/>
      </w:tblGrid>
      <w:tr w14:paraId="4CF815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CAE1F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7E7A52B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江苏大江木业集团吴集有限公司火灾案例</w:t>
            </w:r>
          </w:p>
        </w:tc>
      </w:tr>
      <w:tr w14:paraId="29D75F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F3D19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0855D47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2018年12月31日</w:t>
            </w:r>
          </w:p>
        </w:tc>
      </w:tr>
      <w:tr w14:paraId="28B9DA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85655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05028FD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w:t>
            </w:r>
          </w:p>
        </w:tc>
      </w:tr>
      <w:tr w14:paraId="12E40A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482D1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429D8E2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6:44分，该企业砂光车间2号中砂砂光机发生机械故障，2块密度板卡住，与砂带摩擦发生火情，当班员工停工检修</w:t>
            </w:r>
            <w:r>
              <w:rPr>
                <w:rFonts w:hint="eastAsia" w:ascii="Times New Roman" w:hAnsi="Times New Roman" w:eastAsia="宋体" w:cs="Times New Roman"/>
                <w:sz w:val="21"/>
                <w:szCs w:val="21"/>
                <w:lang w:eastAsia="zh-CN"/>
              </w:rPr>
              <w:t>；</w:t>
            </w:r>
          </w:p>
          <w:p w14:paraId="4559137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8:56分，开机恢复生产，15秒后砂光车间原起火部位再次起火</w:t>
            </w:r>
            <w:r>
              <w:rPr>
                <w:rFonts w:hint="eastAsia" w:ascii="Times New Roman" w:hAnsi="Times New Roman" w:eastAsia="宋体" w:cs="Times New Roman"/>
                <w:sz w:val="21"/>
                <w:szCs w:val="21"/>
                <w:lang w:eastAsia="zh-CN"/>
              </w:rPr>
              <w:t>；</w:t>
            </w:r>
          </w:p>
          <w:p w14:paraId="7CE005D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8:58分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积尘室、背压机、铺板机等多处起火</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导致集尘器发生爆炸，冲击波冲破木质纤维料场房顶，引起料场起火，现场的装运卡车油箱起火燃烧爆炸</w:t>
            </w:r>
            <w:r>
              <w:rPr>
                <w:rFonts w:hint="eastAsia" w:eastAsia="宋体" w:cs="Times New Roman"/>
                <w:sz w:val="21"/>
                <w:szCs w:val="21"/>
                <w:lang w:eastAsia="zh-CN"/>
              </w:rPr>
              <w:t>。</w:t>
            </w:r>
          </w:p>
        </w:tc>
      </w:tr>
      <w:tr w14:paraId="26AD7E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A6004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3EBD79A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砂带机摩擦起火导致连锁式火灾</w:t>
            </w:r>
            <w:r>
              <w:rPr>
                <w:rFonts w:hint="eastAsia" w:eastAsia="宋体" w:cs="Times New Roman"/>
                <w:sz w:val="21"/>
                <w:szCs w:val="21"/>
                <w:lang w:eastAsia="zh-CN"/>
              </w:rPr>
              <w:t>。</w:t>
            </w:r>
          </w:p>
        </w:tc>
      </w:tr>
      <w:tr w14:paraId="5B1882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96D13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7F62D43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ascii="Times New Roman" w:hAnsi="Times New Roman" w:eastAsia="宋体" w:cs="Times New Roman"/>
                <w:sz w:val="21"/>
                <w:szCs w:val="21"/>
                <w:lang w:val="en-US" w:eastAsia="zh-CN"/>
              </w:rPr>
              <w:t>受到影响，造成</w:t>
            </w:r>
            <w:r>
              <w:rPr>
                <w:rFonts w:hint="default" w:ascii="Times New Roman" w:hAnsi="Times New Roman" w:eastAsia="宋体" w:cs="Times New Roman"/>
                <w:sz w:val="21"/>
                <w:szCs w:val="21"/>
              </w:rPr>
              <w:t>6名作业人员有2人当场死亡，4人受伤</w:t>
            </w:r>
            <w:r>
              <w:rPr>
                <w:rFonts w:hint="eastAsia" w:eastAsia="宋体" w:cs="Times New Roman"/>
                <w:sz w:val="21"/>
                <w:szCs w:val="21"/>
                <w:lang w:eastAsia="zh-CN"/>
              </w:rPr>
              <w:t>。</w:t>
            </w:r>
          </w:p>
        </w:tc>
      </w:tr>
      <w:tr w14:paraId="61A3A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AEB01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4B60F59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（1）正规使用设备设施；</w:t>
            </w:r>
          </w:p>
          <w:p w14:paraId="17946D1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（2）安装火花探测和熄灭、泄爆、隔爆等防火、控爆安全装置</w:t>
            </w:r>
            <w:r>
              <w:rPr>
                <w:rFonts w:hint="eastAsia" w:eastAsia="宋体" w:cs="Times New Roman"/>
                <w:sz w:val="21"/>
                <w:szCs w:val="21"/>
                <w:lang w:eastAsia="zh-CN"/>
              </w:rPr>
              <w:t>。</w:t>
            </w:r>
          </w:p>
        </w:tc>
      </w:tr>
    </w:tbl>
    <w:p w14:paraId="6934A70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color w:val="auto"/>
          <w:lang w:val="en-US"/>
        </w:rPr>
      </w:pPr>
      <w:r>
        <w:rPr>
          <w:rFonts w:hint="default" w:ascii="Times New Roman" w:hAnsi="Times New Roman" w:eastAsia="宋体" w:cs="Times New Roman"/>
          <w:b/>
          <w:bCs/>
        </w:rPr>
        <w:t>突发环境事件案例</w:t>
      </w:r>
      <w:r>
        <w:rPr>
          <w:rFonts w:hint="eastAsia" w:eastAsia="宋体" w:cs="Times New Roman"/>
          <w:b/>
          <w:bCs/>
          <w:lang w:val="en-US" w:eastAsia="zh-CN"/>
        </w:rPr>
        <w:t>二</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0334AB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01A53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3B3CCC1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霸州市胜芳镇西格玛家具厂火灾案例</w:t>
            </w:r>
          </w:p>
        </w:tc>
      </w:tr>
      <w:tr w14:paraId="41FE9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93C39E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73F87A6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2014年1月10日</w:t>
            </w:r>
          </w:p>
        </w:tc>
      </w:tr>
      <w:tr w14:paraId="0ECDD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B3281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38680B9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霸州市胜芳镇西格玛家具厂</w:t>
            </w:r>
          </w:p>
        </w:tc>
      </w:tr>
      <w:tr w14:paraId="38478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2C11B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7DB6471C">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15:30车间内</w:t>
            </w:r>
            <w:r>
              <w:rPr>
                <w:rFonts w:hint="eastAsia" w:eastAsia="宋体" w:cs="Times New Roman"/>
                <w:sz w:val="21"/>
                <w:szCs w:val="21"/>
                <w:lang w:val="en-US" w:eastAsia="zh-CN"/>
              </w:rPr>
              <w:t>水性漆</w:t>
            </w:r>
            <w:r>
              <w:rPr>
                <w:rFonts w:hint="eastAsia" w:ascii="Times New Roman" w:hAnsi="Times New Roman" w:eastAsia="宋体" w:cs="Times New Roman"/>
                <w:sz w:val="21"/>
                <w:szCs w:val="21"/>
                <w:lang w:val="en-US" w:eastAsia="zh-CN"/>
              </w:rPr>
              <w:t>桶受电暖气高温崩开，释放的有机溶剂蒸汽遇高温爆燃，引燃了周边海绵及皮革</w:t>
            </w:r>
            <w:r>
              <w:rPr>
                <w:rFonts w:hint="eastAsia" w:eastAsia="宋体" w:cs="Times New Roman"/>
                <w:sz w:val="21"/>
                <w:szCs w:val="21"/>
                <w:lang w:val="en-US" w:eastAsia="zh-CN"/>
              </w:rPr>
              <w:t>，因室内外给水系统不完备，致火势无法控制。</w:t>
            </w:r>
          </w:p>
        </w:tc>
      </w:tr>
      <w:tr w14:paraId="79EE5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DDD46C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07E5BA5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密闭水性漆桶高温崩炸，释放的有机溶剂蒸汽遇高温爆燃。</w:t>
            </w:r>
          </w:p>
        </w:tc>
      </w:tr>
      <w:tr w14:paraId="520B9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F7FCB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246635A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受到影响，造成4名女工当场死亡。</w:t>
            </w:r>
          </w:p>
        </w:tc>
      </w:tr>
      <w:tr w14:paraId="045AF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0447A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7908BD5C">
            <w:pPr>
              <w:adjustRightInd w:val="0"/>
              <w:snapToGrid w:val="0"/>
              <w:jc w:val="left"/>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（1）需定期检查给水设备；</w:t>
            </w:r>
          </w:p>
          <w:p w14:paraId="64ED5C2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（2）</w:t>
            </w:r>
            <w:r>
              <w:rPr>
                <w:rFonts w:hint="eastAsia" w:eastAsia="宋体" w:cs="Times New Roman"/>
                <w:sz w:val="21"/>
                <w:szCs w:val="21"/>
                <w:lang w:val="en-US" w:eastAsia="zh-CN"/>
              </w:rPr>
              <w:t>配备足够的应急物资如防毒面具。</w:t>
            </w:r>
          </w:p>
        </w:tc>
      </w:tr>
    </w:tbl>
    <w:p w14:paraId="5B73DB5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color w:val="auto"/>
          <w:lang w:val="en-US"/>
        </w:rPr>
      </w:pPr>
      <w:r>
        <w:rPr>
          <w:rFonts w:hint="default" w:ascii="Times New Roman" w:hAnsi="Times New Roman" w:eastAsia="宋体" w:cs="Times New Roman"/>
          <w:b/>
          <w:bCs/>
        </w:rPr>
        <w:t>突发环境事件案例</w:t>
      </w:r>
      <w:r>
        <w:rPr>
          <w:rFonts w:hint="eastAsia" w:eastAsia="宋体" w:cs="Times New Roman"/>
          <w:b/>
          <w:bCs/>
          <w:lang w:val="en-US" w:eastAsia="zh-CN"/>
        </w:rPr>
        <w:t>三</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67A38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00344D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78CD10C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金河兴安人造板有限公司火灾案例</w:t>
            </w:r>
          </w:p>
        </w:tc>
      </w:tr>
      <w:tr w14:paraId="6BF60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908E4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3A477FF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2015年1月31日</w:t>
            </w:r>
          </w:p>
        </w:tc>
      </w:tr>
      <w:tr w14:paraId="69086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4AB6E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1D01F68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w:t>
            </w:r>
          </w:p>
        </w:tc>
      </w:tr>
      <w:tr w14:paraId="2E243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24238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0AFD9A35">
            <w:pPr>
              <w:keepNext/>
              <w:keepLines/>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06:08木工车间中央除尘系统收尘仓木粉尘发生一次爆炸；</w:t>
            </w:r>
          </w:p>
          <w:p w14:paraId="7090FA96">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b w:val="0"/>
                <w:bCs w:val="0"/>
                <w:kern w:val="2"/>
                <w:sz w:val="21"/>
                <w:szCs w:val="21"/>
                <w:lang w:val="en-US" w:eastAsia="zh-CN" w:bidi="ar-SA"/>
              </w:rPr>
              <w:t>06:20一次爆炸引起车间内打磨车间二次爆炸，进而引起生产车间及库房火灾。</w:t>
            </w:r>
          </w:p>
        </w:tc>
      </w:tr>
      <w:tr w14:paraId="4F88C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3B36E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76E0414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除尘系统内收尘仓爆炸。</w:t>
            </w:r>
          </w:p>
        </w:tc>
      </w:tr>
      <w:tr w14:paraId="5714D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E996B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4D73BEF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受到影响，造成6人死亡，3人受伤。</w:t>
            </w:r>
          </w:p>
        </w:tc>
      </w:tr>
      <w:tr w14:paraId="6CE923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5271F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5763E8E2">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auto"/>
              <w:jc w:val="both"/>
              <w:textAlignment w:val="auto"/>
              <w:rPr>
                <w:rFonts w:hint="eastAsia" w:eastAsia="宋体" w:cs="Times New Roman"/>
                <w:sz w:val="21"/>
                <w:szCs w:val="21"/>
                <w:lang w:val="en-US" w:eastAsia="zh-CN"/>
              </w:rPr>
            </w:pPr>
            <w:r>
              <w:rPr>
                <w:rFonts w:hint="eastAsia" w:eastAsia="宋体" w:cs="Times New Roman"/>
                <w:sz w:val="21"/>
                <w:szCs w:val="21"/>
                <w:lang w:val="en-US" w:eastAsia="zh-CN"/>
              </w:rPr>
              <w:t>除尘系统需安装泄爆装置；</w:t>
            </w:r>
          </w:p>
          <w:p w14:paraId="272CC7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（2）生产车间配备足够应急物资。</w:t>
            </w:r>
          </w:p>
        </w:tc>
      </w:tr>
    </w:tbl>
    <w:p w14:paraId="0D86F3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根据研究，</w:t>
      </w:r>
      <w:r>
        <w:rPr>
          <w:rFonts w:hint="default" w:ascii="Times New Roman" w:hAnsi="Times New Roman" w:eastAsia="宋体" w:cs="Times New Roman"/>
          <w:color w:val="auto"/>
          <w:lang w:val="en-US" w:eastAsia="zh-CN"/>
        </w:rPr>
        <w:t>公司</w:t>
      </w:r>
      <w:r>
        <w:rPr>
          <w:rFonts w:hint="default" w:ascii="Times New Roman" w:hAnsi="Times New Roman" w:eastAsia="宋体" w:cs="Times New Roman"/>
          <w:color w:val="auto"/>
        </w:rPr>
        <w:t>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14:paraId="72B7B9EF">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表4-2公司环境事件情景设定</w:t>
      </w:r>
    </w:p>
    <w:tbl>
      <w:tblPr>
        <w:tblStyle w:val="37"/>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14:paraId="12EA56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14:paraId="04E30E6D">
            <w:pPr>
              <w:adjustRightInd w:val="0"/>
              <w:snapToGrid w:val="0"/>
              <w:jc w:val="center"/>
              <w:rPr>
                <w:rFonts w:eastAsia="宋体"/>
                <w:b/>
                <w:color w:val="000000"/>
                <w:sz w:val="21"/>
                <w:szCs w:val="21"/>
              </w:rPr>
            </w:pPr>
            <w:r>
              <w:rPr>
                <w:rFonts w:eastAsia="宋体"/>
                <w:b/>
                <w:color w:val="000000"/>
                <w:sz w:val="21"/>
                <w:szCs w:val="21"/>
              </w:rPr>
              <w:t>序号</w:t>
            </w:r>
          </w:p>
        </w:tc>
        <w:tc>
          <w:tcPr>
            <w:tcW w:w="2156" w:type="dxa"/>
            <w:tcBorders>
              <w:tl2br w:val="nil"/>
              <w:tr2bl w:val="nil"/>
            </w:tcBorders>
            <w:vAlign w:val="center"/>
          </w:tcPr>
          <w:p w14:paraId="52410918">
            <w:pPr>
              <w:adjustRightInd w:val="0"/>
              <w:snapToGrid w:val="0"/>
              <w:jc w:val="center"/>
              <w:rPr>
                <w:rFonts w:eastAsia="宋体"/>
                <w:b/>
                <w:color w:val="000000"/>
                <w:sz w:val="21"/>
                <w:szCs w:val="21"/>
              </w:rPr>
            </w:pPr>
            <w:r>
              <w:rPr>
                <w:rFonts w:eastAsia="宋体"/>
                <w:b/>
                <w:color w:val="000000"/>
                <w:sz w:val="21"/>
                <w:szCs w:val="21"/>
              </w:rPr>
              <w:t>突发环境事件背景</w:t>
            </w:r>
          </w:p>
        </w:tc>
        <w:tc>
          <w:tcPr>
            <w:tcW w:w="6089" w:type="dxa"/>
            <w:tcBorders>
              <w:tl2br w:val="nil"/>
              <w:tr2bl w:val="nil"/>
            </w:tcBorders>
            <w:vAlign w:val="center"/>
          </w:tcPr>
          <w:p w14:paraId="369B165C">
            <w:pPr>
              <w:adjustRightInd w:val="0"/>
              <w:snapToGrid w:val="0"/>
              <w:jc w:val="center"/>
              <w:rPr>
                <w:rFonts w:eastAsia="宋体"/>
                <w:b/>
                <w:color w:val="000000"/>
                <w:sz w:val="21"/>
                <w:szCs w:val="21"/>
              </w:rPr>
            </w:pPr>
            <w:r>
              <w:rPr>
                <w:rFonts w:hint="eastAsia" w:eastAsia="宋体"/>
                <w:b/>
                <w:color w:val="000000"/>
                <w:sz w:val="21"/>
                <w:szCs w:val="21"/>
              </w:rPr>
              <w:t>情景分析</w:t>
            </w:r>
          </w:p>
        </w:tc>
      </w:tr>
      <w:tr w14:paraId="740B2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14:paraId="3D338814">
            <w:pPr>
              <w:adjustRightInd w:val="0"/>
              <w:snapToGrid w:val="0"/>
              <w:jc w:val="center"/>
              <w:rPr>
                <w:rFonts w:eastAsia="宋体"/>
                <w:color w:val="000000"/>
                <w:sz w:val="21"/>
                <w:szCs w:val="21"/>
              </w:rPr>
            </w:pPr>
            <w:r>
              <w:rPr>
                <w:rFonts w:eastAsia="宋体"/>
                <w:color w:val="000000"/>
                <w:sz w:val="21"/>
                <w:szCs w:val="21"/>
              </w:rPr>
              <w:t>事件1</w:t>
            </w:r>
          </w:p>
        </w:tc>
        <w:tc>
          <w:tcPr>
            <w:tcW w:w="2156" w:type="dxa"/>
            <w:tcBorders>
              <w:tl2br w:val="nil"/>
              <w:tr2bl w:val="nil"/>
            </w:tcBorders>
            <w:vAlign w:val="center"/>
          </w:tcPr>
          <w:p w14:paraId="32A1DE70">
            <w:pPr>
              <w:adjustRightInd w:val="0"/>
              <w:snapToGrid w:val="0"/>
              <w:jc w:val="center"/>
              <w:rPr>
                <w:rFonts w:eastAsia="宋体"/>
                <w:color w:val="000000"/>
                <w:sz w:val="21"/>
                <w:szCs w:val="21"/>
              </w:rPr>
            </w:pPr>
            <w:r>
              <w:rPr>
                <w:rFonts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14:paraId="766643AC">
            <w:pPr>
              <w:adjustRightInd w:val="0"/>
              <w:snapToGrid w:val="0"/>
              <w:jc w:val="left"/>
              <w:rPr>
                <w:rFonts w:eastAsia="宋体"/>
                <w:bCs/>
                <w:sz w:val="21"/>
                <w:szCs w:val="21"/>
              </w:rPr>
            </w:pPr>
            <w:r>
              <w:rPr>
                <w:rFonts w:eastAsia="宋体"/>
                <w:b/>
                <w:sz w:val="21"/>
                <w:szCs w:val="21"/>
              </w:rPr>
              <w:t>情景1：</w:t>
            </w:r>
            <w:r>
              <w:rPr>
                <w:rFonts w:eastAsia="宋体"/>
                <w:bCs/>
                <w:sz w:val="21"/>
                <w:szCs w:val="21"/>
              </w:rPr>
              <w:t>因管理不当，成品存放区发生火灾事故；</w:t>
            </w:r>
          </w:p>
          <w:p w14:paraId="1767D040">
            <w:pPr>
              <w:adjustRightInd w:val="0"/>
              <w:snapToGrid w:val="0"/>
              <w:jc w:val="left"/>
              <w:rPr>
                <w:rFonts w:eastAsia="宋体"/>
                <w:bCs/>
                <w:sz w:val="21"/>
                <w:szCs w:val="21"/>
              </w:rPr>
            </w:pPr>
            <w:r>
              <w:rPr>
                <w:rFonts w:eastAsia="宋体"/>
                <w:b/>
                <w:sz w:val="21"/>
                <w:szCs w:val="21"/>
              </w:rPr>
              <w:t>情景2：</w:t>
            </w:r>
            <w:r>
              <w:rPr>
                <w:rFonts w:eastAsia="宋体"/>
                <w:bCs/>
                <w:sz w:val="21"/>
                <w:szCs w:val="21"/>
              </w:rPr>
              <w:t>因管理不当，</w:t>
            </w:r>
            <w:r>
              <w:rPr>
                <w:rFonts w:hint="eastAsia" w:eastAsia="宋体"/>
                <w:bCs/>
                <w:sz w:val="21"/>
                <w:szCs w:val="21"/>
                <w:lang w:val="en-US" w:eastAsia="zh-CN"/>
              </w:rPr>
              <w:t>原料</w:t>
            </w:r>
            <w:r>
              <w:rPr>
                <w:rFonts w:eastAsia="宋体"/>
                <w:bCs/>
                <w:sz w:val="21"/>
                <w:szCs w:val="21"/>
              </w:rPr>
              <w:t>仓库</w:t>
            </w:r>
            <w:r>
              <w:rPr>
                <w:rFonts w:hint="eastAsia" w:eastAsia="宋体"/>
                <w:bCs/>
                <w:sz w:val="21"/>
                <w:szCs w:val="21"/>
                <w:lang w:eastAsia="zh-CN"/>
              </w:rPr>
              <w:t>、</w:t>
            </w:r>
            <w:r>
              <w:rPr>
                <w:rFonts w:hint="eastAsia" w:eastAsia="宋体"/>
                <w:bCs/>
                <w:sz w:val="21"/>
                <w:szCs w:val="21"/>
                <w:lang w:val="en-US" w:eastAsia="zh-CN"/>
              </w:rPr>
              <w:t>危废仓库</w:t>
            </w:r>
            <w:r>
              <w:rPr>
                <w:rFonts w:eastAsia="宋体"/>
                <w:bCs/>
                <w:sz w:val="21"/>
                <w:szCs w:val="21"/>
              </w:rPr>
              <w:t>发生火灾、泄漏事故；</w:t>
            </w:r>
          </w:p>
          <w:p w14:paraId="16CE00DF">
            <w:pPr>
              <w:adjustRightInd w:val="0"/>
              <w:snapToGrid w:val="0"/>
              <w:jc w:val="left"/>
              <w:rPr>
                <w:rFonts w:eastAsia="宋体"/>
                <w:bCs/>
                <w:sz w:val="21"/>
                <w:szCs w:val="21"/>
              </w:rPr>
            </w:pPr>
            <w:r>
              <w:rPr>
                <w:rFonts w:eastAsia="宋体"/>
                <w:b/>
                <w:sz w:val="21"/>
                <w:szCs w:val="21"/>
              </w:rPr>
              <w:t>情景3：</w:t>
            </w:r>
            <w:r>
              <w:rPr>
                <w:rFonts w:hint="eastAsia" w:eastAsia="宋体"/>
                <w:b w:val="0"/>
                <w:bCs/>
                <w:sz w:val="21"/>
                <w:szCs w:val="21"/>
                <w:lang w:val="en-US" w:eastAsia="zh-CN"/>
              </w:rPr>
              <w:t>喷漆</w:t>
            </w:r>
            <w:r>
              <w:rPr>
                <w:rFonts w:eastAsia="宋体"/>
                <w:bCs/>
                <w:sz w:val="21"/>
                <w:szCs w:val="21"/>
              </w:rPr>
              <w:t>车间发生火灾、爆炸、泄漏事故；</w:t>
            </w:r>
          </w:p>
          <w:p w14:paraId="16FEA654">
            <w:pPr>
              <w:adjustRightInd w:val="0"/>
              <w:snapToGrid w:val="0"/>
              <w:jc w:val="left"/>
              <w:rPr>
                <w:rFonts w:hint="eastAsia" w:eastAsia="宋体"/>
                <w:color w:val="000000"/>
                <w:sz w:val="21"/>
                <w:szCs w:val="21"/>
                <w:lang w:eastAsia="zh-CN"/>
              </w:rPr>
            </w:pPr>
            <w:r>
              <w:rPr>
                <w:rFonts w:eastAsia="宋体"/>
                <w:b/>
                <w:sz w:val="21"/>
                <w:szCs w:val="21"/>
              </w:rPr>
              <w:t>情景</w:t>
            </w:r>
            <w:r>
              <w:rPr>
                <w:rFonts w:hint="eastAsia" w:eastAsia="宋体"/>
                <w:b/>
                <w:sz w:val="21"/>
                <w:szCs w:val="21"/>
                <w:lang w:val="en-US" w:eastAsia="zh-CN"/>
              </w:rPr>
              <w:t>4</w:t>
            </w:r>
            <w:r>
              <w:rPr>
                <w:rFonts w:eastAsia="宋体"/>
                <w:bCs/>
                <w:sz w:val="21"/>
                <w:szCs w:val="21"/>
              </w:rPr>
              <w:t>：木工车间</w:t>
            </w:r>
            <w:r>
              <w:rPr>
                <w:rFonts w:hint="eastAsia" w:eastAsia="宋体"/>
                <w:bCs/>
                <w:sz w:val="21"/>
                <w:szCs w:val="21"/>
                <w:lang w:eastAsia="zh-CN"/>
              </w:rPr>
              <w:t>（</w:t>
            </w:r>
            <w:r>
              <w:rPr>
                <w:rFonts w:hint="eastAsia" w:eastAsia="宋体"/>
                <w:bCs/>
                <w:sz w:val="21"/>
                <w:szCs w:val="21"/>
                <w:lang w:val="en-US" w:eastAsia="zh-CN"/>
              </w:rPr>
              <w:t>含打磨</w:t>
            </w:r>
            <w:r>
              <w:rPr>
                <w:rFonts w:hint="eastAsia" w:eastAsia="宋体"/>
                <w:bCs/>
                <w:sz w:val="21"/>
                <w:szCs w:val="21"/>
                <w:lang w:eastAsia="zh-CN"/>
              </w:rPr>
              <w:t>）</w:t>
            </w:r>
            <w:r>
              <w:rPr>
                <w:rFonts w:hint="eastAsia" w:eastAsia="宋体"/>
                <w:bCs/>
                <w:sz w:val="21"/>
                <w:szCs w:val="21"/>
                <w:lang w:val="en-US" w:eastAsia="zh-CN"/>
              </w:rPr>
              <w:t>粉尘</w:t>
            </w:r>
            <w:r>
              <w:rPr>
                <w:rFonts w:eastAsia="宋体"/>
                <w:bCs/>
                <w:sz w:val="21"/>
                <w:szCs w:val="21"/>
              </w:rPr>
              <w:t>爆炸导致火灾、人员伤亡事故</w:t>
            </w:r>
            <w:r>
              <w:rPr>
                <w:rFonts w:hint="eastAsia" w:eastAsia="宋体"/>
                <w:bCs/>
                <w:sz w:val="21"/>
                <w:szCs w:val="21"/>
                <w:lang w:eastAsia="zh-CN"/>
              </w:rPr>
              <w:t>；</w:t>
            </w:r>
            <w:r>
              <w:rPr>
                <w:rFonts w:eastAsia="宋体"/>
                <w:b/>
                <w:sz w:val="21"/>
                <w:szCs w:val="21"/>
              </w:rPr>
              <w:t>情景</w:t>
            </w:r>
            <w:r>
              <w:rPr>
                <w:rFonts w:hint="eastAsia" w:eastAsia="宋体"/>
                <w:b/>
                <w:sz w:val="21"/>
                <w:szCs w:val="21"/>
                <w:lang w:val="en-US" w:eastAsia="zh-CN"/>
              </w:rPr>
              <w:t>5</w:t>
            </w:r>
            <w:r>
              <w:rPr>
                <w:rFonts w:eastAsia="宋体"/>
                <w:b/>
                <w:sz w:val="21"/>
                <w:szCs w:val="21"/>
              </w:rPr>
              <w:t>：</w:t>
            </w:r>
            <w:r>
              <w:rPr>
                <w:rFonts w:eastAsia="宋体"/>
                <w:bCs/>
                <w:sz w:val="21"/>
                <w:szCs w:val="21"/>
              </w:rPr>
              <w:t>以上火灾事故伴生大量有毒烟雾污染下风向大气环境，可能造成下风向人员中毒伤亡</w:t>
            </w:r>
            <w:r>
              <w:rPr>
                <w:rFonts w:hint="eastAsia" w:eastAsia="宋体"/>
                <w:bCs/>
                <w:sz w:val="21"/>
                <w:szCs w:val="21"/>
                <w:lang w:eastAsia="zh-CN"/>
              </w:rPr>
              <w:t>。</w:t>
            </w:r>
          </w:p>
        </w:tc>
      </w:tr>
      <w:tr w14:paraId="328E8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14:paraId="549E7BF9">
            <w:pPr>
              <w:adjustRightInd w:val="0"/>
              <w:snapToGrid w:val="0"/>
              <w:jc w:val="center"/>
              <w:rPr>
                <w:rFonts w:eastAsia="宋体"/>
                <w:color w:val="000000"/>
                <w:sz w:val="21"/>
                <w:szCs w:val="21"/>
              </w:rPr>
            </w:pPr>
            <w:r>
              <w:rPr>
                <w:rFonts w:eastAsia="宋体"/>
                <w:color w:val="000000"/>
                <w:sz w:val="21"/>
                <w:szCs w:val="21"/>
              </w:rPr>
              <w:t>事件2</w:t>
            </w:r>
          </w:p>
        </w:tc>
        <w:tc>
          <w:tcPr>
            <w:tcW w:w="2156" w:type="dxa"/>
            <w:tcBorders>
              <w:tl2br w:val="nil"/>
              <w:tr2bl w:val="nil"/>
            </w:tcBorders>
            <w:vAlign w:val="center"/>
          </w:tcPr>
          <w:p w14:paraId="52184B3D">
            <w:pPr>
              <w:adjustRightInd w:val="0"/>
              <w:snapToGrid w:val="0"/>
              <w:jc w:val="center"/>
              <w:rPr>
                <w:rFonts w:eastAsia="宋体"/>
                <w:color w:val="000000"/>
                <w:sz w:val="21"/>
                <w:szCs w:val="21"/>
              </w:rPr>
            </w:pPr>
            <w:r>
              <w:rPr>
                <w:rFonts w:eastAsia="宋体"/>
                <w:color w:val="000000"/>
                <w:sz w:val="21"/>
                <w:szCs w:val="21"/>
              </w:rPr>
              <w:t>环境风险防控设施失灵或非正常操作</w:t>
            </w:r>
          </w:p>
        </w:tc>
        <w:tc>
          <w:tcPr>
            <w:tcW w:w="6089" w:type="dxa"/>
            <w:tcBorders>
              <w:tl2br w:val="nil"/>
              <w:tr2bl w:val="nil"/>
            </w:tcBorders>
            <w:vAlign w:val="center"/>
          </w:tcPr>
          <w:p w14:paraId="7858839E">
            <w:pPr>
              <w:adjustRightInd w:val="0"/>
              <w:snapToGrid w:val="0"/>
              <w:jc w:val="left"/>
              <w:rPr>
                <w:rFonts w:eastAsia="宋体"/>
                <w:color w:val="000000"/>
                <w:sz w:val="21"/>
                <w:szCs w:val="21"/>
              </w:rPr>
            </w:pPr>
            <w:r>
              <w:rPr>
                <w:rFonts w:eastAsia="宋体"/>
                <w:b/>
                <w:sz w:val="21"/>
                <w:szCs w:val="21"/>
              </w:rPr>
              <w:t>情景6：</w:t>
            </w:r>
            <w:r>
              <w:rPr>
                <w:rFonts w:eastAsia="宋体"/>
                <w:bCs/>
                <w:sz w:val="21"/>
                <w:szCs w:val="21"/>
              </w:rPr>
              <w:t>情景1、2、3、4、5因雨水切换阀没关或</w:t>
            </w:r>
            <w:r>
              <w:rPr>
                <w:rFonts w:hint="eastAsia" w:eastAsia="宋体"/>
                <w:bCs/>
                <w:sz w:val="21"/>
                <w:szCs w:val="21"/>
                <w:lang w:val="en-US" w:eastAsia="zh-CN"/>
              </w:rPr>
              <w:t>应急</w:t>
            </w:r>
            <w:r>
              <w:rPr>
                <w:rFonts w:eastAsia="宋体"/>
                <w:bCs/>
                <w:sz w:val="21"/>
                <w:szCs w:val="21"/>
              </w:rPr>
              <w:t>事故池引流措施失败，事故废水、消防尾水、泄漏液</w:t>
            </w:r>
            <w:r>
              <w:rPr>
                <w:rFonts w:hint="eastAsia" w:eastAsia="宋体"/>
                <w:bCs/>
                <w:sz w:val="21"/>
                <w:szCs w:val="21"/>
                <w:lang w:val="en-US" w:eastAsia="zh-CN"/>
              </w:rPr>
              <w:t>经雨水管道排入外环境</w:t>
            </w:r>
            <w:r>
              <w:rPr>
                <w:rFonts w:eastAsia="宋体"/>
                <w:bCs/>
                <w:sz w:val="21"/>
                <w:szCs w:val="21"/>
              </w:rPr>
              <w:t>。</w:t>
            </w:r>
          </w:p>
        </w:tc>
      </w:tr>
      <w:tr w14:paraId="09D17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14:paraId="1A52E210">
            <w:pPr>
              <w:adjustRightInd w:val="0"/>
              <w:snapToGrid w:val="0"/>
              <w:jc w:val="center"/>
              <w:rPr>
                <w:rFonts w:eastAsia="宋体"/>
                <w:color w:val="000000"/>
                <w:sz w:val="21"/>
                <w:szCs w:val="21"/>
              </w:rPr>
            </w:pPr>
            <w:r>
              <w:rPr>
                <w:rFonts w:eastAsia="宋体"/>
                <w:color w:val="000000"/>
                <w:sz w:val="21"/>
                <w:szCs w:val="21"/>
              </w:rPr>
              <w:t>事件3</w:t>
            </w:r>
          </w:p>
        </w:tc>
        <w:tc>
          <w:tcPr>
            <w:tcW w:w="2156" w:type="dxa"/>
            <w:tcBorders>
              <w:tl2br w:val="nil"/>
              <w:tr2bl w:val="nil"/>
            </w:tcBorders>
            <w:vAlign w:val="center"/>
          </w:tcPr>
          <w:p w14:paraId="1B579723">
            <w:pPr>
              <w:adjustRightInd w:val="0"/>
              <w:snapToGrid w:val="0"/>
              <w:jc w:val="center"/>
              <w:rPr>
                <w:rFonts w:eastAsia="宋体"/>
                <w:color w:val="000000"/>
                <w:sz w:val="21"/>
                <w:szCs w:val="21"/>
              </w:rPr>
            </w:pPr>
            <w:r>
              <w:rPr>
                <w:rFonts w:eastAsia="宋体"/>
                <w:color w:val="000000"/>
                <w:sz w:val="21"/>
                <w:szCs w:val="21"/>
              </w:rPr>
              <w:t>非正常工况</w:t>
            </w:r>
          </w:p>
        </w:tc>
        <w:tc>
          <w:tcPr>
            <w:tcW w:w="6089" w:type="dxa"/>
            <w:tcBorders>
              <w:tl2br w:val="nil"/>
              <w:tr2bl w:val="nil"/>
            </w:tcBorders>
            <w:vAlign w:val="center"/>
          </w:tcPr>
          <w:p w14:paraId="2357C900">
            <w:pPr>
              <w:adjustRightInd w:val="0"/>
              <w:snapToGrid w:val="0"/>
              <w:jc w:val="left"/>
              <w:rPr>
                <w:rFonts w:eastAsia="宋体"/>
                <w:color w:val="000000"/>
                <w:sz w:val="21"/>
                <w:szCs w:val="21"/>
              </w:rPr>
            </w:pPr>
            <w:r>
              <w:rPr>
                <w:rFonts w:eastAsia="宋体"/>
                <w:b/>
                <w:sz w:val="21"/>
                <w:szCs w:val="21"/>
              </w:rPr>
              <w:t>情景7：</w:t>
            </w:r>
            <w:r>
              <w:rPr>
                <w:rFonts w:eastAsia="宋体"/>
                <w:bCs/>
                <w:sz w:val="21"/>
                <w:szCs w:val="21"/>
                <w:highlight w:val="none"/>
              </w:rPr>
              <w:t>开</w:t>
            </w:r>
            <w:r>
              <w:rPr>
                <w:rFonts w:hint="eastAsia" w:eastAsia="宋体"/>
                <w:bCs/>
                <w:sz w:val="21"/>
                <w:szCs w:val="21"/>
                <w:highlight w:val="none"/>
                <w:lang w:val="en-US" w:eastAsia="zh-CN"/>
              </w:rPr>
              <w:t>工</w:t>
            </w:r>
            <w:r>
              <w:rPr>
                <w:rFonts w:eastAsia="宋体"/>
                <w:bCs/>
                <w:sz w:val="21"/>
                <w:szCs w:val="21"/>
                <w:highlight w:val="none"/>
              </w:rPr>
              <w:t>未先开废气处理装置、停废气处理装置</w:t>
            </w:r>
            <w:r>
              <w:rPr>
                <w:rFonts w:hint="eastAsia" w:eastAsia="宋体"/>
                <w:bCs/>
                <w:sz w:val="21"/>
                <w:szCs w:val="21"/>
                <w:highlight w:val="none"/>
                <w:lang w:val="en-US" w:eastAsia="zh-CN"/>
              </w:rPr>
              <w:t>后继续生产</w:t>
            </w:r>
            <w:r>
              <w:rPr>
                <w:rFonts w:eastAsia="宋体"/>
                <w:bCs/>
                <w:sz w:val="21"/>
                <w:szCs w:val="21"/>
              </w:rPr>
              <w:t>，无组织排放造成厂界超标，下风向大气污染。</w:t>
            </w:r>
          </w:p>
        </w:tc>
      </w:tr>
      <w:tr w14:paraId="032C5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134" w:hRule="atLeast"/>
          <w:jc w:val="center"/>
        </w:trPr>
        <w:tc>
          <w:tcPr>
            <w:tcW w:w="854" w:type="dxa"/>
            <w:tcBorders>
              <w:tl2br w:val="nil"/>
              <w:tr2bl w:val="nil"/>
            </w:tcBorders>
            <w:vAlign w:val="center"/>
          </w:tcPr>
          <w:p w14:paraId="7764C960">
            <w:pPr>
              <w:adjustRightInd w:val="0"/>
              <w:snapToGrid w:val="0"/>
              <w:jc w:val="center"/>
              <w:rPr>
                <w:rFonts w:eastAsia="宋体"/>
                <w:color w:val="000000"/>
                <w:sz w:val="21"/>
                <w:szCs w:val="21"/>
              </w:rPr>
            </w:pPr>
            <w:r>
              <w:rPr>
                <w:rFonts w:eastAsia="宋体"/>
                <w:color w:val="000000"/>
                <w:sz w:val="21"/>
                <w:szCs w:val="21"/>
              </w:rPr>
              <w:t>事件4</w:t>
            </w:r>
          </w:p>
        </w:tc>
        <w:tc>
          <w:tcPr>
            <w:tcW w:w="2156" w:type="dxa"/>
            <w:tcBorders>
              <w:tl2br w:val="nil"/>
              <w:tr2bl w:val="nil"/>
            </w:tcBorders>
            <w:vAlign w:val="center"/>
          </w:tcPr>
          <w:p w14:paraId="4D8F8033">
            <w:pPr>
              <w:adjustRightInd w:val="0"/>
              <w:snapToGrid w:val="0"/>
              <w:jc w:val="center"/>
              <w:rPr>
                <w:rFonts w:eastAsia="宋体"/>
                <w:color w:val="000000"/>
                <w:sz w:val="21"/>
                <w:szCs w:val="21"/>
              </w:rPr>
            </w:pPr>
            <w:r>
              <w:rPr>
                <w:rFonts w:eastAsia="宋体"/>
                <w:color w:val="000000"/>
                <w:sz w:val="21"/>
                <w:szCs w:val="21"/>
              </w:rPr>
              <w:t>污染治理设施非正常运行</w:t>
            </w:r>
          </w:p>
        </w:tc>
        <w:tc>
          <w:tcPr>
            <w:tcW w:w="6089" w:type="dxa"/>
            <w:tcBorders>
              <w:tl2br w:val="nil"/>
              <w:tr2bl w:val="nil"/>
            </w:tcBorders>
            <w:vAlign w:val="center"/>
          </w:tcPr>
          <w:p w14:paraId="24EBD1F0">
            <w:pPr>
              <w:bidi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情景8：</w:t>
            </w:r>
            <w:r>
              <w:rPr>
                <w:rFonts w:hint="default" w:ascii="Times New Roman" w:hAnsi="Times New Roman" w:eastAsia="宋体" w:cs="Times New Roman"/>
                <w:sz w:val="21"/>
                <w:szCs w:val="21"/>
              </w:rPr>
              <w:t>废气处理设施异常，超标排放，引起下风向大气污染；</w:t>
            </w:r>
          </w:p>
          <w:p w14:paraId="69A46D2A">
            <w:pPr>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情景9：</w:t>
            </w:r>
            <w:r>
              <w:rPr>
                <w:rFonts w:hint="default" w:ascii="Times New Roman" w:hAnsi="Times New Roman" w:eastAsia="宋体" w:cs="Times New Roman"/>
                <w:sz w:val="21"/>
                <w:szCs w:val="21"/>
                <w:lang w:val="en-US" w:eastAsia="zh-CN"/>
              </w:rPr>
              <w:t>泄漏、火灾、爆炸等事故救援产生的消防水的事故性排放；管道破裂引起的生产废水排出厂外；</w:t>
            </w:r>
          </w:p>
          <w:p w14:paraId="3DF0DFAA">
            <w:pPr>
              <w:bidi w:val="0"/>
              <w:rPr>
                <w:rFonts w:eastAsia="宋体"/>
                <w:szCs w:val="21"/>
              </w:rPr>
            </w:pPr>
            <w:r>
              <w:rPr>
                <w:rFonts w:hint="default" w:ascii="Times New Roman" w:hAnsi="Times New Roman" w:eastAsia="宋体" w:cs="Times New Roman"/>
                <w:b/>
                <w:bCs/>
                <w:sz w:val="21"/>
                <w:szCs w:val="21"/>
              </w:rPr>
              <w:t>情景10：</w:t>
            </w:r>
            <w:r>
              <w:rPr>
                <w:rFonts w:hint="default" w:ascii="Times New Roman" w:hAnsi="Times New Roman" w:eastAsia="宋体" w:cs="Times New Roman"/>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14:paraId="24812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14:paraId="50508B06">
            <w:pPr>
              <w:adjustRightInd w:val="0"/>
              <w:snapToGrid w:val="0"/>
              <w:jc w:val="center"/>
              <w:rPr>
                <w:rFonts w:eastAsia="宋体"/>
                <w:color w:val="000000"/>
                <w:sz w:val="21"/>
                <w:szCs w:val="21"/>
              </w:rPr>
            </w:pPr>
            <w:r>
              <w:rPr>
                <w:rFonts w:eastAsia="宋体"/>
                <w:color w:val="000000"/>
                <w:sz w:val="21"/>
                <w:szCs w:val="21"/>
              </w:rPr>
              <w:t>事件5</w:t>
            </w:r>
          </w:p>
        </w:tc>
        <w:tc>
          <w:tcPr>
            <w:tcW w:w="2156" w:type="dxa"/>
            <w:tcBorders>
              <w:tl2br w:val="nil"/>
              <w:tr2bl w:val="nil"/>
            </w:tcBorders>
            <w:vAlign w:val="center"/>
          </w:tcPr>
          <w:p w14:paraId="0E76702C">
            <w:pPr>
              <w:adjustRightInd w:val="0"/>
              <w:snapToGrid w:val="0"/>
              <w:jc w:val="center"/>
              <w:rPr>
                <w:rFonts w:eastAsia="宋体"/>
                <w:color w:val="000000"/>
                <w:sz w:val="21"/>
                <w:szCs w:val="21"/>
              </w:rPr>
            </w:pPr>
            <w:r>
              <w:rPr>
                <w:rFonts w:eastAsia="宋体"/>
                <w:color w:val="000000"/>
                <w:sz w:val="21"/>
                <w:szCs w:val="21"/>
              </w:rPr>
              <w:t>违法排污</w:t>
            </w:r>
          </w:p>
        </w:tc>
        <w:tc>
          <w:tcPr>
            <w:tcW w:w="6089" w:type="dxa"/>
            <w:tcBorders>
              <w:tl2br w:val="nil"/>
              <w:tr2bl w:val="nil"/>
            </w:tcBorders>
            <w:vAlign w:val="center"/>
          </w:tcPr>
          <w:p w14:paraId="5AB96623">
            <w:pPr>
              <w:adjustRightInd w:val="0"/>
              <w:snapToGrid w:val="0"/>
              <w:jc w:val="left"/>
              <w:rPr>
                <w:rFonts w:hint="eastAsia" w:eastAsia="宋体"/>
                <w:bCs/>
                <w:sz w:val="21"/>
                <w:szCs w:val="21"/>
                <w:lang w:eastAsia="zh-CN"/>
              </w:rPr>
            </w:pPr>
            <w:r>
              <w:rPr>
                <w:rFonts w:eastAsia="宋体"/>
                <w:b/>
                <w:sz w:val="21"/>
                <w:szCs w:val="21"/>
              </w:rPr>
              <w:t>情景11：</w:t>
            </w:r>
            <w:r>
              <w:rPr>
                <w:rFonts w:eastAsia="宋体"/>
                <w:bCs/>
                <w:sz w:val="21"/>
                <w:szCs w:val="21"/>
              </w:rPr>
              <w:t>水循环一体机内循环水</w:t>
            </w:r>
            <w:r>
              <w:rPr>
                <w:rFonts w:hint="eastAsia" w:eastAsia="宋体"/>
                <w:bCs/>
                <w:sz w:val="21"/>
                <w:szCs w:val="21"/>
                <w:lang w:eastAsia="zh-CN"/>
              </w:rPr>
              <w:t>渗入</w:t>
            </w:r>
            <w:r>
              <w:rPr>
                <w:rFonts w:eastAsia="宋体"/>
                <w:bCs/>
                <w:sz w:val="21"/>
                <w:szCs w:val="21"/>
              </w:rPr>
              <w:t>雨水管网，排出厂外，导致厂界外水体污染</w:t>
            </w:r>
            <w:r>
              <w:rPr>
                <w:rFonts w:hint="eastAsia" w:eastAsia="宋体"/>
                <w:bCs/>
                <w:sz w:val="21"/>
                <w:szCs w:val="21"/>
                <w:lang w:eastAsia="zh-CN"/>
              </w:rPr>
              <w:t>；</w:t>
            </w:r>
          </w:p>
          <w:p w14:paraId="280BD06C">
            <w:pPr>
              <w:adjustRightInd w:val="0"/>
              <w:snapToGrid w:val="0"/>
              <w:jc w:val="left"/>
              <w:rPr>
                <w:rFonts w:hint="eastAsia" w:eastAsia="宋体"/>
                <w:color w:val="000000"/>
                <w:sz w:val="21"/>
                <w:szCs w:val="21"/>
                <w:lang w:eastAsia="zh-CN"/>
              </w:rPr>
            </w:pPr>
            <w:r>
              <w:rPr>
                <w:rFonts w:eastAsia="宋体"/>
                <w:b/>
                <w:sz w:val="21"/>
                <w:szCs w:val="21"/>
              </w:rPr>
              <w:t>情景12：</w:t>
            </w:r>
            <w:r>
              <w:rPr>
                <w:rFonts w:eastAsia="宋体"/>
                <w:bCs/>
                <w:sz w:val="21"/>
                <w:szCs w:val="21"/>
              </w:rPr>
              <w:t>危险废物处置不当或非法处置，污染水体及土壤</w:t>
            </w:r>
            <w:r>
              <w:rPr>
                <w:rFonts w:hint="eastAsia" w:eastAsia="宋体"/>
                <w:bCs/>
                <w:sz w:val="21"/>
                <w:szCs w:val="21"/>
                <w:lang w:eastAsia="zh-CN"/>
              </w:rPr>
              <w:t>。</w:t>
            </w:r>
          </w:p>
        </w:tc>
      </w:tr>
      <w:tr w14:paraId="72AC15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79" w:hRule="atLeast"/>
          <w:jc w:val="center"/>
        </w:trPr>
        <w:tc>
          <w:tcPr>
            <w:tcW w:w="854" w:type="dxa"/>
            <w:tcBorders>
              <w:tl2br w:val="nil"/>
              <w:tr2bl w:val="nil"/>
            </w:tcBorders>
            <w:vAlign w:val="center"/>
          </w:tcPr>
          <w:p w14:paraId="30C9FD61">
            <w:pPr>
              <w:adjustRightInd w:val="0"/>
              <w:snapToGrid w:val="0"/>
              <w:jc w:val="center"/>
              <w:rPr>
                <w:rFonts w:eastAsia="宋体"/>
                <w:color w:val="000000"/>
                <w:sz w:val="21"/>
                <w:szCs w:val="21"/>
              </w:rPr>
            </w:pPr>
            <w:r>
              <w:rPr>
                <w:rFonts w:eastAsia="宋体"/>
                <w:color w:val="000000"/>
                <w:sz w:val="21"/>
                <w:szCs w:val="21"/>
              </w:rPr>
              <w:t>事件6</w:t>
            </w:r>
          </w:p>
        </w:tc>
        <w:tc>
          <w:tcPr>
            <w:tcW w:w="2156" w:type="dxa"/>
            <w:tcBorders>
              <w:tl2br w:val="nil"/>
              <w:tr2bl w:val="nil"/>
            </w:tcBorders>
            <w:vAlign w:val="center"/>
          </w:tcPr>
          <w:p w14:paraId="4D9C420F">
            <w:pPr>
              <w:adjustRightInd w:val="0"/>
              <w:snapToGrid w:val="0"/>
              <w:jc w:val="center"/>
              <w:rPr>
                <w:rFonts w:eastAsia="宋体"/>
                <w:color w:val="000000"/>
                <w:sz w:val="21"/>
                <w:szCs w:val="21"/>
              </w:rPr>
            </w:pPr>
            <w:r>
              <w:rPr>
                <w:rFonts w:eastAsia="宋体"/>
                <w:color w:val="000000"/>
                <w:sz w:val="21"/>
                <w:szCs w:val="21"/>
              </w:rPr>
              <w:t>停电、断水、停气等</w:t>
            </w:r>
          </w:p>
        </w:tc>
        <w:tc>
          <w:tcPr>
            <w:tcW w:w="6089" w:type="dxa"/>
            <w:tcBorders>
              <w:tl2br w:val="nil"/>
              <w:tr2bl w:val="nil"/>
            </w:tcBorders>
            <w:vAlign w:val="center"/>
          </w:tcPr>
          <w:p w14:paraId="4E281BC4">
            <w:pPr>
              <w:adjustRightInd w:val="0"/>
              <w:snapToGrid w:val="0"/>
              <w:jc w:val="left"/>
              <w:rPr>
                <w:rFonts w:eastAsia="宋体"/>
                <w:color w:val="000000"/>
                <w:sz w:val="21"/>
                <w:szCs w:val="21"/>
              </w:rPr>
            </w:pPr>
            <w:r>
              <w:rPr>
                <w:rFonts w:eastAsia="宋体"/>
                <w:b/>
                <w:bCs/>
                <w:sz w:val="21"/>
                <w:szCs w:val="21"/>
              </w:rPr>
              <w:t>情景13</w:t>
            </w:r>
            <w:r>
              <w:rPr>
                <w:rFonts w:hint="eastAsia" w:eastAsia="宋体"/>
                <w:b/>
                <w:bCs/>
                <w:sz w:val="21"/>
                <w:szCs w:val="21"/>
                <w:lang w:eastAsia="zh-CN"/>
              </w:rPr>
              <w:t>：</w:t>
            </w:r>
            <w:r>
              <w:rPr>
                <w:rFonts w:hint="eastAsia" w:eastAsia="宋体"/>
                <w:b w:val="0"/>
                <w:bCs w:val="0"/>
                <w:sz w:val="21"/>
                <w:szCs w:val="21"/>
                <w:lang w:val="en-US" w:eastAsia="zh-CN"/>
              </w:rPr>
              <w:t>公司</w:t>
            </w:r>
            <w:r>
              <w:rPr>
                <w:rFonts w:eastAsia="宋体"/>
                <w:color w:val="000000"/>
                <w:sz w:val="21"/>
                <w:szCs w:val="21"/>
              </w:rPr>
              <w:t>停电</w:t>
            </w:r>
            <w:r>
              <w:rPr>
                <w:rFonts w:hint="eastAsia" w:eastAsia="宋体"/>
                <w:color w:val="000000"/>
                <w:sz w:val="21"/>
                <w:szCs w:val="21"/>
                <w:lang w:val="en-US" w:eastAsia="zh-CN"/>
              </w:rPr>
              <w:t>会</w:t>
            </w:r>
            <w:r>
              <w:rPr>
                <w:rFonts w:hint="eastAsia" w:eastAsia="宋体"/>
                <w:color w:val="000000"/>
                <w:sz w:val="21"/>
                <w:szCs w:val="21"/>
                <w:lang w:eastAsia="zh-CN"/>
              </w:rPr>
              <w:t>导致废气处理设施停</w:t>
            </w:r>
            <w:r>
              <w:rPr>
                <w:rFonts w:hint="eastAsia" w:eastAsia="宋体"/>
                <w:color w:val="000000"/>
                <w:sz w:val="21"/>
                <w:szCs w:val="21"/>
                <w:lang w:val="en-US" w:eastAsia="zh-CN"/>
              </w:rPr>
              <w:t>止</w:t>
            </w:r>
            <w:r>
              <w:rPr>
                <w:rFonts w:hint="eastAsia" w:eastAsia="宋体"/>
                <w:color w:val="000000"/>
                <w:sz w:val="21"/>
                <w:szCs w:val="21"/>
                <w:lang w:eastAsia="zh-CN"/>
              </w:rPr>
              <w:t>运</w:t>
            </w:r>
            <w:r>
              <w:rPr>
                <w:rFonts w:hint="eastAsia" w:eastAsia="宋体"/>
                <w:color w:val="000000"/>
                <w:sz w:val="21"/>
                <w:szCs w:val="21"/>
                <w:lang w:val="en-US" w:eastAsia="zh-CN"/>
              </w:rPr>
              <w:t>行，废气不经处理直接外排，污染环境</w:t>
            </w:r>
            <w:r>
              <w:rPr>
                <w:rFonts w:eastAsia="宋体"/>
                <w:color w:val="000000"/>
                <w:sz w:val="21"/>
                <w:szCs w:val="21"/>
              </w:rPr>
              <w:t>。</w:t>
            </w:r>
          </w:p>
        </w:tc>
      </w:tr>
      <w:tr w14:paraId="37BA7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14:paraId="7288A3AA">
            <w:pPr>
              <w:adjustRightInd w:val="0"/>
              <w:snapToGrid w:val="0"/>
              <w:jc w:val="center"/>
              <w:rPr>
                <w:rFonts w:eastAsia="宋体"/>
                <w:color w:val="000000"/>
                <w:sz w:val="21"/>
                <w:szCs w:val="21"/>
              </w:rPr>
            </w:pPr>
            <w:r>
              <w:rPr>
                <w:rFonts w:eastAsia="宋体"/>
                <w:color w:val="000000"/>
                <w:sz w:val="21"/>
                <w:szCs w:val="21"/>
              </w:rPr>
              <w:t>事件7</w:t>
            </w:r>
          </w:p>
        </w:tc>
        <w:tc>
          <w:tcPr>
            <w:tcW w:w="2156" w:type="dxa"/>
            <w:tcBorders>
              <w:tl2br w:val="nil"/>
              <w:tr2bl w:val="nil"/>
            </w:tcBorders>
            <w:vAlign w:val="center"/>
          </w:tcPr>
          <w:p w14:paraId="7ECF281B">
            <w:pPr>
              <w:adjustRightInd w:val="0"/>
              <w:snapToGrid w:val="0"/>
              <w:jc w:val="center"/>
              <w:rPr>
                <w:rFonts w:eastAsia="宋体"/>
                <w:color w:val="000000"/>
                <w:sz w:val="21"/>
                <w:szCs w:val="21"/>
              </w:rPr>
            </w:pPr>
            <w:r>
              <w:rPr>
                <w:rFonts w:eastAsia="宋体"/>
                <w:color w:val="000000"/>
                <w:sz w:val="21"/>
                <w:szCs w:val="21"/>
              </w:rPr>
              <w:t>通讯或运输系统故障</w:t>
            </w:r>
          </w:p>
        </w:tc>
        <w:tc>
          <w:tcPr>
            <w:tcW w:w="6089" w:type="dxa"/>
            <w:tcBorders>
              <w:tl2br w:val="nil"/>
              <w:tr2bl w:val="nil"/>
            </w:tcBorders>
            <w:vAlign w:val="center"/>
          </w:tcPr>
          <w:p w14:paraId="4070B684">
            <w:pPr>
              <w:adjustRightInd w:val="0"/>
              <w:snapToGrid w:val="0"/>
              <w:jc w:val="left"/>
              <w:rPr>
                <w:rFonts w:eastAsia="宋体"/>
                <w:sz w:val="21"/>
                <w:szCs w:val="21"/>
              </w:rPr>
            </w:pPr>
            <w:r>
              <w:rPr>
                <w:rFonts w:eastAsia="宋体"/>
                <w:b/>
                <w:bCs/>
                <w:sz w:val="21"/>
                <w:szCs w:val="21"/>
              </w:rPr>
              <w:t>情景1</w:t>
            </w:r>
            <w:r>
              <w:rPr>
                <w:rFonts w:hint="eastAsia" w:eastAsia="宋体"/>
                <w:b/>
                <w:bCs/>
                <w:sz w:val="21"/>
                <w:szCs w:val="21"/>
                <w:lang w:val="en-US" w:eastAsia="zh-CN"/>
              </w:rPr>
              <w:t>4</w:t>
            </w:r>
            <w:r>
              <w:rPr>
                <w:rFonts w:eastAsia="宋体"/>
                <w:b/>
                <w:bCs/>
                <w:sz w:val="21"/>
                <w:szCs w:val="21"/>
              </w:rPr>
              <w:t>：</w:t>
            </w:r>
            <w:r>
              <w:rPr>
                <w:rFonts w:eastAsia="宋体"/>
                <w:sz w:val="21"/>
                <w:szCs w:val="21"/>
              </w:rPr>
              <w:t>厂内运输不当发生</w:t>
            </w:r>
            <w:r>
              <w:rPr>
                <w:rFonts w:hint="eastAsia" w:eastAsia="宋体"/>
                <w:sz w:val="21"/>
                <w:szCs w:val="21"/>
                <w:lang w:val="en-US" w:eastAsia="zh-CN"/>
              </w:rPr>
              <w:t>水性漆等</w:t>
            </w:r>
            <w:r>
              <w:rPr>
                <w:rFonts w:eastAsia="宋体"/>
                <w:sz w:val="21"/>
                <w:szCs w:val="21"/>
              </w:rPr>
              <w:t>泄漏流入雨水系统造成厂界外水体污染。</w:t>
            </w:r>
          </w:p>
          <w:p w14:paraId="1F3CF8D3">
            <w:pPr>
              <w:bidi w:val="0"/>
              <w:rPr>
                <w:rFonts w:eastAsia="宋体"/>
                <w:szCs w:val="21"/>
              </w:rPr>
            </w:pPr>
            <w:r>
              <w:rPr>
                <w:rFonts w:hint="default" w:ascii="Times New Roman" w:hAnsi="Times New Roman" w:eastAsia="宋体" w:cs="Times New Roman"/>
                <w:b/>
                <w:bCs/>
                <w:sz w:val="21"/>
                <w:szCs w:val="21"/>
              </w:rPr>
              <w:t>情景1</w:t>
            </w:r>
            <w:r>
              <w:rPr>
                <w:rFonts w:hint="eastAsia" w:eastAsia="宋体" w:cs="Times New Roman"/>
                <w:b/>
                <w:bCs/>
                <w:sz w:val="21"/>
                <w:szCs w:val="21"/>
                <w:lang w:val="en-US" w:eastAsia="zh-CN"/>
              </w:rPr>
              <w:t>5</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公司产生的危险废物采用汽运方式进行运输。在运输的过程中，会因包装材料损坏、汽车翻车等原因，造成危废洒落、泄漏，对大气环境、水环境、土壤环境造成一定的影响。</w:t>
            </w:r>
          </w:p>
        </w:tc>
      </w:tr>
      <w:tr w14:paraId="5AECC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14:paraId="60F934C0">
            <w:pPr>
              <w:adjustRightInd w:val="0"/>
              <w:snapToGrid w:val="0"/>
              <w:jc w:val="center"/>
              <w:rPr>
                <w:rFonts w:eastAsia="宋体"/>
                <w:color w:val="000000"/>
                <w:sz w:val="21"/>
                <w:szCs w:val="21"/>
              </w:rPr>
            </w:pPr>
            <w:r>
              <w:rPr>
                <w:rFonts w:eastAsia="宋体"/>
                <w:color w:val="000000"/>
                <w:sz w:val="21"/>
                <w:szCs w:val="21"/>
              </w:rPr>
              <w:t>事件8</w:t>
            </w:r>
          </w:p>
        </w:tc>
        <w:tc>
          <w:tcPr>
            <w:tcW w:w="2156" w:type="dxa"/>
            <w:tcBorders>
              <w:tl2br w:val="nil"/>
              <w:tr2bl w:val="nil"/>
            </w:tcBorders>
            <w:vAlign w:val="center"/>
          </w:tcPr>
          <w:p w14:paraId="4A582C20">
            <w:pPr>
              <w:adjustRightInd w:val="0"/>
              <w:snapToGrid w:val="0"/>
              <w:jc w:val="center"/>
              <w:rPr>
                <w:rFonts w:eastAsia="宋体"/>
                <w:color w:val="000000"/>
                <w:sz w:val="21"/>
                <w:szCs w:val="21"/>
              </w:rPr>
            </w:pPr>
            <w:r>
              <w:rPr>
                <w:rFonts w:eastAsia="宋体"/>
                <w:color w:val="000000"/>
                <w:sz w:val="21"/>
                <w:szCs w:val="21"/>
              </w:rPr>
              <w:t>各种自然灾害、极端天气或不利气象条件</w:t>
            </w:r>
          </w:p>
        </w:tc>
        <w:tc>
          <w:tcPr>
            <w:tcW w:w="6089" w:type="dxa"/>
            <w:tcBorders>
              <w:tl2br w:val="nil"/>
              <w:tr2bl w:val="nil"/>
            </w:tcBorders>
            <w:vAlign w:val="center"/>
          </w:tcPr>
          <w:p w14:paraId="504355CC">
            <w:pPr>
              <w:adjustRightInd w:val="0"/>
              <w:snapToGrid w:val="0"/>
              <w:jc w:val="left"/>
              <w:rPr>
                <w:rFonts w:eastAsia="宋体"/>
                <w:color w:val="000000"/>
                <w:sz w:val="21"/>
                <w:szCs w:val="21"/>
              </w:rPr>
            </w:pPr>
            <w:r>
              <w:rPr>
                <w:rFonts w:eastAsia="宋体"/>
                <w:b/>
                <w:sz w:val="21"/>
                <w:szCs w:val="21"/>
              </w:rPr>
              <w:t>情景1</w:t>
            </w:r>
            <w:r>
              <w:rPr>
                <w:rFonts w:hint="eastAsia" w:eastAsia="宋体"/>
                <w:b/>
                <w:sz w:val="21"/>
                <w:szCs w:val="21"/>
                <w:lang w:val="en-US" w:eastAsia="zh-CN"/>
              </w:rPr>
              <w:t>6</w:t>
            </w:r>
            <w:r>
              <w:rPr>
                <w:rFonts w:eastAsia="宋体"/>
                <w:b/>
                <w:sz w:val="21"/>
                <w:szCs w:val="21"/>
              </w:rPr>
              <w:t>：</w:t>
            </w:r>
            <w:r>
              <w:rPr>
                <w:rFonts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eastAsia="宋体"/>
                <w:bCs/>
                <w:sz w:val="21"/>
                <w:szCs w:val="21"/>
              </w:rPr>
              <w:t>。</w:t>
            </w:r>
          </w:p>
        </w:tc>
      </w:tr>
      <w:tr w14:paraId="57071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26182F71">
            <w:pPr>
              <w:adjustRightInd w:val="0"/>
              <w:snapToGrid w:val="0"/>
              <w:jc w:val="center"/>
              <w:rPr>
                <w:rFonts w:eastAsia="宋体"/>
                <w:color w:val="000000"/>
                <w:sz w:val="21"/>
                <w:szCs w:val="21"/>
              </w:rPr>
            </w:pPr>
            <w:r>
              <w:rPr>
                <w:rFonts w:eastAsia="宋体"/>
                <w:color w:val="000000"/>
                <w:sz w:val="21"/>
                <w:szCs w:val="21"/>
              </w:rPr>
              <w:t>事件9</w:t>
            </w:r>
          </w:p>
        </w:tc>
        <w:tc>
          <w:tcPr>
            <w:tcW w:w="2156" w:type="dxa"/>
            <w:tcBorders>
              <w:tl2br w:val="nil"/>
              <w:tr2bl w:val="nil"/>
            </w:tcBorders>
            <w:vAlign w:val="center"/>
          </w:tcPr>
          <w:p w14:paraId="6EC8D762">
            <w:pPr>
              <w:adjustRightInd w:val="0"/>
              <w:snapToGrid w:val="0"/>
              <w:jc w:val="center"/>
              <w:rPr>
                <w:rFonts w:eastAsia="宋体"/>
                <w:color w:val="000000"/>
                <w:sz w:val="21"/>
                <w:szCs w:val="21"/>
              </w:rPr>
            </w:pPr>
            <w:r>
              <w:rPr>
                <w:rFonts w:eastAsia="宋体"/>
                <w:color w:val="000000"/>
                <w:sz w:val="21"/>
                <w:szCs w:val="21"/>
              </w:rPr>
              <w:t>其他可能的情景</w:t>
            </w:r>
          </w:p>
        </w:tc>
        <w:tc>
          <w:tcPr>
            <w:tcW w:w="6089" w:type="dxa"/>
            <w:tcBorders>
              <w:tl2br w:val="nil"/>
              <w:tr2bl w:val="nil"/>
            </w:tcBorders>
            <w:vAlign w:val="center"/>
          </w:tcPr>
          <w:p w14:paraId="2C0D8B2E">
            <w:pPr>
              <w:adjustRightInd w:val="0"/>
              <w:snapToGrid w:val="0"/>
              <w:jc w:val="left"/>
              <w:rPr>
                <w:rFonts w:eastAsia="宋体"/>
                <w:color w:val="000000"/>
                <w:sz w:val="21"/>
                <w:szCs w:val="21"/>
              </w:rPr>
            </w:pPr>
            <w:r>
              <w:rPr>
                <w:rFonts w:eastAsia="宋体"/>
                <w:color w:val="000000"/>
                <w:sz w:val="21"/>
                <w:szCs w:val="21"/>
              </w:rPr>
              <w:t>/</w:t>
            </w:r>
          </w:p>
        </w:tc>
      </w:tr>
      <w:tr w14:paraId="738262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6A0B855A">
            <w:pPr>
              <w:adjustRightInd w:val="0"/>
              <w:snapToGrid w:val="0"/>
              <w:jc w:val="center"/>
              <w:rPr>
                <w:rFonts w:hint="default" w:eastAsia="宋体"/>
                <w:color w:val="000000"/>
                <w:sz w:val="21"/>
                <w:szCs w:val="21"/>
                <w:lang w:val="en-US" w:eastAsia="zh-CN"/>
              </w:rPr>
            </w:pPr>
            <w:bookmarkStart w:id="151" w:name="_Toc7356"/>
            <w:bookmarkStart w:id="152" w:name="_Toc29962"/>
            <w:bookmarkStart w:id="153" w:name="_Toc510092950"/>
            <w:bookmarkStart w:id="154" w:name="_Toc402776212"/>
            <w:bookmarkStart w:id="155" w:name="_Toc496887125"/>
            <w:bookmarkStart w:id="156" w:name="_Toc23512"/>
            <w:r>
              <w:rPr>
                <w:rFonts w:hint="eastAsia" w:eastAsia="宋体"/>
                <w:color w:val="000000"/>
                <w:sz w:val="21"/>
                <w:szCs w:val="21"/>
                <w:lang w:val="en-US" w:eastAsia="zh-CN"/>
              </w:rPr>
              <w:t>事件10</w:t>
            </w:r>
          </w:p>
        </w:tc>
        <w:tc>
          <w:tcPr>
            <w:tcW w:w="2156" w:type="dxa"/>
            <w:tcBorders>
              <w:tl2br w:val="nil"/>
              <w:tr2bl w:val="nil"/>
            </w:tcBorders>
            <w:vAlign w:val="center"/>
          </w:tcPr>
          <w:p w14:paraId="7E88CF23">
            <w:pPr>
              <w:adjustRightInd w:val="0"/>
              <w:snapToGrid w:val="0"/>
              <w:jc w:val="center"/>
              <w:rPr>
                <w:rFonts w:hint="default" w:eastAsia="宋体"/>
                <w:color w:val="000000"/>
                <w:sz w:val="21"/>
                <w:szCs w:val="21"/>
                <w:lang w:val="en-US" w:eastAsia="zh-CN"/>
              </w:rPr>
            </w:pPr>
            <w:r>
              <w:rPr>
                <w:rFonts w:hint="eastAsia" w:eastAsia="宋体"/>
                <w:color w:val="000000"/>
                <w:sz w:val="21"/>
                <w:szCs w:val="21"/>
                <w:lang w:val="en-US" w:eastAsia="zh-CN"/>
              </w:rPr>
              <w:t>危废暂存点</w:t>
            </w:r>
          </w:p>
        </w:tc>
        <w:tc>
          <w:tcPr>
            <w:tcW w:w="6089" w:type="dxa"/>
            <w:tcBorders>
              <w:tl2br w:val="nil"/>
              <w:tr2bl w:val="nil"/>
            </w:tcBorders>
            <w:vAlign w:val="center"/>
          </w:tcPr>
          <w:p w14:paraId="48FB1E65">
            <w:pPr>
              <w:adjustRightInd w:val="0"/>
              <w:snapToGrid w:val="0"/>
              <w:jc w:val="left"/>
              <w:rPr>
                <w:rFonts w:eastAsia="宋体"/>
                <w:color w:val="000000"/>
                <w:sz w:val="21"/>
                <w:szCs w:val="21"/>
              </w:rPr>
            </w:pPr>
            <w:r>
              <w:rPr>
                <w:rFonts w:eastAsia="宋体"/>
                <w:b/>
                <w:sz w:val="21"/>
                <w:szCs w:val="21"/>
              </w:rPr>
              <w:t>情景</w:t>
            </w:r>
            <w:r>
              <w:rPr>
                <w:rFonts w:hint="eastAsia" w:eastAsia="宋体"/>
                <w:b/>
                <w:sz w:val="21"/>
                <w:szCs w:val="21"/>
                <w:lang w:val="en-US" w:eastAsia="zh-CN"/>
              </w:rPr>
              <w:t>17</w:t>
            </w:r>
            <w:r>
              <w:rPr>
                <w:rFonts w:eastAsia="宋体"/>
                <w:b/>
                <w:sz w:val="21"/>
                <w:szCs w:val="21"/>
              </w:rPr>
              <w:t>：</w:t>
            </w:r>
            <w:r>
              <w:rPr>
                <w:rFonts w:hint="eastAsia" w:eastAsia="宋体"/>
                <w:color w:val="000000"/>
                <w:sz w:val="21"/>
                <w:szCs w:val="21"/>
              </w:rPr>
              <w:t>危废暂存点有机溶剂泄漏·、火灾引发次生/伴生·C0·污染物排放</w:t>
            </w:r>
          </w:p>
        </w:tc>
      </w:tr>
    </w:tbl>
    <w:p w14:paraId="4D922085">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4.2突发环境事件情景源强分析</w:t>
      </w:r>
      <w:bookmarkEnd w:id="151"/>
      <w:bookmarkEnd w:id="152"/>
      <w:bookmarkEnd w:id="153"/>
      <w:bookmarkEnd w:id="154"/>
      <w:bookmarkEnd w:id="155"/>
      <w:bookmarkEnd w:id="156"/>
    </w:p>
    <w:p w14:paraId="04F4B8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14:paraId="6062F6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事件1，考虑</w:t>
      </w:r>
      <w:r>
        <w:rPr>
          <w:rFonts w:hint="default" w:ascii="Times New Roman" w:hAnsi="Times New Roman" w:eastAsia="宋体" w:cs="Times New Roman"/>
          <w:color w:val="000000" w:themeColor="text1"/>
          <w:lang w:val="en-US" w:eastAsia="zh-CN"/>
          <w14:textFill>
            <w14:solidFill>
              <w14:schemeClr w14:val="tx1"/>
            </w14:solidFill>
          </w14:textFill>
        </w:rPr>
        <w:t>因管理不当，造成</w:t>
      </w:r>
      <w:r>
        <w:rPr>
          <w:rFonts w:hint="eastAsia" w:eastAsia="宋体" w:cs="Times New Roman"/>
          <w:color w:val="000000" w:themeColor="text1"/>
          <w:lang w:val="en-US" w:eastAsia="zh-CN"/>
          <w14:textFill>
            <w14:solidFill>
              <w14:schemeClr w14:val="tx1"/>
            </w14:solidFill>
          </w14:textFill>
        </w:rPr>
        <w:t>仓库、危废仓库</w:t>
      </w:r>
      <w:r>
        <w:rPr>
          <w:rFonts w:hint="default" w:ascii="Times New Roman" w:hAnsi="Times New Roman" w:eastAsia="宋体" w:cs="Times New Roman"/>
          <w:color w:val="000000" w:themeColor="text1"/>
          <w:lang w:val="en-US" w:eastAsia="zh-CN"/>
          <w14:textFill>
            <w14:solidFill>
              <w14:schemeClr w14:val="tx1"/>
            </w14:solidFill>
          </w14:textFill>
        </w:rPr>
        <w:t>等风险源发生火灾、爆炸、泄漏事故及可能引起的次生、衍生厂外环境污染及人员伤亡事故。</w:t>
      </w:r>
    </w:p>
    <w:p w14:paraId="113D83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w:t>
      </w:r>
      <w:r>
        <w:rPr>
          <w:rFonts w:hint="default" w:ascii="Times New Roman" w:hAnsi="Times New Roman" w:eastAsia="宋体" w:cs="Times New Roman"/>
          <w:color w:val="000000" w:themeColor="text1"/>
          <w:lang w:val="en-US" w:eastAsia="zh-CN"/>
          <w14:textFill>
            <w14:solidFill>
              <w14:schemeClr w14:val="tx1"/>
            </w14:solidFill>
          </w14:textFill>
        </w:rPr>
        <w:t>2、3、4、5</w:t>
      </w:r>
      <w:r>
        <w:rPr>
          <w:rFonts w:hint="default" w:ascii="Times New Roman" w:hAnsi="Times New Roman" w:eastAsia="宋体" w:cs="Times New Roman"/>
          <w:color w:val="000000" w:themeColor="text1"/>
          <w14:textFill>
            <w14:solidFill>
              <w14:schemeClr w14:val="tx1"/>
            </w14:solidFill>
          </w14:textFill>
        </w:rPr>
        <w:t>根据分析均可归为</w:t>
      </w:r>
      <w:r>
        <w:rPr>
          <w:rFonts w:hint="default" w:ascii="Times New Roman" w:hAnsi="Times New Roman" w:eastAsia="宋体" w:cs="Times New Roman"/>
          <w:color w:val="000000" w:themeColor="text1"/>
          <w:lang w:val="en-US" w:eastAsia="zh-CN"/>
          <w14:textFill>
            <w14:solidFill>
              <w14:schemeClr w14:val="tx1"/>
            </w14:solidFill>
          </w14:textFill>
        </w:rPr>
        <w:t>公司废</w:t>
      </w:r>
      <w:r>
        <w:rPr>
          <w:rFonts w:hint="default" w:ascii="Times New Roman" w:hAnsi="Times New Roman" w:eastAsia="宋体" w:cs="Times New Roman"/>
          <w:color w:val="000000" w:themeColor="text1"/>
          <w14:textFill>
            <w14:solidFill>
              <w14:schemeClr w14:val="tx1"/>
            </w14:solidFill>
          </w14:textFill>
        </w:rPr>
        <w:t>水、废气超标排放等原因造成对外环境有影响。</w:t>
      </w:r>
    </w:p>
    <w:p w14:paraId="4F1BA11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综上，根据</w:t>
      </w:r>
      <w:r>
        <w:rPr>
          <w:rFonts w:hint="default" w:ascii="Times New Roman" w:hAnsi="Times New Roman" w:eastAsia="宋体" w:cs="Times New Roman"/>
          <w:color w:val="000000" w:themeColor="text1"/>
          <w:lang w:val="en-US" w:eastAsia="zh-CN"/>
          <w14:textFill>
            <w14:solidFill>
              <w14:schemeClr w14:val="tx1"/>
            </w14:solidFill>
          </w14:textFill>
        </w:rPr>
        <w:t>公司</w:t>
      </w:r>
      <w:r>
        <w:rPr>
          <w:rFonts w:hint="default" w:ascii="Times New Roman" w:hAnsi="Times New Roman" w:eastAsia="宋体" w:cs="Times New Roman"/>
          <w:color w:val="000000" w:themeColor="text1"/>
          <w14:textFill>
            <w14:solidFill>
              <w14:schemeClr w14:val="tx1"/>
            </w14:solidFill>
          </w14:textFill>
        </w:rPr>
        <w:t>特点分析，本次报告重点针对分析影响较大的事件1、</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3、4、5的事故源强进行重点分析，其中1为</w:t>
      </w:r>
      <w:r>
        <w:rPr>
          <w:rFonts w:hint="default" w:ascii="Times New Roman" w:hAnsi="Times New Roman" w:eastAsia="宋体" w:cs="Times New Roman"/>
          <w:color w:val="000000" w:themeColor="text1"/>
          <w:lang w:val="en-US" w:eastAsia="zh-CN"/>
          <w14:textFill>
            <w14:solidFill>
              <w14:schemeClr w14:val="tx1"/>
            </w14:solidFill>
          </w14:textFill>
        </w:rPr>
        <w:t>火灾事件</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3、4、5为废水超标排放事件、废气超标排放事件。</w:t>
      </w:r>
    </w:p>
    <w:p w14:paraId="3ABB6785">
      <w:pPr>
        <w:pStyle w:val="5"/>
        <w:tabs>
          <w:tab w:val="left" w:pos="3491"/>
        </w:tabs>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57" w:name="_Toc30597"/>
      <w:bookmarkStart w:id="158" w:name="_Toc26157"/>
      <w:bookmarkStart w:id="159" w:name="_Toc27354"/>
      <w:r>
        <w:rPr>
          <w:rFonts w:hint="default" w:ascii="Times New Roman" w:hAnsi="Times New Roman" w:eastAsia="宋体" w:cs="Times New Roman"/>
          <w:color w:val="000000" w:themeColor="text1"/>
          <w14:textFill>
            <w14:solidFill>
              <w14:schemeClr w14:val="tx1"/>
            </w14:solidFill>
          </w14:textFill>
        </w:rPr>
        <w:t>4.2.1事件情景1</w:t>
      </w:r>
      <w:bookmarkEnd w:id="157"/>
      <w:bookmarkEnd w:id="158"/>
      <w:bookmarkEnd w:id="159"/>
    </w:p>
    <w:p w14:paraId="033934AA">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sz w:val="24"/>
          <w:szCs w:val="24"/>
        </w:rPr>
      </w:pPr>
      <w:bookmarkStart w:id="160" w:name="_Toc475474908"/>
      <w:bookmarkStart w:id="161" w:name="_Toc10365"/>
      <w:r>
        <w:rPr>
          <w:rFonts w:hint="default" w:ascii="Times New Roman" w:hAnsi="Times New Roman" w:eastAsia="宋体" w:cs="Times New Roman"/>
          <w:color w:val="000000" w:themeColor="text1"/>
          <w:sz w:val="24"/>
          <w:szCs w:val="24"/>
          <w14:textFill>
            <w14:solidFill>
              <w14:schemeClr w14:val="tx1"/>
            </w14:solidFill>
          </w14:textFill>
        </w:rPr>
        <w:t>根据现场调查，在生产过程中，可能因</w:t>
      </w:r>
      <w:r>
        <w:rPr>
          <w:rFonts w:hint="default" w:ascii="Times New Roman" w:hAnsi="Times New Roman" w:eastAsia="宋体" w:cs="Times New Roman"/>
          <w:color w:val="000000"/>
          <w:sz w:val="24"/>
          <w:szCs w:val="24"/>
        </w:rPr>
        <w:t>人员工作</w:t>
      </w:r>
      <w:r>
        <w:rPr>
          <w:rFonts w:hint="eastAsia" w:eastAsia="宋体" w:cs="Times New Roman"/>
          <w:color w:val="000000"/>
          <w:sz w:val="24"/>
          <w:szCs w:val="24"/>
          <w:lang w:eastAsia="zh-CN"/>
        </w:rPr>
        <w:t>时</w:t>
      </w:r>
      <w:r>
        <w:rPr>
          <w:rFonts w:hint="default" w:ascii="Times New Roman" w:hAnsi="Times New Roman" w:eastAsia="宋体" w:cs="Times New Roman"/>
          <w:color w:val="000000"/>
          <w:sz w:val="24"/>
          <w:szCs w:val="24"/>
        </w:rPr>
        <w:t>麻痹大意导致火灾事故的</w:t>
      </w:r>
      <w:r>
        <w:rPr>
          <w:rFonts w:hint="eastAsia" w:eastAsia="宋体" w:cs="Times New Roman"/>
          <w:color w:val="000000"/>
          <w:sz w:val="24"/>
          <w:szCs w:val="24"/>
          <w:lang w:eastAsia="zh-CN"/>
        </w:rPr>
        <w:t>发</w:t>
      </w:r>
      <w:r>
        <w:rPr>
          <w:rFonts w:hint="default" w:ascii="Times New Roman" w:hAnsi="Times New Roman" w:eastAsia="宋体" w:cs="Times New Roman"/>
          <w:color w:val="000000"/>
          <w:sz w:val="24"/>
          <w:szCs w:val="24"/>
        </w:rPr>
        <w:t>生。公司</w:t>
      </w:r>
      <w:bookmarkEnd w:id="160"/>
      <w:r>
        <w:rPr>
          <w:rFonts w:hint="default" w:ascii="Times New Roman" w:hAnsi="Times New Roman" w:eastAsia="宋体" w:cs="Times New Roman"/>
          <w:color w:val="000000"/>
          <w:sz w:val="24"/>
          <w:szCs w:val="24"/>
        </w:rPr>
        <w:t>原料及成品最大存储量为</w:t>
      </w:r>
      <w:r>
        <w:rPr>
          <w:rFonts w:hint="eastAsia" w:eastAsia="宋体" w:cs="Times New Roman"/>
          <w:color w:val="000000"/>
          <w:sz w:val="24"/>
          <w:szCs w:val="24"/>
          <w:lang w:val="en-US" w:eastAsia="zh-CN"/>
        </w:rPr>
        <w:t>200</w:t>
      </w:r>
      <w:r>
        <w:rPr>
          <w:rFonts w:hint="default" w:ascii="Times New Roman" w:hAnsi="Times New Roman" w:eastAsia="宋体" w:cs="Times New Roman"/>
          <w:color w:val="000000"/>
          <w:sz w:val="24"/>
          <w:szCs w:val="24"/>
        </w:rPr>
        <w:t>吨，考虑到木材主要成分为纤维素，</w:t>
      </w:r>
      <w:r>
        <w:rPr>
          <w:rFonts w:hint="eastAsia" w:eastAsia="宋体" w:cs="Times New Roman"/>
          <w:color w:val="000000"/>
          <w:sz w:val="24"/>
          <w:szCs w:val="24"/>
          <w:lang w:val="en-US" w:eastAsia="zh-CN"/>
        </w:rPr>
        <w:t>漆、海绵胶等主要成分为有机物，</w:t>
      </w:r>
      <w:r>
        <w:rPr>
          <w:rFonts w:hint="default" w:ascii="Times New Roman" w:hAnsi="Times New Roman" w:eastAsia="宋体" w:cs="Times New Roman"/>
          <w:color w:val="000000"/>
          <w:sz w:val="24"/>
          <w:szCs w:val="24"/>
        </w:rPr>
        <w:t>其主要构成元素为碳氢化合物，在燃烧时的主要化学反应为：</w:t>
      </w:r>
    </w:p>
    <w:p w14:paraId="3A231153">
      <w:pPr>
        <w:pStyle w:val="4"/>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14:paraId="692DFACA">
      <w:pPr>
        <w:pStyle w:val="4"/>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14:paraId="78E98724">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假设燃烧一半时，火被扑灭即燃烧量为</w:t>
      </w:r>
      <w:r>
        <w:rPr>
          <w:rFonts w:hint="eastAsia" w:eastAsia="宋体" w:cs="Times New Roman"/>
          <w:color w:val="000000"/>
          <w:sz w:val="24"/>
          <w:szCs w:val="24"/>
          <w:lang w:val="en-US" w:eastAsia="zh-CN"/>
        </w:rPr>
        <w:t>80</w:t>
      </w:r>
      <w:r>
        <w:rPr>
          <w:rFonts w:hint="default" w:ascii="Times New Roman" w:hAnsi="Times New Roman" w:eastAsia="宋体" w:cs="Times New Roman"/>
          <w:color w:val="000000"/>
          <w:sz w:val="24"/>
          <w:szCs w:val="24"/>
        </w:rPr>
        <w:t>吨。由于火灾燃烧时为不完全燃烧，</w:t>
      </w:r>
      <w:r>
        <w:rPr>
          <w:rFonts w:hint="eastAsia" w:eastAsia="宋体" w:cs="Times New Roman"/>
          <w:color w:val="000000"/>
          <w:sz w:val="24"/>
          <w:szCs w:val="24"/>
          <w:lang w:val="en-US" w:eastAsia="zh-CN"/>
        </w:rPr>
        <w:t>海绵胶、热熔胶热分解时会产生可燃有毒气体</w:t>
      </w:r>
      <w:r>
        <w:rPr>
          <w:rFonts w:hint="default" w:ascii="Times New Roman" w:hAnsi="Times New Roman" w:eastAsia="宋体" w:cs="Times New Roman"/>
          <w:color w:val="000000"/>
          <w:sz w:val="24"/>
          <w:szCs w:val="24"/>
        </w:rPr>
        <w:t>，本评价在考虑污染物的时候主要考虑CO。参考类似项目，化学不完全燃烧值取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%。源强计算参照《建设项目环境风险评价技术导则》</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征求意见稿</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推荐的公式计算：</w:t>
      </w:r>
    </w:p>
    <w:p w14:paraId="0F6C86DD">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燃料燃烧产生的CO量可按下式进行简单估算：</w:t>
      </w:r>
    </w:p>
    <w:p w14:paraId="4E68AE77">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=2330*q*C*</w:t>
      </w:r>
      <w:r>
        <w:rPr>
          <w:rFonts w:hint="default" w:ascii="Times New Roman" w:hAnsi="Times New Roman" w:eastAsia="宋体" w:cs="Times New Roman"/>
          <w:color w:val="000000"/>
          <w:sz w:val="24"/>
          <w:szCs w:val="24"/>
          <w:lang w:val="en-US" w:eastAsia="zh-CN"/>
        </w:rPr>
        <w:t>Q</w:t>
      </w:r>
    </w:p>
    <w:p w14:paraId="60B3FD2D">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color w:val="000000"/>
          <w:sz w:val="24"/>
          <w:szCs w:val="24"/>
          <w:lang w:eastAsia="zh-CN"/>
        </w:rPr>
      </w:pPr>
      <w:r>
        <w:rPr>
          <w:rFonts w:hint="default" w:ascii="Times New Roman" w:hAnsi="Times New Roman" w:eastAsia="宋体" w:cs="Times New Roman"/>
          <w:color w:val="000000"/>
          <w:sz w:val="24"/>
          <w:szCs w:val="24"/>
        </w:rPr>
        <w:t>式中</w:t>
      </w:r>
      <w:r>
        <w:rPr>
          <w:rFonts w:hint="eastAsia" w:eastAsia="宋体" w:cs="Times New Roman"/>
          <w:color w:val="000000"/>
          <w:sz w:val="24"/>
          <w:szCs w:val="24"/>
          <w:lang w:eastAsia="zh-CN"/>
        </w:rPr>
        <w:t>：</w:t>
      </w:r>
    </w:p>
    <w:p w14:paraId="0751AD72">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—CO的产生量</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default" w:ascii="Times New Roman" w:hAnsi="Times New Roman" w:eastAsia="宋体" w:cs="Times New Roman"/>
          <w:color w:val="000000"/>
          <w:sz w:val="24"/>
          <w:szCs w:val="24"/>
        </w:rPr>
        <w:t>;</w:t>
      </w:r>
    </w:p>
    <w:p w14:paraId="49C1EF50">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C—燃料中碳的质量百分比含量</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80</w:t>
      </w:r>
      <w:r>
        <w:rPr>
          <w:rFonts w:hint="default" w:ascii="Times New Roman" w:hAnsi="Times New Roman" w:eastAsia="宋体" w:cs="Times New Roman"/>
          <w:color w:val="000000"/>
          <w:sz w:val="24"/>
          <w:szCs w:val="24"/>
        </w:rPr>
        <w:t>%；</w:t>
      </w:r>
    </w:p>
    <w:p w14:paraId="12633895">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q—化学不完全燃烧值</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w:t>
      </w:r>
      <w:r>
        <w:rPr>
          <w:rFonts w:hint="eastAsia" w:eastAsia="宋体" w:cs="Times New Roman"/>
          <w:color w:val="000000"/>
          <w:sz w:val="24"/>
          <w:szCs w:val="24"/>
          <w:lang w:val="en-US" w:eastAsia="zh-CN"/>
        </w:rPr>
        <w:t>，取1.5%～6%，</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w:t>
      </w:r>
    </w:p>
    <w:p w14:paraId="786804F8">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Q</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参与燃烧的物质量，t/s</w:t>
      </w:r>
      <w:r>
        <w:rPr>
          <w:rFonts w:hint="default" w:ascii="Times New Roman" w:hAnsi="Times New Roman" w:eastAsia="宋体" w:cs="Times New Roman"/>
          <w:color w:val="000000"/>
          <w:sz w:val="24"/>
          <w:szCs w:val="24"/>
        </w:rPr>
        <w:t>。</w:t>
      </w:r>
    </w:p>
    <w:p w14:paraId="2F2E3A0C">
      <w:pPr>
        <w:pageBreakBefore w:val="0"/>
        <w:kinsoku/>
        <w:wordWrap/>
        <w:overflowPunct/>
        <w:topLinePunct w:val="0"/>
        <w:bidi w:val="0"/>
        <w:snapToGrid w:val="0"/>
        <w:spacing w:line="500" w:lineRule="exact"/>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-3</w:t>
      </w:r>
      <w:r>
        <w:rPr>
          <w:rFonts w:hint="default" w:ascii="Times New Roman" w:hAnsi="Times New Roman" w:eastAsia="宋体" w:cs="Times New Roman"/>
          <w:b/>
          <w:bCs/>
          <w:color w:val="000000"/>
          <w:sz w:val="24"/>
          <w:szCs w:val="24"/>
          <w:highlight w:val="none"/>
        </w:rPr>
        <w:t>燃烧产生的CO产生量</w:t>
      </w:r>
      <w:r>
        <w:rPr>
          <w:rFonts w:hint="default" w:ascii="Times New Roman" w:hAnsi="Times New Roman" w:eastAsia="宋体" w:cs="Times New Roman"/>
          <w:b/>
          <w:bCs/>
          <w:color w:val="000000"/>
          <w:sz w:val="24"/>
          <w:szCs w:val="24"/>
        </w:rPr>
        <w:t>估算表</w:t>
      </w:r>
    </w:p>
    <w:tbl>
      <w:tblPr>
        <w:tblStyle w:val="37"/>
        <w:tblW w:w="8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10"/>
        <w:gridCol w:w="878"/>
        <w:gridCol w:w="1601"/>
        <w:gridCol w:w="1704"/>
        <w:gridCol w:w="1187"/>
        <w:gridCol w:w="1515"/>
      </w:tblGrid>
      <w:tr w14:paraId="65C17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221" w:type="dxa"/>
            <w:tcBorders>
              <w:tl2br w:val="nil"/>
              <w:tr2bl w:val="nil"/>
            </w:tcBorders>
            <w:noWrap w:val="0"/>
            <w:vAlign w:val="center"/>
          </w:tcPr>
          <w:p w14:paraId="43E4A953">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810" w:type="dxa"/>
            <w:tcBorders>
              <w:tl2br w:val="nil"/>
              <w:tr2bl w:val="nil"/>
            </w:tcBorders>
            <w:noWrap w:val="0"/>
            <w:vAlign w:val="center"/>
          </w:tcPr>
          <w:p w14:paraId="24FA6B7D">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p>
        </w:tc>
        <w:tc>
          <w:tcPr>
            <w:tcW w:w="878" w:type="dxa"/>
            <w:tcBorders>
              <w:tl2br w:val="nil"/>
              <w:tr2bl w:val="nil"/>
            </w:tcBorders>
            <w:noWrap w:val="0"/>
            <w:vAlign w:val="center"/>
          </w:tcPr>
          <w:p w14:paraId="760F112E">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q</w:t>
            </w:r>
          </w:p>
        </w:tc>
        <w:tc>
          <w:tcPr>
            <w:tcW w:w="1601" w:type="dxa"/>
            <w:tcBorders>
              <w:tl2br w:val="nil"/>
              <w:tr2bl w:val="nil"/>
            </w:tcBorders>
            <w:noWrap w:val="0"/>
            <w:vAlign w:val="center"/>
          </w:tcPr>
          <w:p w14:paraId="292A2995">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燃烧量</w:t>
            </w:r>
            <w:r>
              <w:rPr>
                <w:rFonts w:hint="eastAsia"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704" w:type="dxa"/>
            <w:tcBorders>
              <w:tl2br w:val="nil"/>
              <w:tr2bl w:val="nil"/>
            </w:tcBorders>
            <w:noWrap w:val="0"/>
            <w:vAlign w:val="center"/>
          </w:tcPr>
          <w:p w14:paraId="659657FD">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燃烧时间</w:t>
            </w:r>
            <w:r>
              <w:rPr>
                <w:rFonts w:hint="eastAsia"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min</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187" w:type="dxa"/>
            <w:tcBorders>
              <w:tl2br w:val="nil"/>
              <w:tr2bl w:val="nil"/>
            </w:tcBorders>
            <w:noWrap w:val="0"/>
            <w:vAlign w:val="center"/>
          </w:tcPr>
          <w:p w14:paraId="6C75BD98">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bCs/>
                <w:color w:val="000000" w:themeColor="text1"/>
                <w:sz w:val="21"/>
                <w:szCs w:val="21"/>
                <w:lang w:val="en-US" w:eastAsia="zh-CN"/>
                <w14:textFill>
                  <w14:solidFill>
                    <w14:schemeClr w14:val="tx1"/>
                  </w14:solidFill>
                </w14:textFill>
              </w:rPr>
              <w:t>Q</w:t>
            </w:r>
            <w:r>
              <w:rPr>
                <w:rFonts w:hint="eastAsia" w:eastAsia="宋体" w:cs="Times New Roman"/>
                <w:b/>
                <w:bCs/>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sz w:val="24"/>
                <w:szCs w:val="24"/>
                <w:lang w:val="en-US" w:eastAsia="zh-CN"/>
              </w:rPr>
              <w:t>t/s</w:t>
            </w:r>
            <w:r>
              <w:rPr>
                <w:rFonts w:hint="eastAsia" w:ascii="Times New Roman" w:hAnsi="Times New Roman" w:eastAsia="宋体" w:cs="Times New Roman"/>
                <w:color w:val="000000"/>
                <w:sz w:val="24"/>
                <w:szCs w:val="24"/>
                <w:lang w:val="en-US" w:eastAsia="zh-CN"/>
              </w:rPr>
              <w:t>)</w:t>
            </w:r>
          </w:p>
        </w:tc>
        <w:tc>
          <w:tcPr>
            <w:tcW w:w="1515" w:type="dxa"/>
            <w:tcBorders>
              <w:tl2br w:val="nil"/>
              <w:tr2bl w:val="nil"/>
            </w:tcBorders>
            <w:noWrap w:val="0"/>
            <w:vAlign w:val="center"/>
          </w:tcPr>
          <w:p w14:paraId="3683C165">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G</w:t>
            </w:r>
            <w:r>
              <w:rPr>
                <w:rFonts w:hint="default" w:ascii="Times New Roman" w:hAnsi="Times New Roman" w:eastAsia="宋体" w:cs="Times New Roman"/>
                <w:color w:val="000000" w:themeColor="text1"/>
                <w:sz w:val="24"/>
                <w:szCs w:val="24"/>
                <w:vertAlign w:val="subscript"/>
                <w14:textFill>
                  <w14:solidFill>
                    <w14:schemeClr w14:val="tx1"/>
                  </w14:solidFill>
                </w14:textFill>
              </w:rPr>
              <w:t>CO</w:t>
            </w:r>
            <w:r>
              <w:rPr>
                <w:rFonts w:hint="eastAsia" w:eastAsia="宋体" w:cs="Times New Roman"/>
                <w:color w:val="000000" w:themeColor="text1"/>
                <w:sz w:val="24"/>
                <w:szCs w:val="24"/>
                <w:vertAlign w:val="subscript"/>
                <w:lang w:val="en-US" w:eastAsia="zh-CN"/>
                <w14:textFill>
                  <w14:solidFill>
                    <w14:schemeClr w14:val="tx1"/>
                  </w14:solidFill>
                </w14:textFill>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eastAsia" w:ascii="Times New Roman" w:hAnsi="Times New Roman" w:eastAsia="宋体" w:cs="Times New Roman"/>
                <w:color w:val="000000"/>
                <w:sz w:val="24"/>
                <w:szCs w:val="24"/>
                <w:lang w:val="en-US" w:eastAsia="zh-CN"/>
              </w:rPr>
              <w:t>)</w:t>
            </w:r>
          </w:p>
        </w:tc>
      </w:tr>
      <w:tr w14:paraId="3CD25D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noWrap w:val="0"/>
            <w:vAlign w:val="center"/>
          </w:tcPr>
          <w:p w14:paraId="559E86BE">
            <w:pPr>
              <w:adjustRightInd w:val="0"/>
              <w:snapToGrid w:val="0"/>
              <w:spacing w:line="240" w:lineRule="auto"/>
              <w:ind w:firstLine="0" w:firstLineChars="0"/>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漆、海绵胶等</w:t>
            </w:r>
          </w:p>
        </w:tc>
        <w:tc>
          <w:tcPr>
            <w:tcW w:w="810" w:type="dxa"/>
            <w:tcBorders>
              <w:tl2br w:val="nil"/>
              <w:tr2bl w:val="nil"/>
            </w:tcBorders>
            <w:noWrap w:val="0"/>
            <w:vAlign w:val="center"/>
          </w:tcPr>
          <w:p w14:paraId="1FE7C1C3">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60</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878" w:type="dxa"/>
            <w:tcBorders>
              <w:tl2br w:val="nil"/>
              <w:tr2bl w:val="nil"/>
            </w:tcBorders>
            <w:noWrap w:val="0"/>
            <w:vAlign w:val="center"/>
          </w:tcPr>
          <w:p w14:paraId="344D5E81">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01" w:type="dxa"/>
            <w:tcBorders>
              <w:tl2br w:val="nil"/>
              <w:tr2bl w:val="nil"/>
            </w:tcBorders>
            <w:noWrap w:val="0"/>
            <w:vAlign w:val="center"/>
          </w:tcPr>
          <w:p w14:paraId="7A3E3F0D">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80</w:t>
            </w:r>
            <w:r>
              <w:rPr>
                <w:rFonts w:hint="default" w:ascii="Times New Roman" w:hAnsi="Times New Roman" w:eastAsia="宋体" w:cs="Times New Roman"/>
                <w:color w:val="000000" w:themeColor="text1"/>
                <w:sz w:val="21"/>
                <w:szCs w:val="21"/>
                <w14:textFill>
                  <w14:solidFill>
                    <w14:schemeClr w14:val="tx1"/>
                  </w14:solidFill>
                </w14:textFill>
              </w:rPr>
              <w:t>t</w:t>
            </w:r>
          </w:p>
        </w:tc>
        <w:tc>
          <w:tcPr>
            <w:tcW w:w="1704" w:type="dxa"/>
            <w:tcBorders>
              <w:tl2br w:val="nil"/>
              <w:tr2bl w:val="nil"/>
            </w:tcBorders>
            <w:noWrap w:val="0"/>
            <w:vAlign w:val="center"/>
          </w:tcPr>
          <w:p w14:paraId="7461CFB4">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187" w:type="dxa"/>
            <w:tcBorders>
              <w:tl2br w:val="nil"/>
              <w:tr2bl w:val="nil"/>
            </w:tcBorders>
            <w:noWrap w:val="0"/>
            <w:vAlign w:val="center"/>
          </w:tcPr>
          <w:p w14:paraId="12815B33">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0.0</w:t>
            </w:r>
            <w:r>
              <w:rPr>
                <w:rFonts w:hint="eastAsia" w:eastAsia="宋体" w:cs="Times New Roman"/>
                <w:color w:val="000000" w:themeColor="text1"/>
                <w:sz w:val="21"/>
                <w:szCs w:val="21"/>
                <w:lang w:val="en-US" w:eastAsia="zh-CN"/>
                <w14:textFill>
                  <w14:solidFill>
                    <w14:schemeClr w14:val="tx1"/>
                  </w14:solidFill>
                </w14:textFill>
              </w:rPr>
              <w:t>022</w:t>
            </w:r>
          </w:p>
        </w:tc>
        <w:tc>
          <w:tcPr>
            <w:tcW w:w="1515" w:type="dxa"/>
            <w:tcBorders>
              <w:tl2br w:val="nil"/>
              <w:tr2bl w:val="nil"/>
            </w:tcBorders>
            <w:noWrap w:val="0"/>
            <w:vAlign w:val="center"/>
          </w:tcPr>
          <w:p w14:paraId="20D1BA14">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1.538</w:t>
            </w:r>
          </w:p>
        </w:tc>
      </w:tr>
      <w:bookmarkEnd w:id="161"/>
    </w:tbl>
    <w:p w14:paraId="2E502D79">
      <w:pPr>
        <w:pStyle w:val="5"/>
        <w:keepNext w:val="0"/>
        <w:keepLines w:val="0"/>
        <w:tabs>
          <w:tab w:val="left" w:pos="3491"/>
        </w:tabs>
        <w:adjustRightInd w:val="0"/>
        <w:snapToGrid w:val="0"/>
        <w:spacing w:line="500" w:lineRule="exact"/>
        <w:ind w:firstLine="0" w:firstLineChars="0"/>
        <w:jc w:val="left"/>
        <w:outlineLvl w:val="2"/>
        <w:rPr>
          <w:rFonts w:hint="default" w:ascii="Times New Roman" w:hAnsi="Times New Roman" w:eastAsia="宋体" w:cs="Times New Roman"/>
          <w:color w:val="000000" w:themeColor="text1"/>
          <w:lang w:val="en-US" w:eastAsia="zh-CN"/>
          <w14:textFill>
            <w14:solidFill>
              <w14:schemeClr w14:val="tx1"/>
            </w14:solidFill>
          </w14:textFill>
        </w:rPr>
      </w:pPr>
      <w:bookmarkStart w:id="162" w:name="_Toc2865"/>
      <w:bookmarkStart w:id="163" w:name="_Toc28763"/>
      <w:bookmarkStart w:id="164" w:name="_Toc11264"/>
      <w:r>
        <w:rPr>
          <w:rFonts w:hint="default" w:ascii="Times New Roman" w:hAnsi="Times New Roman" w:eastAsia="宋体" w:cs="Times New Roman"/>
          <w:color w:val="000000" w:themeColor="text1"/>
          <w14:textFill>
            <w14:solidFill>
              <w14:schemeClr w14:val="tx1"/>
            </w14:solidFill>
          </w14:textFill>
        </w:rPr>
        <w:t>4.2.</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bookmarkEnd w:id="162"/>
      <w:r>
        <w:rPr>
          <w:rFonts w:hint="eastAsia"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6</w:t>
      </w:r>
      <w:bookmarkEnd w:id="163"/>
      <w:bookmarkEnd w:id="164"/>
    </w:p>
    <w:p w14:paraId="51EB5B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公司</w:t>
      </w:r>
      <w:r>
        <w:rPr>
          <w:rFonts w:hint="eastAsia" w:ascii="宋体" w:hAnsi="宋体" w:eastAsia="宋体" w:cs="宋体"/>
          <w:color w:val="000000" w:themeColor="text1"/>
          <w14:textFill>
            <w14:solidFill>
              <w14:schemeClr w14:val="tx1"/>
            </w14:solidFill>
          </w14:textFill>
        </w:rPr>
        <w:t>可能发生的水质异常情况包括：①</w:t>
      </w:r>
      <w:r>
        <w:rPr>
          <w:rFonts w:hint="eastAsia" w:ascii="宋体" w:hAnsi="宋体" w:eastAsia="宋体" w:cs="宋体"/>
          <w:color w:val="000000" w:themeColor="text1"/>
          <w:lang w:val="en-US" w:eastAsia="zh-CN"/>
          <w14:textFill>
            <w14:solidFill>
              <w14:schemeClr w14:val="tx1"/>
            </w14:solidFill>
          </w14:textFill>
        </w:rPr>
        <w:t>发生火灾事故，消防水因雨水阀门未及时关闭或应急事故池引流措施失败导致的事故性排放</w:t>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lang w:val="en-US" w:eastAsia="zh-CN"/>
          <w14:textFill>
            <w14:solidFill>
              <w14:schemeClr w14:val="tx1"/>
            </w14:solidFill>
          </w14:textFill>
        </w:rPr>
        <w:t>因水循环一体机管道破损未及时补救等原因，导致生产循环水侵入雨水管道，误排厂外；③当固废堆场防雨设施不完善、遭到破坏时，淋沥固体废物的雨水径流可能进入河流，误排厂外</w:t>
      </w:r>
      <w:r>
        <w:rPr>
          <w:rFonts w:hint="eastAsia" w:ascii="宋体" w:hAnsi="宋体" w:eastAsia="宋体" w:cs="宋体"/>
          <w:color w:val="000000" w:themeColor="text1"/>
          <w14:textFill>
            <w14:solidFill>
              <w14:schemeClr w14:val="tx1"/>
            </w14:solidFill>
          </w14:textFill>
        </w:rPr>
        <w:t>。</w:t>
      </w:r>
    </w:p>
    <w:p w14:paraId="38C828BD">
      <w:pPr>
        <w:pStyle w:val="5"/>
        <w:tabs>
          <w:tab w:val="left" w:pos="3491"/>
        </w:tabs>
        <w:adjustRightInd w:val="0"/>
        <w:snapToGrid w:val="0"/>
        <w:spacing w:line="500" w:lineRule="exact"/>
        <w:jc w:val="left"/>
        <w:rPr>
          <w:rFonts w:hint="default" w:ascii="Times New Roman" w:hAnsi="Times New Roman" w:eastAsia="宋体" w:cs="Times New Roman"/>
          <w:b/>
          <w:bCs/>
          <w:color w:val="000000" w:themeColor="text1"/>
          <w:lang w:val="en-US" w:eastAsia="zh-CN"/>
          <w14:textFill>
            <w14:solidFill>
              <w14:schemeClr w14:val="tx1"/>
            </w14:solidFill>
          </w14:textFill>
        </w:rPr>
      </w:pPr>
      <w:bookmarkStart w:id="165" w:name="_Toc19215"/>
      <w:bookmarkStart w:id="166" w:name="_Toc4150"/>
      <w:bookmarkStart w:id="167" w:name="_Toc32065"/>
      <w:r>
        <w:rPr>
          <w:rFonts w:hint="default" w:ascii="Times New Roman" w:hAnsi="Times New Roman" w:eastAsia="宋体" w:cs="Times New Roman"/>
          <w:b/>
          <w:bCs/>
          <w:color w:val="000000" w:themeColor="text1"/>
          <w14:textFill>
            <w14:solidFill>
              <w14:schemeClr w14:val="tx1"/>
            </w14:solidFill>
          </w14:textFill>
        </w:rPr>
        <w:t>4.2.</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事件情景</w:t>
      </w:r>
      <w:bookmarkEnd w:id="165"/>
      <w:r>
        <w:rPr>
          <w:rFonts w:hint="eastAsia" w:eastAsia="宋体" w:cs="Times New Roman"/>
          <w:b/>
          <w:bCs/>
          <w:color w:val="000000" w:themeColor="text1"/>
          <w:lang w:val="en-US" w:eastAsia="zh-CN"/>
          <w14:textFill>
            <w14:solidFill>
              <w14:schemeClr w14:val="tx1"/>
            </w14:solidFill>
          </w14:textFill>
        </w:rPr>
        <w:t>4、5</w:t>
      </w:r>
      <w:bookmarkEnd w:id="166"/>
      <w:bookmarkEnd w:id="167"/>
    </w:p>
    <w:p w14:paraId="02E04BC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本项目产生的有组织废气主要为开料等木加工过程产生的木料粉尘，木制家具表面砂光、打磨废气，底漆打磨废气，木制家具透明底漆、白底漆、喷涂产生的调漆及喷涂废气，透明面漆、白面漆喷涂过程产生的调漆及喷涂废气</w:t>
      </w:r>
      <w:r>
        <w:rPr>
          <w:rFonts w:hint="default" w:ascii="Times New Roman" w:hAnsi="Times New Roman" w:eastAsia="宋体" w:cs="Times New Roman"/>
          <w:color w:val="000000" w:themeColor="text1"/>
          <w:lang w:val="en-US" w:eastAsia="zh-CN"/>
          <w14:textFill>
            <w14:solidFill>
              <w14:schemeClr w14:val="tx1"/>
            </w14:solidFill>
          </w14:textFill>
        </w:rPr>
        <w:t>。</w:t>
      </w:r>
    </w:p>
    <w:p w14:paraId="712148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根据</w:t>
      </w:r>
      <w:r>
        <w:rPr>
          <w:rFonts w:hint="eastAsia" w:ascii="宋体" w:hAnsi="宋体" w:eastAsia="宋体" w:cs="宋体"/>
          <w:bCs/>
          <w:color w:val="000000" w:themeColor="text1"/>
          <w:lang w:val="en-US" w:eastAsia="zh-CN"/>
          <w14:textFill>
            <w14:solidFill>
              <w14:schemeClr w14:val="tx1"/>
            </w14:solidFill>
          </w14:textFill>
        </w:rPr>
        <w:t>公司</w:t>
      </w:r>
      <w:r>
        <w:rPr>
          <w:rFonts w:hint="eastAsia" w:eastAsia="宋体" w:cs="Times New Roman"/>
          <w:bCs/>
          <w:color w:val="000000" w:themeColor="text1"/>
          <w:lang w:val="en-US" w:eastAsia="zh-CN"/>
          <w14:textFill>
            <w14:solidFill>
              <w14:schemeClr w14:val="tx1"/>
            </w14:solidFill>
          </w14:textFill>
        </w:rPr>
        <w:t>2024年检测</w:t>
      </w:r>
      <w:r>
        <w:rPr>
          <w:rFonts w:hint="eastAsia" w:ascii="宋体" w:hAnsi="宋体" w:eastAsia="宋体" w:cs="宋体"/>
          <w:bCs/>
          <w:color w:val="000000" w:themeColor="text1"/>
          <w:lang w:val="en-US" w:eastAsia="zh-CN"/>
          <w14:textFill>
            <w14:solidFill>
              <w14:schemeClr w14:val="tx1"/>
            </w14:solidFill>
          </w14:textFill>
        </w:rPr>
        <w:t>报告</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废气的产生情况见表</w:t>
      </w:r>
      <w:r>
        <w:rPr>
          <w:rFonts w:hint="eastAsia" w:ascii="Times New Roman" w:hAnsi="Times New Roman" w:eastAsia="宋体" w:cs="Times New Roman"/>
          <w:color w:val="000000" w:themeColor="text1"/>
          <w:lang w:val="en-US" w:eastAsia="zh-CN"/>
          <w14:textFill>
            <w14:solidFill>
              <w14:schemeClr w14:val="tx1"/>
            </w14:solidFill>
          </w14:textFill>
        </w:rPr>
        <w:t>4-</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lang w:val="en-US" w:eastAsia="zh-CN"/>
          <w14:textFill>
            <w14:solidFill>
              <w14:schemeClr w14:val="tx1"/>
            </w14:solidFill>
          </w14:textFill>
        </w:rPr>
        <w:t>。</w:t>
      </w:r>
    </w:p>
    <w:p w14:paraId="5DDE5FFE">
      <w:pPr>
        <w:adjustRightInd w:val="0"/>
        <w:snapToGrid w:val="0"/>
        <w:spacing w:line="500" w:lineRule="exact"/>
        <w:ind w:firstLine="482" w:firstLineChars="200"/>
        <w:jc w:val="center"/>
        <w:rPr>
          <w:rFonts w:hint="default" w:ascii="Times New Roman" w:hAnsi="Times New Roman" w:eastAsia="宋体" w:cs="Times New Roman"/>
          <w:b/>
          <w:bCs/>
          <w:color w:val="auto"/>
          <w:highlight w:val="none"/>
          <w:lang w:val="en-US" w:eastAsia="zh-CN"/>
        </w:rPr>
      </w:pPr>
    </w:p>
    <w:p w14:paraId="30E20E25">
      <w:pPr>
        <w:adjustRightInd w:val="0"/>
        <w:snapToGrid w:val="0"/>
        <w:spacing w:line="500" w:lineRule="exact"/>
        <w:ind w:firstLine="482" w:firstLineChars="20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w:t>
      </w:r>
      <w:r>
        <w:rPr>
          <w:rFonts w:hint="eastAsia" w:ascii="Times New Roman" w:hAnsi="Times New Roman" w:eastAsia="宋体" w:cs="Times New Roman"/>
          <w:b/>
          <w:bCs/>
          <w:color w:val="auto"/>
          <w:highlight w:val="none"/>
          <w:lang w:val="en-US" w:eastAsia="zh-CN"/>
        </w:rPr>
        <w:t>4-</w:t>
      </w:r>
      <w:r>
        <w:rPr>
          <w:rFonts w:hint="eastAsia" w:eastAsia="宋体" w:cs="Times New Roman"/>
          <w:b/>
          <w:bCs/>
          <w:color w:val="auto"/>
          <w:highlight w:val="none"/>
          <w:lang w:val="en-US" w:eastAsia="zh-CN"/>
        </w:rPr>
        <w:t>4</w:t>
      </w:r>
      <w:r>
        <w:rPr>
          <w:rFonts w:hint="eastAsia" w:ascii="Times New Roman" w:hAnsi="Times New Roman" w:eastAsia="宋体" w:cs="Times New Roman"/>
          <w:b/>
          <w:bCs/>
          <w:color w:val="auto"/>
          <w:highlight w:val="none"/>
          <w:lang w:val="en-US" w:eastAsia="zh-CN"/>
        </w:rPr>
        <w:t>废气产生情况一览表</w:t>
      </w:r>
    </w:p>
    <w:tbl>
      <w:tblPr>
        <w:tblStyle w:val="37"/>
        <w:tblW w:w="532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663"/>
        <w:gridCol w:w="1140"/>
        <w:gridCol w:w="1109"/>
        <w:gridCol w:w="1109"/>
        <w:gridCol w:w="1240"/>
        <w:gridCol w:w="968"/>
        <w:gridCol w:w="1369"/>
        <w:gridCol w:w="1039"/>
      </w:tblGrid>
      <w:tr w14:paraId="03968E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63" w:type="pct"/>
            <w:vMerge w:val="restart"/>
            <w:tcBorders>
              <w:tl2br w:val="nil"/>
              <w:tr2bl w:val="nil"/>
            </w:tcBorders>
            <w:vAlign w:val="center"/>
          </w:tcPr>
          <w:p w14:paraId="3C003632">
            <w:pPr>
              <w:pStyle w:val="140"/>
              <w:spacing w:before="0" w:line="240" w:lineRule="auto"/>
              <w:ind w:left="0" w:right="0"/>
              <w:rPr>
                <w:rFonts w:ascii="Times New Roman" w:hAnsi="Times New Roman" w:cs="Times New Roman"/>
                <w:b/>
                <w:sz w:val="21"/>
              </w:rPr>
            </w:pPr>
            <w:r>
              <w:rPr>
                <w:rFonts w:ascii="Times New Roman" w:hAnsi="Times New Roman" w:cs="Times New Roman"/>
                <w:b/>
                <w:spacing w:val="-9"/>
                <w:sz w:val="21"/>
              </w:rPr>
              <w:t>污染</w:t>
            </w:r>
            <w:r>
              <w:rPr>
                <w:rFonts w:ascii="Times New Roman" w:hAnsi="Times New Roman" w:cs="Times New Roman"/>
                <w:b/>
                <w:sz w:val="21"/>
              </w:rPr>
              <w:t>源</w:t>
            </w:r>
            <w:r>
              <w:rPr>
                <w:rFonts w:ascii="Times New Roman" w:hAnsi="Times New Roman" w:cs="Times New Roman"/>
                <w:b/>
                <w:spacing w:val="-9"/>
                <w:sz w:val="21"/>
              </w:rPr>
              <w:t>名称</w:t>
            </w:r>
          </w:p>
        </w:tc>
        <w:tc>
          <w:tcPr>
            <w:tcW w:w="591" w:type="pct"/>
            <w:vMerge w:val="restart"/>
            <w:tcBorders>
              <w:tl2br w:val="nil"/>
              <w:tr2bl w:val="nil"/>
            </w:tcBorders>
            <w:vAlign w:val="center"/>
          </w:tcPr>
          <w:p w14:paraId="2155C6EC">
            <w:pPr>
              <w:pStyle w:val="140"/>
              <w:spacing w:line="240" w:lineRule="auto"/>
              <w:ind w:left="0" w:right="0" w:firstLine="0"/>
              <w:jc w:val="center"/>
              <w:rPr>
                <w:rFonts w:ascii="Times New Roman" w:hAnsi="Times New Roman" w:cs="Times New Roman"/>
                <w:b/>
                <w:sz w:val="21"/>
              </w:rPr>
            </w:pPr>
            <w:r>
              <w:rPr>
                <w:rFonts w:ascii="Times New Roman" w:hAnsi="Times New Roman" w:cs="Times New Roman"/>
                <w:b/>
                <w:sz w:val="21"/>
              </w:rPr>
              <w:t>污染物名称</w:t>
            </w:r>
          </w:p>
        </w:tc>
        <w:tc>
          <w:tcPr>
            <w:tcW w:w="1793" w:type="pct"/>
            <w:gridSpan w:val="3"/>
            <w:tcBorders>
              <w:tl2br w:val="nil"/>
              <w:tr2bl w:val="nil"/>
            </w:tcBorders>
            <w:vAlign w:val="center"/>
          </w:tcPr>
          <w:p w14:paraId="2022C7A7">
            <w:pPr>
              <w:pStyle w:val="140"/>
              <w:spacing w:before="0"/>
              <w:ind w:left="0"/>
              <w:jc w:val="center"/>
              <w:rPr>
                <w:rFonts w:ascii="Times New Roman" w:hAnsi="Times New Roman" w:cs="Times New Roman"/>
                <w:b/>
                <w:sz w:val="21"/>
              </w:rPr>
            </w:pPr>
            <w:r>
              <w:rPr>
                <w:rFonts w:ascii="Times New Roman" w:hAnsi="Times New Roman" w:cs="Times New Roman"/>
                <w:b/>
                <w:sz w:val="21"/>
              </w:rPr>
              <w:t>产生状况</w:t>
            </w:r>
          </w:p>
        </w:tc>
        <w:tc>
          <w:tcPr>
            <w:tcW w:w="502" w:type="pct"/>
            <w:vMerge w:val="restart"/>
            <w:tcBorders>
              <w:tl2br w:val="nil"/>
              <w:tr2bl w:val="nil"/>
            </w:tcBorders>
            <w:vAlign w:val="center"/>
          </w:tcPr>
          <w:p w14:paraId="2F8E1905">
            <w:pPr>
              <w:pStyle w:val="140"/>
              <w:ind w:left="0"/>
              <w:jc w:val="center"/>
              <w:rPr>
                <w:rFonts w:ascii="Times New Roman" w:hAnsi="Times New Roman" w:cs="Times New Roman"/>
                <w:b/>
                <w:sz w:val="21"/>
              </w:rPr>
            </w:pPr>
            <w:r>
              <w:rPr>
                <w:rFonts w:ascii="Times New Roman" w:hAnsi="Times New Roman" w:cs="Times New Roman"/>
                <w:b/>
                <w:w w:val="95"/>
                <w:sz w:val="21"/>
              </w:rPr>
              <w:t>排气量</w:t>
            </w:r>
          </w:p>
          <w:p w14:paraId="24585F44">
            <w:pPr>
              <w:pStyle w:val="140"/>
              <w:spacing w:before="0"/>
              <w:ind w:left="0"/>
              <w:jc w:val="center"/>
              <w:rPr>
                <w:rFonts w:ascii="Times New Roman" w:hAnsi="Times New Roman" w:cs="Times New Roman"/>
                <w:b/>
                <w:sz w:val="21"/>
              </w:rPr>
            </w:pPr>
            <w:r>
              <w:rPr>
                <w:rFonts w:ascii="Times New Roman" w:hAnsi="Times New Roman" w:cs="Times New Roman"/>
                <w:b/>
                <w:sz w:val="21"/>
              </w:rPr>
              <w:t>(m</w:t>
            </w:r>
            <w:r>
              <w:rPr>
                <w:rFonts w:ascii="Times New Roman" w:hAnsi="Times New Roman" w:cs="Times New Roman"/>
                <w:b/>
                <w:position w:val="7"/>
                <w:sz w:val="13"/>
              </w:rPr>
              <w:t>3</w:t>
            </w:r>
            <w:r>
              <w:rPr>
                <w:rFonts w:ascii="Times New Roman" w:hAnsi="Times New Roman" w:cs="Times New Roman"/>
                <w:b/>
                <w:sz w:val="21"/>
              </w:rPr>
              <w:t>/h)</w:t>
            </w:r>
          </w:p>
        </w:tc>
        <w:tc>
          <w:tcPr>
            <w:tcW w:w="710" w:type="pct"/>
            <w:vMerge w:val="restart"/>
            <w:tcBorders>
              <w:tl2br w:val="nil"/>
              <w:tr2bl w:val="nil"/>
            </w:tcBorders>
            <w:vAlign w:val="center"/>
          </w:tcPr>
          <w:p w14:paraId="52B27DF3">
            <w:pPr>
              <w:pStyle w:val="140"/>
              <w:spacing w:line="240" w:lineRule="auto"/>
              <w:ind w:left="0" w:right="0"/>
              <w:jc w:val="center"/>
              <w:rPr>
                <w:rFonts w:ascii="Times New Roman" w:hAnsi="Times New Roman" w:cs="Times New Roman"/>
                <w:b/>
                <w:sz w:val="21"/>
              </w:rPr>
            </w:pPr>
            <w:r>
              <w:rPr>
                <w:rFonts w:ascii="Times New Roman" w:hAnsi="Times New Roman" w:cs="Times New Roman"/>
                <w:b/>
                <w:sz w:val="21"/>
              </w:rPr>
              <w:t>治理措施</w:t>
            </w:r>
          </w:p>
        </w:tc>
        <w:tc>
          <w:tcPr>
            <w:tcW w:w="539" w:type="pct"/>
            <w:vMerge w:val="restart"/>
            <w:tcBorders>
              <w:tl2br w:val="nil"/>
              <w:tr2bl w:val="nil"/>
            </w:tcBorders>
            <w:vAlign w:val="center"/>
          </w:tcPr>
          <w:p w14:paraId="600D135B">
            <w:pPr>
              <w:pStyle w:val="140"/>
              <w:ind w:left="0"/>
              <w:jc w:val="center"/>
              <w:rPr>
                <w:rFonts w:ascii="Times New Roman" w:hAnsi="Times New Roman" w:cs="Times New Roman"/>
                <w:b/>
                <w:sz w:val="21"/>
              </w:rPr>
            </w:pPr>
            <w:r>
              <w:rPr>
                <w:rFonts w:ascii="Times New Roman" w:hAnsi="Times New Roman" w:cs="Times New Roman"/>
                <w:b/>
                <w:sz w:val="21"/>
              </w:rPr>
              <w:t>排气筒</w:t>
            </w:r>
          </w:p>
        </w:tc>
      </w:tr>
      <w:tr w14:paraId="373FA6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863" w:type="pct"/>
            <w:vMerge w:val="continue"/>
            <w:tcBorders>
              <w:tl2br w:val="nil"/>
              <w:tr2bl w:val="nil"/>
            </w:tcBorders>
            <w:vAlign w:val="center"/>
          </w:tcPr>
          <w:p w14:paraId="7EF7EDDD">
            <w:pPr>
              <w:jc w:val="center"/>
              <w:rPr>
                <w:sz w:val="2"/>
                <w:szCs w:val="2"/>
              </w:rPr>
            </w:pPr>
          </w:p>
        </w:tc>
        <w:tc>
          <w:tcPr>
            <w:tcW w:w="591" w:type="pct"/>
            <w:vMerge w:val="continue"/>
            <w:tcBorders>
              <w:tl2br w:val="nil"/>
              <w:tr2bl w:val="nil"/>
            </w:tcBorders>
            <w:vAlign w:val="center"/>
          </w:tcPr>
          <w:p w14:paraId="4E727112">
            <w:pPr>
              <w:jc w:val="center"/>
              <w:rPr>
                <w:sz w:val="2"/>
                <w:szCs w:val="2"/>
              </w:rPr>
            </w:pPr>
          </w:p>
        </w:tc>
        <w:tc>
          <w:tcPr>
            <w:tcW w:w="575" w:type="pct"/>
            <w:tcBorders>
              <w:tl2br w:val="nil"/>
              <w:tr2bl w:val="nil"/>
            </w:tcBorders>
            <w:vAlign w:val="center"/>
          </w:tcPr>
          <w:p w14:paraId="6C936CB4">
            <w:pPr>
              <w:pStyle w:val="140"/>
              <w:spacing w:before="0" w:line="240" w:lineRule="auto"/>
              <w:ind w:left="0" w:right="0"/>
              <w:rPr>
                <w:rFonts w:hint="default" w:ascii="Times New Roman" w:hAnsi="Times New Roman" w:eastAsia="宋体" w:cs="Times New Roman"/>
                <w:b/>
                <w:sz w:val="21"/>
                <w:lang w:eastAsia="zh-CN"/>
              </w:rPr>
            </w:pPr>
            <w:r>
              <w:rPr>
                <w:rFonts w:ascii="Times New Roman" w:hAnsi="Times New Roman" w:cs="Times New Roman"/>
                <w:b/>
                <w:sz w:val="21"/>
              </w:rPr>
              <w:t>浓度</w:t>
            </w:r>
            <w:r>
              <w:rPr>
                <w:rFonts w:hint="eastAsia" w:ascii="Times New Roman" w:hAnsi="Times New Roman" w:cs="Times New Roman"/>
                <w:b/>
                <w:sz w:val="21"/>
                <w:lang w:eastAsia="zh-CN"/>
              </w:rPr>
              <w:t>（</w:t>
            </w:r>
            <w:r>
              <w:rPr>
                <w:rFonts w:ascii="Times New Roman" w:hAnsi="Times New Roman" w:cs="Times New Roman"/>
                <w:b/>
                <w:w w:val="95"/>
                <w:sz w:val="21"/>
              </w:rPr>
              <w:t>mg/m</w:t>
            </w:r>
            <w:r>
              <w:rPr>
                <w:rFonts w:ascii="Times New Roman" w:hAnsi="Times New Roman" w:cs="Times New Roman"/>
                <w:b/>
                <w:sz w:val="21"/>
                <w:szCs w:val="44"/>
                <w:vertAlign w:val="superscript"/>
              </w:rPr>
              <w:t>3</w:t>
            </w:r>
            <w:r>
              <w:rPr>
                <w:rFonts w:ascii="Times New Roman" w:hAnsi="Times New Roman" w:cs="Times New Roman"/>
                <w:b/>
                <w:sz w:val="21"/>
              </w:rPr>
              <w:t>)</w:t>
            </w:r>
          </w:p>
        </w:tc>
        <w:tc>
          <w:tcPr>
            <w:tcW w:w="575" w:type="pct"/>
            <w:tcBorders>
              <w:tl2br w:val="nil"/>
              <w:tr2bl w:val="nil"/>
            </w:tcBorders>
            <w:vAlign w:val="center"/>
          </w:tcPr>
          <w:p w14:paraId="6C41765B">
            <w:pPr>
              <w:pStyle w:val="140"/>
              <w:spacing w:before="0"/>
              <w:ind w:left="0"/>
              <w:jc w:val="center"/>
              <w:rPr>
                <w:rFonts w:ascii="Times New Roman" w:hAnsi="Times New Roman" w:cs="Times New Roman"/>
                <w:b/>
                <w:sz w:val="21"/>
              </w:rPr>
            </w:pPr>
            <w:r>
              <w:rPr>
                <w:rFonts w:ascii="Times New Roman" w:hAnsi="Times New Roman" w:cs="Times New Roman"/>
                <w:b/>
                <w:sz w:val="21"/>
              </w:rPr>
              <w:t>速率</w:t>
            </w:r>
          </w:p>
          <w:p w14:paraId="0EC43534">
            <w:pPr>
              <w:pStyle w:val="140"/>
              <w:spacing w:before="0"/>
              <w:ind w:left="0"/>
              <w:jc w:val="center"/>
              <w:rPr>
                <w:rFonts w:ascii="Times New Roman" w:hAnsi="Times New Roman" w:cs="Times New Roman"/>
                <w:b/>
                <w:sz w:val="21"/>
              </w:rPr>
            </w:pPr>
            <w:r>
              <w:rPr>
                <w:rFonts w:ascii="Times New Roman" w:hAnsi="Times New Roman" w:cs="Times New Roman"/>
                <w:b/>
                <w:sz w:val="21"/>
              </w:rPr>
              <w:t>(kg/h)</w:t>
            </w:r>
          </w:p>
        </w:tc>
        <w:tc>
          <w:tcPr>
            <w:tcW w:w="643" w:type="pct"/>
            <w:tcBorders>
              <w:tl2br w:val="nil"/>
              <w:tr2bl w:val="nil"/>
            </w:tcBorders>
            <w:vAlign w:val="center"/>
          </w:tcPr>
          <w:p w14:paraId="048D151A">
            <w:pPr>
              <w:pStyle w:val="140"/>
              <w:spacing w:before="0"/>
              <w:ind w:left="0" w:right="0"/>
              <w:rPr>
                <w:rFonts w:ascii="Times New Roman" w:hAnsi="Times New Roman" w:cs="Times New Roman"/>
                <w:b/>
                <w:sz w:val="21"/>
              </w:rPr>
            </w:pPr>
            <w:r>
              <w:rPr>
                <w:rFonts w:ascii="Times New Roman" w:hAnsi="Times New Roman" w:cs="Times New Roman"/>
                <w:b/>
                <w:sz w:val="21"/>
              </w:rPr>
              <w:t>产生量</w:t>
            </w:r>
          </w:p>
          <w:p w14:paraId="5C0F88D3">
            <w:pPr>
              <w:pStyle w:val="140"/>
              <w:spacing w:before="0"/>
              <w:ind w:left="0" w:right="0"/>
              <w:rPr>
                <w:rFonts w:ascii="Times New Roman" w:hAnsi="Times New Roman" w:cs="Times New Roman"/>
                <w:b/>
                <w:sz w:val="21"/>
              </w:rPr>
            </w:pPr>
            <w:r>
              <w:rPr>
                <w:rFonts w:ascii="Times New Roman" w:hAnsi="Times New Roman" w:cs="Times New Roman"/>
                <w:b/>
                <w:sz w:val="21"/>
              </w:rPr>
              <w:t>(t/a)</w:t>
            </w:r>
          </w:p>
        </w:tc>
        <w:tc>
          <w:tcPr>
            <w:tcW w:w="502" w:type="pct"/>
            <w:vMerge w:val="continue"/>
            <w:tcBorders>
              <w:tl2br w:val="nil"/>
              <w:tr2bl w:val="nil"/>
            </w:tcBorders>
            <w:vAlign w:val="center"/>
          </w:tcPr>
          <w:p w14:paraId="17DF54A9">
            <w:pPr>
              <w:jc w:val="center"/>
              <w:rPr>
                <w:sz w:val="2"/>
                <w:szCs w:val="2"/>
              </w:rPr>
            </w:pPr>
          </w:p>
        </w:tc>
        <w:tc>
          <w:tcPr>
            <w:tcW w:w="710" w:type="pct"/>
            <w:vMerge w:val="continue"/>
            <w:tcBorders>
              <w:tl2br w:val="nil"/>
              <w:tr2bl w:val="nil"/>
            </w:tcBorders>
            <w:vAlign w:val="center"/>
          </w:tcPr>
          <w:p w14:paraId="670C70D6">
            <w:pPr>
              <w:jc w:val="center"/>
              <w:rPr>
                <w:sz w:val="2"/>
                <w:szCs w:val="2"/>
              </w:rPr>
            </w:pPr>
          </w:p>
        </w:tc>
        <w:tc>
          <w:tcPr>
            <w:tcW w:w="539" w:type="pct"/>
            <w:vMerge w:val="continue"/>
            <w:tcBorders>
              <w:tl2br w:val="nil"/>
              <w:tr2bl w:val="nil"/>
            </w:tcBorders>
            <w:vAlign w:val="center"/>
          </w:tcPr>
          <w:p w14:paraId="0EB22742">
            <w:pPr>
              <w:jc w:val="center"/>
              <w:rPr>
                <w:sz w:val="2"/>
                <w:szCs w:val="2"/>
              </w:rPr>
            </w:pPr>
          </w:p>
        </w:tc>
      </w:tr>
      <w:tr w14:paraId="3A3929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63" w:type="pct"/>
            <w:tcBorders>
              <w:tl2br w:val="nil"/>
              <w:tr2bl w:val="nil"/>
            </w:tcBorders>
            <w:vAlign w:val="center"/>
          </w:tcPr>
          <w:p w14:paraId="40DF1095">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木工车间</w:t>
            </w:r>
          </w:p>
        </w:tc>
        <w:tc>
          <w:tcPr>
            <w:tcW w:w="591" w:type="pct"/>
            <w:tcBorders>
              <w:tl2br w:val="nil"/>
              <w:tr2bl w:val="nil"/>
            </w:tcBorders>
            <w:vAlign w:val="center"/>
          </w:tcPr>
          <w:p w14:paraId="652265E1">
            <w:pPr>
              <w:spacing w:before="0" w:line="240" w:lineRule="auto"/>
              <w:ind w:left="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vAlign w:val="center"/>
          </w:tcPr>
          <w:p w14:paraId="36C7C1D3">
            <w:pPr>
              <w:pStyle w:val="140"/>
              <w:spacing w:before="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4.43</w:t>
            </w:r>
          </w:p>
        </w:tc>
        <w:tc>
          <w:tcPr>
            <w:tcW w:w="575" w:type="pct"/>
            <w:tcBorders>
              <w:tl2br w:val="nil"/>
              <w:tr2bl w:val="nil"/>
            </w:tcBorders>
            <w:vAlign w:val="center"/>
          </w:tcPr>
          <w:p w14:paraId="294AA67B">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0.099</w:t>
            </w:r>
          </w:p>
        </w:tc>
        <w:tc>
          <w:tcPr>
            <w:tcW w:w="643" w:type="pct"/>
            <w:tcBorders>
              <w:tl2br w:val="nil"/>
              <w:tr2bl w:val="nil"/>
            </w:tcBorders>
            <w:vAlign w:val="center"/>
          </w:tcPr>
          <w:p w14:paraId="1210FB83">
            <w:pPr>
              <w:pStyle w:val="140"/>
              <w:spacing w:before="0"/>
              <w:ind w:left="0" w:right="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0.2376</w:t>
            </w:r>
          </w:p>
        </w:tc>
        <w:tc>
          <w:tcPr>
            <w:tcW w:w="502" w:type="pct"/>
            <w:tcBorders>
              <w:tl2br w:val="nil"/>
              <w:tr2bl w:val="nil"/>
            </w:tcBorders>
            <w:vAlign w:val="center"/>
          </w:tcPr>
          <w:p w14:paraId="5061E19B">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22070</w:t>
            </w:r>
          </w:p>
        </w:tc>
        <w:tc>
          <w:tcPr>
            <w:tcW w:w="710" w:type="pct"/>
            <w:tcBorders>
              <w:tl2br w:val="nil"/>
              <w:tr2bl w:val="nil"/>
            </w:tcBorders>
            <w:vAlign w:val="center"/>
          </w:tcPr>
          <w:p w14:paraId="173608B1">
            <w:pPr>
              <w:pStyle w:val="140"/>
              <w:spacing w:before="0" w:line="240" w:lineRule="auto"/>
              <w:ind w:left="0" w:leftChars="0"/>
              <w:jc w:val="center"/>
              <w:rPr>
                <w:rFonts w:hint="eastAsia" w:ascii="Times New Roman" w:hAnsi="Times New Roman" w:eastAsia="宋体" w:cs="Times New Roman"/>
                <w:sz w:val="21"/>
                <w:lang w:val="en-US" w:eastAsia="zh-CN"/>
              </w:rPr>
            </w:pPr>
            <w:r>
              <w:rPr>
                <w:rFonts w:hint="default" w:ascii="Times New Roman" w:hAnsi="Times New Roman" w:eastAsia="宋体" w:cs="Times New Roman"/>
                <w:sz w:val="21"/>
                <w:lang w:val="en-US" w:eastAsia="zh-CN"/>
              </w:rPr>
              <w:t>中央集尘系统</w:t>
            </w:r>
          </w:p>
        </w:tc>
        <w:tc>
          <w:tcPr>
            <w:tcW w:w="539" w:type="pct"/>
            <w:tcBorders>
              <w:tl2br w:val="nil"/>
              <w:tr2bl w:val="nil"/>
            </w:tcBorders>
            <w:vAlign w:val="center"/>
          </w:tcPr>
          <w:p w14:paraId="24F8F211">
            <w:pPr>
              <w:pStyle w:val="140"/>
              <w:spacing w:before="0" w:line="240" w:lineRule="auto"/>
              <w:ind w:left="0"/>
              <w:jc w:val="center"/>
              <w:rPr>
                <w:rFonts w:ascii="Times New Roman" w:hAnsi="Times New Roman" w:cs="Times New Roman"/>
                <w:sz w:val="21"/>
              </w:rPr>
            </w:pPr>
            <w:r>
              <w:rPr>
                <w:rFonts w:hint="eastAsia" w:ascii="Times New Roman" w:hAnsi="Times New Roman" w:cs="Times New Roman"/>
                <w:sz w:val="21"/>
                <w:lang w:val="en-US" w:eastAsia="zh-CN"/>
              </w:rPr>
              <w:t>1#20m排气筒排放</w:t>
            </w:r>
          </w:p>
        </w:tc>
      </w:tr>
      <w:tr w14:paraId="1DF103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63" w:type="pct"/>
            <w:tcBorders>
              <w:tl2br w:val="nil"/>
              <w:tr2bl w:val="nil"/>
            </w:tcBorders>
            <w:vAlign w:val="center"/>
          </w:tcPr>
          <w:p w14:paraId="6B178FC7">
            <w:pPr>
              <w:pStyle w:val="140"/>
              <w:spacing w:before="0"/>
              <w:ind w:left="0" w:right="0"/>
              <w:rPr>
                <w:rFonts w:hint="eastAsia" w:ascii="Times New Roman" w:hAnsi="Times New Roman" w:cs="Times New Roman"/>
                <w:sz w:val="21"/>
                <w:lang w:val="en-US" w:eastAsia="zh-CN"/>
              </w:rPr>
            </w:pPr>
            <w:r>
              <w:rPr>
                <w:rFonts w:hint="eastAsia" w:ascii="Times New Roman" w:hAnsi="Times New Roman" w:eastAsia="宋体" w:cs="Times New Roman"/>
                <w:sz w:val="21"/>
                <w:lang w:val="en-US" w:eastAsia="zh-CN"/>
              </w:rPr>
              <w:t>打磨车间</w:t>
            </w:r>
          </w:p>
        </w:tc>
        <w:tc>
          <w:tcPr>
            <w:tcW w:w="591" w:type="pct"/>
            <w:tcBorders>
              <w:tl2br w:val="nil"/>
              <w:tr2bl w:val="nil"/>
            </w:tcBorders>
            <w:vAlign w:val="center"/>
          </w:tcPr>
          <w:p w14:paraId="1FB3811F">
            <w:pPr>
              <w:spacing w:before="0" w:line="240" w:lineRule="auto"/>
              <w:ind w:left="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颗粒物</w:t>
            </w:r>
          </w:p>
        </w:tc>
        <w:tc>
          <w:tcPr>
            <w:tcW w:w="575" w:type="pct"/>
            <w:tcBorders>
              <w:tl2br w:val="nil"/>
              <w:tr2bl w:val="nil"/>
            </w:tcBorders>
            <w:vAlign w:val="center"/>
          </w:tcPr>
          <w:p w14:paraId="28874346">
            <w:pPr>
              <w:pStyle w:val="140"/>
              <w:spacing w:before="0"/>
              <w:ind w:left="0" w:righ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3.37</w:t>
            </w:r>
          </w:p>
        </w:tc>
        <w:tc>
          <w:tcPr>
            <w:tcW w:w="575" w:type="pct"/>
            <w:tcBorders>
              <w:tl2br w:val="nil"/>
              <w:tr2bl w:val="nil"/>
            </w:tcBorders>
            <w:vAlign w:val="center"/>
          </w:tcPr>
          <w:p w14:paraId="640B66C9">
            <w:pPr>
              <w:pStyle w:val="140"/>
              <w:spacing w:before="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0.018</w:t>
            </w:r>
          </w:p>
        </w:tc>
        <w:tc>
          <w:tcPr>
            <w:tcW w:w="643" w:type="pct"/>
            <w:tcBorders>
              <w:tl2br w:val="nil"/>
              <w:tr2bl w:val="nil"/>
            </w:tcBorders>
            <w:vAlign w:val="center"/>
          </w:tcPr>
          <w:p w14:paraId="2AC53EB3">
            <w:pPr>
              <w:pStyle w:val="140"/>
              <w:spacing w:before="0"/>
              <w:ind w:left="0" w:right="0"/>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0.0432</w:t>
            </w:r>
          </w:p>
        </w:tc>
        <w:tc>
          <w:tcPr>
            <w:tcW w:w="502" w:type="pct"/>
            <w:tcBorders>
              <w:tl2br w:val="nil"/>
              <w:tr2bl w:val="nil"/>
            </w:tcBorders>
            <w:vAlign w:val="center"/>
          </w:tcPr>
          <w:p w14:paraId="6619398C">
            <w:pPr>
              <w:pStyle w:val="140"/>
              <w:spacing w:before="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5390</w:t>
            </w:r>
          </w:p>
        </w:tc>
        <w:tc>
          <w:tcPr>
            <w:tcW w:w="710" w:type="pct"/>
            <w:tcBorders>
              <w:tl2br w:val="nil"/>
              <w:tr2bl w:val="nil"/>
            </w:tcBorders>
            <w:vAlign w:val="center"/>
          </w:tcPr>
          <w:p w14:paraId="709B7D53">
            <w:pPr>
              <w:pStyle w:val="140"/>
              <w:spacing w:before="0" w:line="240" w:lineRule="auto"/>
              <w:ind w:left="0" w:left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干式除尘柜</w:t>
            </w:r>
          </w:p>
        </w:tc>
        <w:tc>
          <w:tcPr>
            <w:tcW w:w="539" w:type="pct"/>
            <w:tcBorders>
              <w:tl2br w:val="nil"/>
              <w:tr2bl w:val="nil"/>
            </w:tcBorders>
            <w:vAlign w:val="center"/>
          </w:tcPr>
          <w:p w14:paraId="132F2957">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2#20m排气筒排放</w:t>
            </w:r>
          </w:p>
        </w:tc>
      </w:tr>
      <w:tr w14:paraId="76D722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63" w:type="pct"/>
            <w:vMerge w:val="restart"/>
            <w:tcBorders>
              <w:tl2br w:val="nil"/>
              <w:tr2bl w:val="nil"/>
            </w:tcBorders>
            <w:vAlign w:val="center"/>
          </w:tcPr>
          <w:p w14:paraId="1FBEADDD">
            <w:pPr>
              <w:pStyle w:val="140"/>
              <w:spacing w:before="0"/>
              <w:ind w:left="0" w:right="0"/>
              <w:rPr>
                <w:rFonts w:hint="default" w:eastAsia="宋体"/>
                <w:lang w:val="en-US" w:eastAsia="zh-CN"/>
              </w:rPr>
            </w:pPr>
            <w:r>
              <w:rPr>
                <w:rFonts w:hint="eastAsia" w:ascii="Times New Roman" w:hAnsi="Times New Roman" w:eastAsia="宋体" w:cs="Times New Roman"/>
                <w:sz w:val="21"/>
                <w:lang w:val="en-US" w:eastAsia="zh-CN"/>
              </w:rPr>
              <w:t>喷漆车间</w:t>
            </w:r>
          </w:p>
        </w:tc>
        <w:tc>
          <w:tcPr>
            <w:tcW w:w="591" w:type="pct"/>
            <w:tcBorders>
              <w:tl2br w:val="nil"/>
              <w:tr2bl w:val="nil"/>
            </w:tcBorders>
            <w:vAlign w:val="center"/>
          </w:tcPr>
          <w:p w14:paraId="170BA8A3">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575" w:type="pct"/>
            <w:tcBorders>
              <w:tl2br w:val="nil"/>
              <w:tr2bl w:val="nil"/>
            </w:tcBorders>
            <w:vAlign w:val="center"/>
          </w:tcPr>
          <w:p w14:paraId="2F02A003">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0.986</w:t>
            </w:r>
          </w:p>
        </w:tc>
        <w:tc>
          <w:tcPr>
            <w:tcW w:w="575" w:type="pct"/>
            <w:tcBorders>
              <w:tl2br w:val="nil"/>
              <w:tr2bl w:val="nil"/>
            </w:tcBorders>
            <w:vAlign w:val="center"/>
          </w:tcPr>
          <w:p w14:paraId="7E75452D">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0.00717</w:t>
            </w:r>
          </w:p>
        </w:tc>
        <w:tc>
          <w:tcPr>
            <w:tcW w:w="643" w:type="pct"/>
            <w:tcBorders>
              <w:tl2br w:val="nil"/>
              <w:tr2bl w:val="nil"/>
            </w:tcBorders>
            <w:vAlign w:val="center"/>
          </w:tcPr>
          <w:p w14:paraId="11C58DC4">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0.017208</w:t>
            </w:r>
          </w:p>
        </w:tc>
        <w:tc>
          <w:tcPr>
            <w:tcW w:w="502" w:type="pct"/>
            <w:vMerge w:val="restart"/>
            <w:tcBorders>
              <w:tl2br w:val="nil"/>
              <w:tr2bl w:val="nil"/>
            </w:tcBorders>
            <w:vAlign w:val="center"/>
          </w:tcPr>
          <w:p w14:paraId="641F9F1D">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7275</w:t>
            </w:r>
          </w:p>
        </w:tc>
        <w:tc>
          <w:tcPr>
            <w:tcW w:w="710" w:type="pct"/>
            <w:vMerge w:val="restart"/>
            <w:tcBorders>
              <w:tl2br w:val="nil"/>
              <w:tr2bl w:val="nil"/>
            </w:tcBorders>
            <w:vAlign w:val="center"/>
          </w:tcPr>
          <w:p w14:paraId="69D819BE">
            <w:pPr>
              <w:pStyle w:val="140"/>
              <w:spacing w:before="0" w:line="240" w:lineRule="auto"/>
              <w:ind w:left="0" w:leftChars="0"/>
              <w:jc w:val="center"/>
              <w:rPr>
                <w:rFonts w:hint="eastAsia" w:ascii="Times New Roman" w:hAnsi="Times New Roman" w:eastAsia="宋体" w:cs="Times New Roman"/>
                <w:sz w:val="21"/>
                <w:lang w:val="en-US" w:eastAsia="zh-CN"/>
              </w:rPr>
            </w:pPr>
            <w:r>
              <w:rPr>
                <w:rFonts w:hint="eastAsia" w:ascii="Times New Roman" w:hAnsi="Times New Roman" w:eastAsia="宋体" w:cs="Times New Roman"/>
                <w:sz w:val="21"/>
                <w:lang w:val="en-US" w:eastAsia="zh-CN"/>
              </w:rPr>
              <w:t>二级活性炭吸附</w:t>
            </w:r>
          </w:p>
        </w:tc>
        <w:tc>
          <w:tcPr>
            <w:tcW w:w="539" w:type="pct"/>
            <w:vMerge w:val="restart"/>
            <w:tcBorders>
              <w:tl2br w:val="nil"/>
              <w:tr2bl w:val="nil"/>
            </w:tcBorders>
            <w:vAlign w:val="center"/>
          </w:tcPr>
          <w:p w14:paraId="4AD12C07">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3#20m排气筒排放</w:t>
            </w:r>
          </w:p>
        </w:tc>
      </w:tr>
      <w:tr w14:paraId="14C2BB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63" w:type="pct"/>
            <w:vMerge w:val="continue"/>
            <w:tcBorders>
              <w:tl2br w:val="nil"/>
              <w:tr2bl w:val="nil"/>
            </w:tcBorders>
            <w:vAlign w:val="center"/>
          </w:tcPr>
          <w:p w14:paraId="1B4CAA29">
            <w:pPr>
              <w:pStyle w:val="140"/>
              <w:spacing w:before="0"/>
              <w:ind w:left="0" w:right="0"/>
              <w:rPr>
                <w:rFonts w:hint="eastAsia" w:ascii="Times New Roman" w:hAnsi="Times New Roman" w:eastAsia="宋体" w:cs="Times New Roman"/>
                <w:sz w:val="21"/>
                <w:lang w:val="en-US" w:eastAsia="zh-CN"/>
              </w:rPr>
            </w:pPr>
          </w:p>
        </w:tc>
        <w:tc>
          <w:tcPr>
            <w:tcW w:w="591" w:type="pct"/>
            <w:tcBorders>
              <w:tl2br w:val="nil"/>
              <w:tr2bl w:val="nil"/>
            </w:tcBorders>
            <w:vAlign w:val="center"/>
          </w:tcPr>
          <w:p w14:paraId="30E405C7">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kern w:val="2"/>
                <w:sz w:val="21"/>
                <w:szCs w:val="24"/>
                <w:lang w:val="en-US" w:eastAsia="zh-CN" w:bidi="ar-SA"/>
              </w:rPr>
              <w:t>颗粒物</w:t>
            </w:r>
          </w:p>
        </w:tc>
        <w:tc>
          <w:tcPr>
            <w:tcW w:w="575" w:type="pct"/>
            <w:tcBorders>
              <w:tl2br w:val="nil"/>
              <w:tr2bl w:val="nil"/>
            </w:tcBorders>
            <w:vAlign w:val="center"/>
          </w:tcPr>
          <w:p w14:paraId="1581E4F5">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2.5</w:t>
            </w:r>
          </w:p>
        </w:tc>
        <w:tc>
          <w:tcPr>
            <w:tcW w:w="575" w:type="pct"/>
            <w:tcBorders>
              <w:tl2br w:val="nil"/>
              <w:tr2bl w:val="nil"/>
            </w:tcBorders>
            <w:vAlign w:val="center"/>
          </w:tcPr>
          <w:p w14:paraId="494E0E74">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0.018</w:t>
            </w:r>
          </w:p>
        </w:tc>
        <w:tc>
          <w:tcPr>
            <w:tcW w:w="643" w:type="pct"/>
            <w:tcBorders>
              <w:tl2br w:val="nil"/>
              <w:tr2bl w:val="nil"/>
            </w:tcBorders>
            <w:vAlign w:val="center"/>
          </w:tcPr>
          <w:p w14:paraId="0904BBBE">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0.0432</w:t>
            </w:r>
          </w:p>
        </w:tc>
        <w:tc>
          <w:tcPr>
            <w:tcW w:w="502" w:type="pct"/>
            <w:vMerge w:val="continue"/>
            <w:tcBorders>
              <w:tl2br w:val="nil"/>
              <w:tr2bl w:val="nil"/>
            </w:tcBorders>
            <w:vAlign w:val="center"/>
          </w:tcPr>
          <w:p w14:paraId="3C7BA0F4">
            <w:pPr>
              <w:pStyle w:val="140"/>
              <w:spacing w:before="0" w:line="240" w:lineRule="auto"/>
              <w:ind w:left="0"/>
              <w:jc w:val="center"/>
              <w:rPr>
                <w:rFonts w:hint="eastAsia" w:ascii="Times New Roman" w:hAnsi="Times New Roman" w:cs="Times New Roman"/>
                <w:sz w:val="21"/>
                <w:lang w:val="en-US" w:eastAsia="zh-CN"/>
              </w:rPr>
            </w:pPr>
          </w:p>
        </w:tc>
        <w:tc>
          <w:tcPr>
            <w:tcW w:w="710" w:type="pct"/>
            <w:vMerge w:val="continue"/>
            <w:tcBorders>
              <w:tl2br w:val="nil"/>
              <w:tr2bl w:val="nil"/>
            </w:tcBorders>
            <w:vAlign w:val="center"/>
          </w:tcPr>
          <w:p w14:paraId="428147E8">
            <w:pPr>
              <w:pStyle w:val="140"/>
              <w:spacing w:before="0" w:line="240" w:lineRule="auto"/>
              <w:ind w:left="0" w:leftChars="0"/>
              <w:jc w:val="center"/>
              <w:rPr>
                <w:rFonts w:hint="default" w:ascii="Times New Roman" w:hAnsi="Times New Roman" w:eastAsia="宋体" w:cs="Times New Roman"/>
                <w:sz w:val="21"/>
                <w:lang w:val="en-US" w:eastAsia="zh-CN"/>
              </w:rPr>
            </w:pPr>
          </w:p>
        </w:tc>
        <w:tc>
          <w:tcPr>
            <w:tcW w:w="539" w:type="pct"/>
            <w:vMerge w:val="continue"/>
            <w:tcBorders>
              <w:tl2br w:val="nil"/>
              <w:tr2bl w:val="nil"/>
            </w:tcBorders>
            <w:vAlign w:val="center"/>
          </w:tcPr>
          <w:p w14:paraId="2938643C">
            <w:pPr>
              <w:pStyle w:val="140"/>
              <w:spacing w:before="0" w:line="240" w:lineRule="auto"/>
              <w:ind w:left="0"/>
              <w:jc w:val="center"/>
              <w:rPr>
                <w:rFonts w:hint="eastAsia" w:ascii="Times New Roman" w:hAnsi="Times New Roman" w:cs="Times New Roman"/>
                <w:sz w:val="21"/>
                <w:lang w:val="en-US" w:eastAsia="zh-CN"/>
              </w:rPr>
            </w:pPr>
          </w:p>
        </w:tc>
      </w:tr>
    </w:tbl>
    <w:p w14:paraId="78B609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FF"/>
          <w:szCs w:val="28"/>
          <w:lang w:val="en-US" w:eastAsia="zh-CN"/>
        </w:rPr>
      </w:pPr>
      <w:r>
        <w:rPr>
          <w:rFonts w:hint="eastAsia" w:ascii="宋体" w:hAnsi="宋体" w:eastAsia="宋体" w:cs="宋体"/>
          <w:color w:val="000000" w:themeColor="text1"/>
          <w:szCs w:val="21"/>
          <w14:textFill>
            <w14:solidFill>
              <w14:schemeClr w14:val="tx1"/>
            </w14:solidFill>
          </w14:textFill>
        </w:rPr>
        <w:t>假设废气不经处理，直接排放</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员工发现超标事故至关闭</w:t>
      </w:r>
      <w:r>
        <w:rPr>
          <w:rFonts w:hint="eastAsia" w:ascii="宋体" w:hAnsi="宋体" w:eastAsia="宋体" w:cs="宋体"/>
          <w:color w:val="000000" w:themeColor="text1"/>
          <w:szCs w:val="28"/>
          <w:lang w:val="en-US" w:eastAsia="zh-CN"/>
          <w14:textFill>
            <w14:solidFill>
              <w14:schemeClr w14:val="tx1"/>
            </w14:solidFill>
          </w14:textFill>
        </w:rPr>
        <w:t>生产设备</w:t>
      </w:r>
      <w:r>
        <w:rPr>
          <w:rFonts w:hint="eastAsia" w:ascii="宋体" w:hAnsi="宋体" w:eastAsia="宋体" w:cs="宋体"/>
          <w:color w:val="000000" w:themeColor="text1"/>
          <w:szCs w:val="28"/>
          <w14:textFill>
            <w14:solidFill>
              <w14:schemeClr w14:val="tx1"/>
            </w14:solidFill>
          </w14:textFill>
        </w:rPr>
        <w:t>时间为</w:t>
      </w:r>
      <w:r>
        <w:rPr>
          <w:rFonts w:hint="default" w:ascii="Times New Roman" w:hAnsi="Times New Roman" w:eastAsia="宋体" w:cs="Times New Roman"/>
          <w:color w:val="000000" w:themeColor="text1"/>
          <w:szCs w:val="28"/>
          <w14:textFill>
            <w14:solidFill>
              <w14:schemeClr w14:val="tx1"/>
            </w14:solidFill>
          </w14:textFill>
        </w:rPr>
        <w:t>15分钟，即超标排放时间为15分钟，</w:t>
      </w:r>
      <w:r>
        <w:rPr>
          <w:rFonts w:hint="default" w:ascii="Times New Roman" w:hAnsi="Times New Roman" w:eastAsia="宋体" w:cs="Times New Roman"/>
          <w:color w:val="000000" w:themeColor="text1"/>
          <w:lang w:val="en-US" w:eastAsia="zh-CN"/>
          <w14:textFill>
            <w14:solidFill>
              <w14:schemeClr w14:val="tx1"/>
            </w14:solidFill>
          </w14:textFill>
        </w:rPr>
        <w:t>各类污染物</w:t>
      </w:r>
      <w:r>
        <w:rPr>
          <w:rFonts w:hint="default" w:ascii="Times New Roman" w:hAnsi="Times New Roman" w:eastAsia="宋体" w:cs="Times New Roman"/>
          <w:color w:val="000000" w:themeColor="text1"/>
          <w:szCs w:val="28"/>
          <w14:textFill>
            <w14:solidFill>
              <w14:schemeClr w14:val="tx1"/>
            </w14:solidFill>
          </w14:textFill>
        </w:rPr>
        <w:t>的泄漏源强</w:t>
      </w:r>
      <w:r>
        <w:rPr>
          <w:rFonts w:hint="default" w:ascii="Times New Roman" w:hAnsi="Times New Roman" w:eastAsia="宋体" w:cs="Times New Roman"/>
          <w:color w:val="000000" w:themeColor="text1"/>
          <w:szCs w:val="28"/>
          <w:lang w:val="en-US" w:eastAsia="zh-CN"/>
          <w14:textFill>
            <w14:solidFill>
              <w14:schemeClr w14:val="tx1"/>
            </w14:solidFill>
          </w14:textFill>
        </w:rPr>
        <w:t>见表</w:t>
      </w:r>
      <w:r>
        <w:rPr>
          <w:rFonts w:hint="eastAsia" w:ascii="Times New Roman" w:hAnsi="Times New Roman" w:eastAsia="宋体" w:cs="Times New Roman"/>
          <w:color w:val="000000" w:themeColor="text1"/>
          <w:szCs w:val="28"/>
          <w:lang w:val="en-US" w:eastAsia="zh-CN"/>
          <w14:textFill>
            <w14:solidFill>
              <w14:schemeClr w14:val="tx1"/>
            </w14:solidFill>
          </w14:textFill>
        </w:rPr>
        <w:t>4-</w:t>
      </w:r>
      <w:r>
        <w:rPr>
          <w:rFonts w:hint="eastAsia" w:eastAsia="宋体" w:cs="Times New Roman"/>
          <w:color w:val="000000" w:themeColor="text1"/>
          <w:szCs w:val="28"/>
          <w:lang w:val="en-US" w:eastAsia="zh-CN"/>
          <w14:textFill>
            <w14:solidFill>
              <w14:schemeClr w14:val="tx1"/>
            </w14:solidFill>
          </w14:textFill>
        </w:rPr>
        <w:t>5</w:t>
      </w:r>
      <w:r>
        <w:rPr>
          <w:rFonts w:hint="eastAsia" w:ascii="Times New Roman" w:hAnsi="Times New Roman" w:eastAsia="宋体" w:cs="Times New Roman"/>
          <w:color w:val="000000" w:themeColor="text1"/>
          <w:szCs w:val="28"/>
          <w:lang w:val="en-US" w:eastAsia="zh-CN"/>
          <w14:textFill>
            <w14:solidFill>
              <w14:schemeClr w14:val="tx1"/>
            </w14:solidFill>
          </w14:textFill>
        </w:rPr>
        <w:t>。</w:t>
      </w:r>
    </w:p>
    <w:p w14:paraId="2FCACB06">
      <w:pPr>
        <w:adjustRightInd w:val="0"/>
        <w:snapToGrid w:val="0"/>
        <w:spacing w:line="500" w:lineRule="exact"/>
        <w:jc w:val="center"/>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4</w:t>
      </w:r>
      <w:r>
        <w:rPr>
          <w:rFonts w:hint="eastAsia" w:eastAsia="宋体" w:cs="Times New Roman"/>
          <w:b/>
          <w:bCs/>
          <w:color w:val="000000" w:themeColor="text1"/>
          <w:lang w:val="en-US" w:eastAsia="zh-CN"/>
          <w14:textFill>
            <w14:solidFill>
              <w14:schemeClr w14:val="tx1"/>
            </w14:solidFill>
          </w14:textFill>
        </w:rPr>
        <w:t>—5</w:t>
      </w:r>
      <w:r>
        <w:rPr>
          <w:rFonts w:hint="default" w:ascii="Times New Roman" w:hAnsi="Times New Roman" w:eastAsia="宋体" w:cs="Times New Roman"/>
          <w:b/>
          <w:bCs/>
          <w:color w:val="000000" w:themeColor="text1"/>
          <w:szCs w:val="28"/>
          <w14:textFill>
            <w14:solidFill>
              <w14:schemeClr w14:val="tx1"/>
            </w14:solidFill>
          </w14:textFill>
        </w:rPr>
        <w:t>15分</w:t>
      </w:r>
      <w:r>
        <w:rPr>
          <w:rFonts w:hint="default" w:ascii="Times New Roman" w:hAnsi="Times New Roman" w:eastAsia="宋体" w:cs="Times New Roman"/>
          <w:b/>
          <w:bCs/>
          <w:color w:val="000000" w:themeColor="text1"/>
          <w:szCs w:val="28"/>
          <w:highlight w:val="none"/>
          <w14:textFill>
            <w14:solidFill>
              <w14:schemeClr w14:val="tx1"/>
            </w14:solidFill>
          </w14:textFill>
        </w:rPr>
        <w:t>钟</w:t>
      </w:r>
      <w:r>
        <w:rPr>
          <w:rFonts w:hint="eastAsia" w:eastAsia="宋体" w:cs="Times New Roman"/>
          <w:b/>
          <w:bCs/>
          <w:color w:val="000000" w:themeColor="text1"/>
          <w:szCs w:val="28"/>
          <w:highlight w:val="none"/>
          <w:lang w:val="en-US" w:eastAsia="zh-CN"/>
          <w14:textFill>
            <w14:solidFill>
              <w14:schemeClr w14:val="tx1"/>
            </w14:solidFill>
          </w14:textFill>
        </w:rPr>
        <w:t>内废气产生情况</w:t>
      </w:r>
      <w:r>
        <w:rPr>
          <w:rFonts w:hint="eastAsia" w:eastAsia="宋体" w:cs="Times New Roman"/>
          <w:b/>
          <w:bCs/>
          <w:color w:val="000000" w:themeColor="text1"/>
          <w:szCs w:val="28"/>
          <w:lang w:val="en-US" w:eastAsia="zh-CN"/>
          <w14:textFill>
            <w14:solidFill>
              <w14:schemeClr w14:val="tx1"/>
            </w14:solidFill>
          </w14:textFill>
        </w:rPr>
        <w:t>一览表</w:t>
      </w:r>
    </w:p>
    <w:tbl>
      <w:tblPr>
        <w:tblStyle w:val="37"/>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02"/>
        <w:gridCol w:w="1846"/>
        <w:gridCol w:w="1986"/>
        <w:gridCol w:w="1938"/>
        <w:gridCol w:w="1763"/>
      </w:tblGrid>
      <w:tr w14:paraId="68F12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21" w:type="pct"/>
            <w:vMerge w:val="restart"/>
            <w:shd w:val="clear" w:color="auto" w:fill="auto"/>
            <w:noWrap w:val="0"/>
            <w:vAlign w:val="center"/>
          </w:tcPr>
          <w:p w14:paraId="1F37AD8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999" w:type="pct"/>
            <w:vMerge w:val="restart"/>
            <w:shd w:val="clear" w:color="auto" w:fill="auto"/>
            <w:noWrap w:val="0"/>
            <w:vAlign w:val="center"/>
          </w:tcPr>
          <w:p w14:paraId="2535EC8C">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14:paraId="0A4F901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075" w:type="pct"/>
            <w:vMerge w:val="restart"/>
            <w:shd w:val="clear" w:color="auto" w:fill="auto"/>
            <w:noWrap w:val="0"/>
            <w:vAlign w:val="center"/>
          </w:tcPr>
          <w:p w14:paraId="398E0FA2">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14:paraId="47E77C9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2003" w:type="pct"/>
            <w:gridSpan w:val="2"/>
            <w:shd w:val="clear" w:color="auto" w:fill="auto"/>
            <w:noWrap w:val="0"/>
            <w:vAlign w:val="center"/>
          </w:tcPr>
          <w:p w14:paraId="20711583">
            <w:pPr>
              <w:adjustRightInd w:val="0"/>
              <w:snapToGrid w:val="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15分钟内</w:t>
            </w:r>
            <w:r>
              <w:rPr>
                <w:rFonts w:hint="default" w:ascii="Times New Roman" w:hAnsi="Times New Roman" w:eastAsia="宋体" w:cs="Times New Roman"/>
                <w:color w:val="000000"/>
                <w:kern w:val="0"/>
                <w:sz w:val="21"/>
                <w:szCs w:val="21"/>
              </w:rPr>
              <w:t>产生情况</w:t>
            </w:r>
          </w:p>
        </w:tc>
      </w:tr>
      <w:tr w14:paraId="639E6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auto"/>
            <w:noWrap w:val="0"/>
            <w:vAlign w:val="center"/>
          </w:tcPr>
          <w:p w14:paraId="7C8EA95A">
            <w:pPr>
              <w:adjustRightInd w:val="0"/>
              <w:snapToGrid w:val="0"/>
              <w:jc w:val="center"/>
              <w:rPr>
                <w:rFonts w:hint="default" w:ascii="Times New Roman" w:hAnsi="Times New Roman" w:eastAsia="宋体" w:cs="Times New Roman"/>
                <w:color w:val="000000"/>
                <w:kern w:val="0"/>
                <w:sz w:val="21"/>
                <w:szCs w:val="21"/>
              </w:rPr>
            </w:pPr>
          </w:p>
        </w:tc>
        <w:tc>
          <w:tcPr>
            <w:tcW w:w="999" w:type="pct"/>
            <w:vMerge w:val="continue"/>
            <w:shd w:val="clear" w:color="auto" w:fill="auto"/>
            <w:noWrap w:val="0"/>
            <w:vAlign w:val="center"/>
          </w:tcPr>
          <w:p w14:paraId="55A2786E">
            <w:pPr>
              <w:adjustRightInd w:val="0"/>
              <w:snapToGrid w:val="0"/>
              <w:jc w:val="center"/>
              <w:rPr>
                <w:rFonts w:hint="default" w:ascii="Times New Roman" w:hAnsi="Times New Roman" w:eastAsia="宋体" w:cs="Times New Roman"/>
                <w:color w:val="000000"/>
                <w:kern w:val="0"/>
                <w:sz w:val="21"/>
                <w:szCs w:val="21"/>
              </w:rPr>
            </w:pPr>
          </w:p>
        </w:tc>
        <w:tc>
          <w:tcPr>
            <w:tcW w:w="1075" w:type="pct"/>
            <w:vMerge w:val="continue"/>
            <w:shd w:val="clear" w:color="auto" w:fill="auto"/>
            <w:noWrap w:val="0"/>
            <w:vAlign w:val="center"/>
          </w:tcPr>
          <w:p w14:paraId="2FAD7A27">
            <w:pPr>
              <w:adjustRightInd w:val="0"/>
              <w:snapToGrid w:val="0"/>
              <w:jc w:val="center"/>
              <w:rPr>
                <w:rFonts w:hint="default" w:ascii="Times New Roman" w:hAnsi="Times New Roman" w:eastAsia="宋体" w:cs="Times New Roman"/>
                <w:color w:val="000000"/>
                <w:kern w:val="0"/>
                <w:sz w:val="21"/>
                <w:szCs w:val="21"/>
              </w:rPr>
            </w:pPr>
          </w:p>
        </w:tc>
        <w:tc>
          <w:tcPr>
            <w:tcW w:w="1049" w:type="pct"/>
            <w:shd w:val="clear" w:color="auto" w:fill="auto"/>
            <w:noWrap w:val="0"/>
            <w:vAlign w:val="center"/>
          </w:tcPr>
          <w:p w14:paraId="24C92A3D">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954" w:type="pct"/>
            <w:shd w:val="clear" w:color="auto" w:fill="auto"/>
            <w:noWrap w:val="0"/>
            <w:vAlign w:val="center"/>
          </w:tcPr>
          <w:p w14:paraId="3D784174">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14:paraId="60A7C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auto"/>
            <w:noWrap w:val="0"/>
            <w:vAlign w:val="center"/>
          </w:tcPr>
          <w:p w14:paraId="73823023">
            <w:pPr>
              <w:adjustRightInd w:val="0"/>
              <w:snapToGrid w:val="0"/>
              <w:jc w:val="center"/>
              <w:rPr>
                <w:rFonts w:hint="default" w:ascii="Times New Roman" w:hAnsi="Times New Roman" w:eastAsia="宋体" w:cs="Times New Roman"/>
                <w:color w:val="000000"/>
                <w:kern w:val="0"/>
                <w:sz w:val="21"/>
                <w:szCs w:val="21"/>
              </w:rPr>
            </w:pPr>
          </w:p>
        </w:tc>
        <w:tc>
          <w:tcPr>
            <w:tcW w:w="999" w:type="pct"/>
            <w:vMerge w:val="continue"/>
            <w:shd w:val="clear" w:color="auto" w:fill="auto"/>
            <w:noWrap w:val="0"/>
            <w:vAlign w:val="center"/>
          </w:tcPr>
          <w:p w14:paraId="2E5BDE4C">
            <w:pPr>
              <w:adjustRightInd w:val="0"/>
              <w:snapToGrid w:val="0"/>
              <w:jc w:val="center"/>
              <w:rPr>
                <w:rFonts w:hint="default" w:ascii="Times New Roman" w:hAnsi="Times New Roman" w:eastAsia="宋体" w:cs="Times New Roman"/>
                <w:color w:val="000000"/>
                <w:kern w:val="0"/>
                <w:sz w:val="21"/>
                <w:szCs w:val="21"/>
              </w:rPr>
            </w:pPr>
          </w:p>
        </w:tc>
        <w:tc>
          <w:tcPr>
            <w:tcW w:w="1075" w:type="pct"/>
            <w:vMerge w:val="continue"/>
            <w:shd w:val="clear" w:color="auto" w:fill="auto"/>
            <w:noWrap w:val="0"/>
            <w:vAlign w:val="center"/>
          </w:tcPr>
          <w:p w14:paraId="36DAA81F">
            <w:pPr>
              <w:adjustRightInd w:val="0"/>
              <w:snapToGrid w:val="0"/>
              <w:jc w:val="center"/>
              <w:rPr>
                <w:rFonts w:hint="default" w:ascii="Times New Roman" w:hAnsi="Times New Roman" w:eastAsia="宋体" w:cs="Times New Roman"/>
                <w:color w:val="000000"/>
                <w:kern w:val="0"/>
                <w:sz w:val="21"/>
                <w:szCs w:val="21"/>
              </w:rPr>
            </w:pPr>
          </w:p>
        </w:tc>
        <w:tc>
          <w:tcPr>
            <w:tcW w:w="1049" w:type="pct"/>
            <w:shd w:val="clear" w:color="auto" w:fill="auto"/>
            <w:noWrap w:val="0"/>
            <w:vAlign w:val="center"/>
          </w:tcPr>
          <w:p w14:paraId="5CA9CC52">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954" w:type="pct"/>
            <w:shd w:val="clear" w:color="auto" w:fill="auto"/>
            <w:noWrap w:val="0"/>
            <w:vAlign w:val="center"/>
          </w:tcPr>
          <w:p w14:paraId="7626E7D1">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kg</w:t>
            </w:r>
          </w:p>
        </w:tc>
      </w:tr>
      <w:tr w14:paraId="4F4BC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shd w:val="clear" w:color="auto" w:fill="FFFFFF"/>
            <w:noWrap w:val="0"/>
            <w:vAlign w:val="center"/>
          </w:tcPr>
          <w:p w14:paraId="25A357C1">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999" w:type="pct"/>
            <w:shd w:val="clear" w:color="auto" w:fill="auto"/>
            <w:noWrap w:val="0"/>
            <w:vAlign w:val="center"/>
          </w:tcPr>
          <w:p w14:paraId="0EF63182">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22070</w:t>
            </w:r>
          </w:p>
        </w:tc>
        <w:tc>
          <w:tcPr>
            <w:tcW w:w="1075" w:type="pct"/>
            <w:shd w:val="clear" w:color="auto" w:fill="FFFFFF"/>
            <w:noWrap w:val="0"/>
            <w:vAlign w:val="center"/>
          </w:tcPr>
          <w:p w14:paraId="576CC4E4">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049" w:type="pct"/>
            <w:shd w:val="clear" w:color="auto" w:fill="auto"/>
            <w:noWrap w:val="0"/>
            <w:vAlign w:val="center"/>
          </w:tcPr>
          <w:p w14:paraId="495CF6F5">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0.099</w:t>
            </w:r>
          </w:p>
        </w:tc>
        <w:tc>
          <w:tcPr>
            <w:tcW w:w="954" w:type="pct"/>
            <w:shd w:val="clear" w:color="auto" w:fill="auto"/>
            <w:noWrap w:val="0"/>
            <w:vAlign w:val="center"/>
          </w:tcPr>
          <w:p w14:paraId="7D56655B">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0.02475</w:t>
            </w:r>
          </w:p>
        </w:tc>
      </w:tr>
      <w:tr w14:paraId="266CD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21" w:type="pct"/>
            <w:shd w:val="clear" w:color="auto" w:fill="FFFFFF"/>
            <w:noWrap w:val="0"/>
            <w:vAlign w:val="center"/>
          </w:tcPr>
          <w:p w14:paraId="48CBEE08">
            <w:pPr>
              <w:pStyle w:val="140"/>
              <w:spacing w:before="0" w:line="240" w:lineRule="auto"/>
              <w:ind w:left="0" w:leftChars="0" w:right="0" w:rightChars="0" w:firstLine="0" w:firstLine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#排气筒</w:t>
            </w:r>
          </w:p>
        </w:tc>
        <w:tc>
          <w:tcPr>
            <w:tcW w:w="999" w:type="pct"/>
            <w:shd w:val="clear" w:color="auto" w:fill="auto"/>
            <w:noWrap w:val="0"/>
            <w:vAlign w:val="center"/>
          </w:tcPr>
          <w:p w14:paraId="6ABB9A7D">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5390</w:t>
            </w:r>
          </w:p>
        </w:tc>
        <w:tc>
          <w:tcPr>
            <w:tcW w:w="1075" w:type="pct"/>
            <w:shd w:val="clear" w:color="auto" w:fill="FFFFFF"/>
            <w:noWrap w:val="0"/>
            <w:vAlign w:val="center"/>
          </w:tcPr>
          <w:p w14:paraId="1AF39AD9">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049" w:type="pct"/>
            <w:shd w:val="clear" w:color="auto" w:fill="auto"/>
            <w:noWrap w:val="0"/>
            <w:vAlign w:val="center"/>
          </w:tcPr>
          <w:p w14:paraId="34AF8E26">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0.018</w:t>
            </w:r>
          </w:p>
        </w:tc>
        <w:tc>
          <w:tcPr>
            <w:tcW w:w="954" w:type="pct"/>
            <w:shd w:val="clear" w:color="auto" w:fill="auto"/>
            <w:noWrap w:val="0"/>
            <w:vAlign w:val="center"/>
          </w:tcPr>
          <w:p w14:paraId="390A3434">
            <w:pPr>
              <w:pStyle w:val="140"/>
              <w:spacing w:before="0" w:line="240" w:lineRule="auto"/>
              <w:ind w:left="0" w:leftChars="0" w:right="0" w:rightChars="0"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0.0045</w:t>
            </w:r>
          </w:p>
        </w:tc>
      </w:tr>
      <w:tr w14:paraId="60F636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restart"/>
            <w:shd w:val="clear" w:color="auto" w:fill="FFFFFF"/>
            <w:noWrap w:val="0"/>
            <w:vAlign w:val="center"/>
          </w:tcPr>
          <w:p w14:paraId="5A27645A">
            <w:pPr>
              <w:pStyle w:val="140"/>
              <w:ind w:left="0" w:leftChars="0" w:right="0" w:rightChars="0"/>
              <w:rPr>
                <w:rFonts w:hint="default" w:ascii="Times New Roman" w:hAnsi="Times New Roman" w:eastAsia="宋体" w:cs="Times New Roman"/>
                <w:spacing w:val="0"/>
                <w:sz w:val="21"/>
                <w:szCs w:val="21"/>
                <w:lang w:val="en-US" w:eastAsia="zh-CN"/>
              </w:rPr>
            </w:pPr>
            <w:r>
              <w:rPr>
                <w:rFonts w:hint="eastAsia" w:ascii="Times New Roman" w:hAnsi="Times New Roman" w:cs="Times New Roman"/>
                <w:spacing w:val="0"/>
                <w:sz w:val="21"/>
                <w:szCs w:val="21"/>
                <w:lang w:val="en-US" w:eastAsia="zh-CN"/>
              </w:rPr>
              <w:t>3#排气筒</w:t>
            </w:r>
          </w:p>
        </w:tc>
        <w:tc>
          <w:tcPr>
            <w:tcW w:w="999" w:type="pct"/>
            <w:vMerge w:val="restart"/>
            <w:shd w:val="clear" w:color="auto" w:fill="auto"/>
            <w:noWrap w:val="0"/>
            <w:vAlign w:val="center"/>
          </w:tcPr>
          <w:p w14:paraId="68DD67AC">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7275</w:t>
            </w:r>
          </w:p>
          <w:p w14:paraId="383471FA">
            <w:pPr>
              <w:pStyle w:val="140"/>
              <w:spacing w:before="0"/>
              <w:ind w:left="0" w:leftChars="0"/>
              <w:jc w:val="center"/>
              <w:rPr>
                <w:rFonts w:hint="eastAsia" w:ascii="Times New Roman" w:hAnsi="Times New Roman" w:cs="Times New Roman"/>
                <w:kern w:val="2"/>
                <w:sz w:val="21"/>
                <w:szCs w:val="21"/>
                <w:lang w:val="en-US" w:eastAsia="zh-CN" w:bidi="ar-SA"/>
              </w:rPr>
            </w:pPr>
          </w:p>
        </w:tc>
        <w:tc>
          <w:tcPr>
            <w:tcW w:w="1075" w:type="pct"/>
            <w:shd w:val="clear" w:color="auto" w:fill="FFFFFF"/>
            <w:noWrap w:val="0"/>
            <w:vAlign w:val="center"/>
          </w:tcPr>
          <w:p w14:paraId="406DD855">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1049" w:type="pct"/>
            <w:shd w:val="clear" w:color="auto" w:fill="auto"/>
            <w:noWrap w:val="0"/>
            <w:vAlign w:val="center"/>
          </w:tcPr>
          <w:p w14:paraId="3E7CBDA0">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0.00717</w:t>
            </w:r>
          </w:p>
        </w:tc>
        <w:tc>
          <w:tcPr>
            <w:tcW w:w="954" w:type="pct"/>
            <w:shd w:val="clear" w:color="auto" w:fill="auto"/>
            <w:noWrap w:val="0"/>
            <w:vAlign w:val="center"/>
          </w:tcPr>
          <w:p w14:paraId="703EAD54">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0.0017925</w:t>
            </w:r>
          </w:p>
        </w:tc>
      </w:tr>
      <w:tr w14:paraId="2833D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continue"/>
            <w:shd w:val="clear" w:color="auto" w:fill="FFFFFF"/>
            <w:noWrap w:val="0"/>
            <w:vAlign w:val="center"/>
          </w:tcPr>
          <w:p w14:paraId="29642C67">
            <w:pPr>
              <w:pStyle w:val="140"/>
              <w:ind w:left="0" w:leftChars="0" w:right="0" w:rightChars="0"/>
              <w:rPr>
                <w:rFonts w:hint="eastAsia" w:ascii="Times New Roman" w:hAnsi="Times New Roman" w:eastAsia="宋体" w:cs="Times New Roman"/>
                <w:spacing w:val="0"/>
                <w:sz w:val="21"/>
                <w:szCs w:val="21"/>
                <w:lang w:val="en-US" w:eastAsia="zh-CN"/>
              </w:rPr>
            </w:pPr>
          </w:p>
        </w:tc>
        <w:tc>
          <w:tcPr>
            <w:tcW w:w="999" w:type="pct"/>
            <w:vMerge w:val="continue"/>
            <w:shd w:val="clear" w:color="auto" w:fill="FFFFFF"/>
            <w:noWrap w:val="0"/>
            <w:vAlign w:val="center"/>
          </w:tcPr>
          <w:p w14:paraId="6E96B56D">
            <w:pPr>
              <w:pStyle w:val="140"/>
              <w:spacing w:before="0"/>
              <w:ind w:left="0" w:leftChars="0"/>
              <w:jc w:val="center"/>
              <w:rPr>
                <w:rFonts w:hint="eastAsia" w:ascii="Times New Roman" w:hAnsi="Times New Roman" w:cs="Times New Roman"/>
                <w:kern w:val="2"/>
                <w:sz w:val="21"/>
                <w:szCs w:val="21"/>
                <w:lang w:val="en-US" w:eastAsia="zh-CN" w:bidi="ar-SA"/>
              </w:rPr>
            </w:pPr>
          </w:p>
        </w:tc>
        <w:tc>
          <w:tcPr>
            <w:tcW w:w="1075" w:type="pct"/>
            <w:shd w:val="clear" w:color="auto" w:fill="FFFFFF"/>
            <w:noWrap w:val="0"/>
            <w:vAlign w:val="center"/>
          </w:tcPr>
          <w:p w14:paraId="723BEA31">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VOCS</w:t>
            </w:r>
          </w:p>
        </w:tc>
        <w:tc>
          <w:tcPr>
            <w:tcW w:w="1049" w:type="pct"/>
            <w:shd w:val="clear" w:color="auto" w:fill="auto"/>
            <w:noWrap w:val="0"/>
            <w:vAlign w:val="center"/>
          </w:tcPr>
          <w:p w14:paraId="64A33101">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0.018</w:t>
            </w:r>
          </w:p>
        </w:tc>
        <w:tc>
          <w:tcPr>
            <w:tcW w:w="954" w:type="pct"/>
            <w:shd w:val="clear" w:color="auto" w:fill="auto"/>
            <w:noWrap w:val="0"/>
            <w:vAlign w:val="center"/>
          </w:tcPr>
          <w:p w14:paraId="46969981">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0.0045</w:t>
            </w:r>
          </w:p>
        </w:tc>
      </w:tr>
    </w:tbl>
    <w:p w14:paraId="7643FAFB">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bookmarkStart w:id="168" w:name="_Toc5652"/>
      <w:bookmarkStart w:id="169" w:name="_Toc19941"/>
      <w:bookmarkStart w:id="170" w:name="_Toc24510"/>
      <w:r>
        <w:rPr>
          <w:rFonts w:hint="default" w:ascii="Times New Roman" w:hAnsi="Times New Roman" w:eastAsia="宋体" w:cs="Times New Roman"/>
          <w:b/>
          <w:bCs/>
          <w:color w:val="000000" w:themeColor="text1"/>
          <w:sz w:val="24"/>
          <w:szCs w:val="24"/>
          <w14:textFill>
            <w14:solidFill>
              <w14:schemeClr w14:val="tx1"/>
            </w14:solidFill>
          </w14:textFill>
        </w:rPr>
        <w:t>4.3释放环境风险物质的扩散途径、涉及环境风险防控与应急措施、应急资源情况分析</w:t>
      </w:r>
      <w:bookmarkEnd w:id="168"/>
      <w:bookmarkEnd w:id="169"/>
      <w:bookmarkEnd w:id="170"/>
    </w:p>
    <w:p w14:paraId="5CDC946C">
      <w:pPr>
        <w:pStyle w:val="5"/>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b/>
          <w:bCs/>
          <w:color w:val="000000" w:themeColor="text1"/>
          <w14:textFill>
            <w14:solidFill>
              <w14:schemeClr w14:val="tx1"/>
            </w14:solidFill>
          </w14:textFill>
        </w:rPr>
      </w:pPr>
      <w:bookmarkStart w:id="171" w:name="_Toc20607"/>
      <w:bookmarkStart w:id="172" w:name="_Toc1477"/>
      <w:bookmarkStart w:id="173" w:name="_Toc14674"/>
      <w:r>
        <w:rPr>
          <w:rFonts w:hint="default" w:ascii="Times New Roman" w:hAnsi="Times New Roman" w:eastAsia="宋体" w:cs="Times New Roman"/>
          <w:b/>
          <w:bCs/>
          <w:color w:val="000000" w:themeColor="text1"/>
          <w14:textFill>
            <w14:solidFill>
              <w14:schemeClr w14:val="tx1"/>
            </w14:solidFill>
          </w14:textFill>
        </w:rPr>
        <w:t>4.3.1事件情景1</w:t>
      </w:r>
      <w:bookmarkEnd w:id="171"/>
      <w:bookmarkEnd w:id="172"/>
      <w:bookmarkEnd w:id="173"/>
    </w:p>
    <w:p w14:paraId="2416321E">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szCs w:val="28"/>
          <w:lang w:eastAsia="zh-CN"/>
          <w14:textFill>
            <w14:solidFill>
              <w14:schemeClr w14:val="tx1"/>
            </w14:solidFill>
          </w14:textFill>
        </w:rPr>
        <w:t>（</w:t>
      </w:r>
      <w:r>
        <w:rPr>
          <w:rFonts w:hint="eastAsia" w:ascii="宋体" w:hAnsi="宋体" w:eastAsia="宋体" w:cs="宋体"/>
          <w:b/>
          <w:bCs w:val="0"/>
          <w:color w:val="000000" w:themeColor="text1"/>
          <w:szCs w:val="28"/>
          <w:lang w:val="en-US" w:eastAsia="zh-CN"/>
          <w14:textFill>
            <w14:solidFill>
              <w14:schemeClr w14:val="tx1"/>
            </w14:solidFill>
          </w14:textFill>
        </w:rPr>
        <w:t>1）</w:t>
      </w:r>
      <w:r>
        <w:rPr>
          <w:rFonts w:hint="default" w:ascii="Times New Roman" w:hAnsi="Times New Roman" w:eastAsia="宋体" w:cs="Times New Roman"/>
          <w:b/>
          <w:bCs w:val="0"/>
          <w:color w:val="000000" w:themeColor="text1"/>
          <w:lang w:val="en-US" w:eastAsia="zh-CN"/>
          <w14:textFill>
            <w14:solidFill>
              <w14:schemeClr w14:val="tx1"/>
            </w14:solidFill>
          </w14:textFill>
        </w:rPr>
        <w:t>风险物质的扩散途径</w:t>
      </w:r>
    </w:p>
    <w:p w14:paraId="217F7E0F">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火灾爆炸</w:t>
      </w:r>
      <w:r>
        <w:rPr>
          <w:rFonts w:hint="eastAsia" w:ascii="宋体" w:hAnsi="宋体" w:eastAsia="宋体" w:cs="宋体"/>
          <w:color w:val="000000" w:themeColor="text1"/>
          <w14:textFill>
            <w14:solidFill>
              <w14:schemeClr w14:val="tx1"/>
            </w14:solidFill>
          </w14:textFill>
        </w:rPr>
        <w:t>对周边以热辐射及冲击波形式产</w:t>
      </w:r>
      <w:r>
        <w:rPr>
          <w:rFonts w:hint="default" w:ascii="Times New Roman" w:hAnsi="Times New Roman" w:eastAsia="宋体" w:cs="Times New Roman"/>
          <w:color w:val="000000" w:themeColor="text1"/>
          <w14:textFill>
            <w14:solidFill>
              <w14:schemeClr w14:val="tx1"/>
            </w14:solidFill>
          </w14:textFill>
        </w:rPr>
        <w:t>生影响，燃烧过程中会产生CO</w:t>
      </w:r>
      <w:r>
        <w:rPr>
          <w:rFonts w:hint="eastAsia" w:eastAsia="宋体" w:cs="Times New Roman"/>
          <w:color w:val="000000" w:themeColor="text1"/>
          <w:lang w:val="en-US" w:eastAsia="zh-CN"/>
          <w14:textFill>
            <w14:solidFill>
              <w14:schemeClr w14:val="tx1"/>
            </w14:solidFill>
          </w14:textFill>
        </w:rPr>
        <w:t>等</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产生大量烟尘</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对大气环境有一定影响。</w:t>
      </w:r>
    </w:p>
    <w:p w14:paraId="6003110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2</w:t>
      </w: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环境风险防控与应急措施</w:t>
      </w:r>
    </w:p>
    <w:p w14:paraId="7A051B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①假如发现发生火情，最早发现者应立即报告当班调度或公司领导。公司领导接报后，立即通知公司各应急小组成员赶赴现场。</w:t>
      </w:r>
      <w:r>
        <w:rPr>
          <w:rFonts w:hint="eastAsia" w:cs="Times New Roman" w:eastAsiaTheme="minorEastAsia"/>
          <w:color w:val="000000" w:themeColor="text1"/>
          <w:sz w:val="24"/>
          <w:szCs w:val="24"/>
          <w:lang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成员到达现场后，进行火情侦查，确定有无人员被困，灭火前做好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关闭雨水闸控，开启事故应急池闸控</w:t>
      </w:r>
      <w:r>
        <w:rPr>
          <w:rFonts w:hint="default" w:ascii="Times New Roman" w:hAnsi="Times New Roman" w:cs="Times New Roman" w:eastAsiaTheme="minorEastAsia"/>
          <w:color w:val="000000" w:themeColor="text1"/>
          <w:sz w:val="24"/>
          <w:szCs w:val="24"/>
          <w14:textFill>
            <w14:solidFill>
              <w14:schemeClr w14:val="tx1"/>
            </w14:solidFill>
          </w14:textFill>
        </w:rPr>
        <w:t>工作。</w:t>
      </w:r>
      <w:r>
        <w:rPr>
          <w:rFonts w:hint="eastAsia" w:cs="Times New Roman" w:eastAsiaTheme="minorEastAsia"/>
          <w:color w:val="000000" w:themeColor="text1"/>
          <w:sz w:val="24"/>
          <w:szCs w:val="24"/>
          <w:lang w:val="en-US"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人员戴自给</w:t>
      </w: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，戴安全防护眼镜，穿</w:t>
      </w:r>
      <w:r>
        <w:rPr>
          <w:rFonts w:hint="eastAsia" w:cs="Times New Roman" w:eastAsiaTheme="minorEastAsia"/>
          <w:color w:val="000000" w:themeColor="text1"/>
          <w:sz w:val="24"/>
          <w:szCs w:val="24"/>
          <w:lang w:val="en-US" w:eastAsia="zh-CN"/>
          <w14:textFill>
            <w14:solidFill>
              <w14:schemeClr w14:val="tx1"/>
            </w14:solidFill>
          </w14:textFill>
        </w:rPr>
        <w:t>消防服</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cs="Times New Roman" w:eastAsiaTheme="minorEastAsia"/>
          <w:color w:val="000000" w:themeColor="text1"/>
          <w:sz w:val="24"/>
          <w:szCs w:val="24"/>
          <w:lang w:eastAsia="zh-CN"/>
          <w14:textFill>
            <w14:solidFill>
              <w14:schemeClr w14:val="tx1"/>
            </w14:solidFill>
          </w14:textFill>
        </w:rPr>
        <w:t>防护手套</w:t>
      </w:r>
      <w:r>
        <w:rPr>
          <w:rFonts w:hint="default" w:ascii="Times New Roman" w:hAnsi="Times New Roman" w:cs="Times New Roman" w:eastAsiaTheme="minorEastAsia"/>
          <w:color w:val="000000" w:themeColor="text1"/>
          <w:sz w:val="24"/>
          <w:szCs w:val="24"/>
          <w14:textFill>
            <w14:solidFill>
              <w14:schemeClr w14:val="tx1"/>
            </w14:solidFill>
          </w14:textFill>
        </w:rPr>
        <w:t>，使用生产现场配置的灭火设备，扑灭初期火灾；为防止火势蔓延，在保证生产安全情况下，关停生产设备，拉下电闸。</w:t>
      </w:r>
    </w:p>
    <w:p w14:paraId="514CF2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②现场管理人员要立即指挥员工搬离火场附近的可燃物，避免火灾区域扩大。</w:t>
      </w:r>
      <w:r>
        <w:rPr>
          <w:rFonts w:hint="eastAsia" w:cs="Times New Roman" w:eastAsiaTheme="minorEastAsia"/>
          <w:sz w:val="24"/>
          <w:szCs w:val="24"/>
          <w:lang w:val="en-US" w:eastAsia="zh-CN"/>
        </w:rPr>
        <w:t>应急保障组</w:t>
      </w:r>
      <w:r>
        <w:rPr>
          <w:rFonts w:hint="default" w:ascii="Times New Roman" w:hAnsi="Times New Roman" w:cs="Times New Roman" w:eastAsiaTheme="minorEastAsia"/>
          <w:sz w:val="24"/>
          <w:szCs w:val="24"/>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247413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sz w:val="24"/>
          <w:szCs w:val="24"/>
          <w:lang w:eastAsia="zh-CN"/>
        </w:rPr>
        <w:t>总经理</w:t>
      </w:r>
      <w:r>
        <w:rPr>
          <w:rFonts w:hint="default" w:ascii="Times New Roman" w:hAnsi="Times New Roman" w:cs="Times New Roman" w:eastAsiaTheme="minorEastAsia"/>
          <w:sz w:val="24"/>
          <w:szCs w:val="24"/>
        </w:rPr>
        <w:t>下令全公司全部停止，将所有人员疏散到厂区外安全地带，并进行隔离，严格限制出入，等待救援。当事件已经或可能对</w:t>
      </w:r>
      <w:r>
        <w:rPr>
          <w:rFonts w:hint="eastAsia" w:ascii="Times New Roman" w:hAnsi="Times New Roman" w:cs="Times New Roman" w:eastAsiaTheme="minorEastAsia"/>
          <w:sz w:val="24"/>
          <w:szCs w:val="24"/>
          <w:lang w:eastAsia="zh-CN"/>
        </w:rPr>
        <w:t>公司</w:t>
      </w:r>
      <w:r>
        <w:rPr>
          <w:rFonts w:hint="default" w:ascii="Times New Roman" w:hAnsi="Times New Roman" w:cs="Times New Roman" w:eastAsiaTheme="minorEastAsia"/>
          <w:sz w:val="24"/>
          <w:szCs w:val="24"/>
        </w:rPr>
        <w:t>外环境造成影响时，应</w:t>
      </w:r>
      <w:r>
        <w:rPr>
          <w:rFonts w:hint="default" w:ascii="Times New Roman" w:hAnsi="Times New Roman" w:cs="Times New Roman" w:eastAsiaTheme="minorEastAsia"/>
          <w:sz w:val="24"/>
          <w:szCs w:val="24"/>
          <w:lang w:eastAsia="zh-CN"/>
        </w:rPr>
        <w:t>经上级政府批准后由有权部门</w:t>
      </w:r>
      <w:r>
        <w:rPr>
          <w:rFonts w:hint="default" w:ascii="Times New Roman" w:hAnsi="Times New Roman" w:cs="Times New Roman" w:eastAsiaTheme="minorEastAsia"/>
          <w:sz w:val="24"/>
          <w:szCs w:val="24"/>
        </w:rPr>
        <w:t>向环境突发事件可能影响的区域通报突发事件的情况，包括事件的产生、处理情况，对周围群众可能造成的影响，并给出合适的建议来确保周围群众的安全。</w:t>
      </w:r>
    </w:p>
    <w:p w14:paraId="778B203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14:paraId="158D33E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⑤灭火过程产生的废物，如受污染的砂土等应收集送资质单位处置。</w:t>
      </w:r>
      <w:r>
        <w:rPr>
          <w:rFonts w:hint="eastAsia" w:ascii="Times New Roman" w:hAnsi="Times New Roman" w:cs="Times New Roman" w:eastAsiaTheme="minorEastAsia"/>
          <w:sz w:val="24"/>
          <w:szCs w:val="24"/>
          <w:lang w:eastAsia="zh-CN"/>
        </w:rPr>
        <w:t>消防水</w:t>
      </w:r>
      <w:r>
        <w:rPr>
          <w:rFonts w:hint="default" w:ascii="Times New Roman" w:hAnsi="Times New Roman" w:cs="Times New Roman" w:eastAsiaTheme="minorEastAsia"/>
          <w:sz w:val="24"/>
          <w:szCs w:val="24"/>
        </w:rPr>
        <w:t>经雨水管网</w:t>
      </w:r>
      <w:r>
        <w:rPr>
          <w:rFonts w:hint="eastAsia" w:ascii="Times New Roman" w:hAnsi="Times New Roman" w:cs="Times New Roman" w:eastAsiaTheme="minorEastAsia"/>
          <w:sz w:val="24"/>
          <w:szCs w:val="24"/>
          <w:lang w:val="en-US" w:eastAsia="zh-CN"/>
        </w:rPr>
        <w:t>排入</w:t>
      </w:r>
      <w:r>
        <w:rPr>
          <w:rFonts w:hint="default" w:ascii="Times New Roman" w:hAnsi="Times New Roman" w:cs="Times New Roman" w:eastAsiaTheme="minorEastAsia"/>
          <w:sz w:val="24"/>
          <w:szCs w:val="24"/>
        </w:rPr>
        <w:t>厂内事故应急池，再分批进行处置。</w:t>
      </w:r>
    </w:p>
    <w:p w14:paraId="2837302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default" w:ascii="Times New Roman" w:hAnsi="Times New Roman" w:cs="Times New Roman" w:eastAsiaTheme="minorEastAsia"/>
          <w:sz w:val="24"/>
          <w:szCs w:val="24"/>
        </w:rPr>
        <w:t>⑥灭火工作应采取“先控制、后消灭”的原则，集中力量切断火势蔓延途径，将火势控制在一定的范围内，防止火势向主生产区、主生产设备、易燃易爆物品、人员集中场所</w:t>
      </w:r>
      <w:r>
        <w:rPr>
          <w:rFonts w:hint="default" w:ascii="Times New Roman" w:hAnsi="Times New Roman" w:cs="Times New Roman" w:eastAsiaTheme="minorEastAsia"/>
          <w:color w:val="000000" w:themeColor="text1"/>
          <w:sz w:val="24"/>
          <w:szCs w:val="24"/>
          <w14:textFill>
            <w14:solidFill>
              <w14:schemeClr w14:val="tx1"/>
            </w14:solidFill>
          </w14:textFill>
        </w:rPr>
        <w:t>、重要建筑等蔓延。</w:t>
      </w:r>
    </w:p>
    <w:p w14:paraId="081AEF7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3</w:t>
      </w: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应急资源</w:t>
      </w:r>
    </w:p>
    <w:p w14:paraId="507205C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bookmarkStart w:id="174" w:name="_Toc2270"/>
      <w:r>
        <w:rPr>
          <w:rFonts w:hint="default" w:ascii="Times New Roman" w:hAnsi="Times New Roman" w:cs="Times New Roman" w:eastAsiaTheme="minorEastAsia"/>
          <w:sz w:val="24"/>
          <w:szCs w:val="24"/>
        </w:rPr>
        <w:t>自给</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消防服</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挖土工具如铁锹，</w:t>
      </w:r>
      <w:r>
        <w:rPr>
          <w:rFonts w:hint="default" w:ascii="Times New Roman" w:hAnsi="Times New Roman" w:cs="Times New Roman" w:eastAsiaTheme="minorEastAsia"/>
          <w:sz w:val="24"/>
          <w:szCs w:val="24"/>
        </w:rPr>
        <w:t>砂土、灭火器等。</w:t>
      </w:r>
      <w:bookmarkEnd w:id="174"/>
    </w:p>
    <w:p w14:paraId="2312FF52">
      <w:pPr>
        <w:pStyle w:val="5"/>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75" w:name="_Toc28688"/>
      <w:bookmarkStart w:id="176" w:name="_Toc5056"/>
      <w:bookmarkStart w:id="177" w:name="_Toc10339"/>
      <w:r>
        <w:rPr>
          <w:rFonts w:hint="default" w:ascii="Times New Roman" w:hAnsi="Times New Roman" w:eastAsia="宋体" w:cs="Times New Roman"/>
          <w:color w:val="000000" w:themeColor="text1"/>
          <w14:textFill>
            <w14:solidFill>
              <w14:schemeClr w14:val="tx1"/>
            </w14:solidFill>
          </w14:textFill>
        </w:rPr>
        <w:t>4.3.</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bookmarkEnd w:id="175"/>
      <w:r>
        <w:rPr>
          <w:rFonts w:hint="eastAsia" w:eastAsia="宋体" w:cs="Times New Roman"/>
          <w:color w:val="000000" w:themeColor="text1"/>
          <w:lang w:val="en-US" w:eastAsia="zh-CN"/>
          <w14:textFill>
            <w14:solidFill>
              <w14:schemeClr w14:val="tx1"/>
            </w14:solidFill>
          </w14:textFill>
        </w:rPr>
        <w:t>3、6</w:t>
      </w:r>
      <w:bookmarkEnd w:id="176"/>
      <w:bookmarkEnd w:id="177"/>
    </w:p>
    <w:p w14:paraId="3095638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A.废水外排事故</w:t>
      </w:r>
    </w:p>
    <w:p w14:paraId="6EFE9C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（1）风险物质的扩散途径</w:t>
      </w:r>
    </w:p>
    <w:p w14:paraId="766663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w:t>
      </w:r>
      <w:r>
        <w:rPr>
          <w:rFonts w:hint="eastAsia" w:ascii="宋体" w:hAnsi="宋体" w:eastAsia="宋体" w:cs="宋体"/>
          <w:color w:val="000000" w:themeColor="text1"/>
          <w:lang w:val="en-US" w:eastAsia="zh-CN"/>
          <w14:textFill>
            <w14:solidFill>
              <w14:schemeClr w14:val="tx1"/>
            </w14:solidFill>
          </w14:textFill>
        </w:rPr>
        <w:t>污水处理设施故障、应急事故池引流措施失败、未及时关闭雨水排口阀门等原因</w:t>
      </w:r>
      <w:r>
        <w:rPr>
          <w:rFonts w:hint="eastAsia" w:ascii="宋体" w:hAnsi="宋体" w:eastAsia="宋体" w:cs="宋体"/>
          <w:color w:val="000000" w:themeColor="text1"/>
          <w14:textFill>
            <w14:solidFill>
              <w14:schemeClr w14:val="tx1"/>
            </w14:solidFill>
          </w14:textFill>
        </w:rPr>
        <w:t>导致的污水</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泄漏的化学物质通过雨水管道</w:t>
      </w:r>
      <w:r>
        <w:rPr>
          <w:rFonts w:hint="eastAsia" w:ascii="宋体" w:hAnsi="宋体" w:eastAsia="宋体" w:cs="宋体"/>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洋蛮河</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将</w:t>
      </w:r>
      <w:r>
        <w:rPr>
          <w:rFonts w:hint="eastAsia" w:ascii="宋体" w:hAnsi="宋体" w:eastAsia="宋体" w:cs="宋体"/>
          <w:color w:val="000000" w:themeColor="text1"/>
          <w14:textFill>
            <w14:solidFill>
              <w14:schemeClr w14:val="tx1"/>
            </w14:solidFill>
          </w14:textFill>
        </w:rPr>
        <w:t>对</w:t>
      </w:r>
      <w:r>
        <w:rPr>
          <w:rFonts w:hint="eastAsia" w:ascii="宋体" w:hAnsi="宋体" w:eastAsia="宋体" w:cs="宋体"/>
          <w:color w:val="000000" w:themeColor="text1"/>
          <w:lang w:val="en-US" w:eastAsia="zh-CN"/>
          <w14:textFill>
            <w14:solidFill>
              <w14:schemeClr w14:val="tx1"/>
            </w14:solidFill>
          </w14:textFill>
        </w:rPr>
        <w:t>洋蛮河</w:t>
      </w:r>
      <w:r>
        <w:rPr>
          <w:rFonts w:hint="eastAsia" w:ascii="宋体" w:hAnsi="宋体" w:eastAsia="宋体" w:cs="宋体"/>
          <w:color w:val="000000" w:themeColor="text1"/>
          <w14:textFill>
            <w14:solidFill>
              <w14:schemeClr w14:val="tx1"/>
            </w14:solidFill>
          </w14:textFill>
        </w:rPr>
        <w:t>断面产生不良影响。</w:t>
      </w:r>
    </w:p>
    <w:p w14:paraId="446123F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76039C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t>一旦发生消防废水进入</w:t>
      </w:r>
      <w:r>
        <w:rPr>
          <w:rFonts w:hint="eastAsia" w:ascii="宋体" w:hAnsi="宋体" w:eastAsia="宋体" w:cs="宋体"/>
          <w:color w:val="000000" w:themeColor="text1"/>
          <w:lang w:val="en-US" w:eastAsia="zh-CN"/>
          <w14:textFill>
            <w14:solidFill>
              <w14:schemeClr w14:val="tx1"/>
            </w14:solidFill>
          </w14:textFill>
        </w:rPr>
        <w:t>洋蛮河</w:t>
      </w:r>
      <w:r>
        <w:rPr>
          <w:rFonts w:hint="eastAsia" w:ascii="宋体" w:hAnsi="宋体" w:eastAsia="宋体" w:cs="宋体"/>
          <w:color w:val="000000" w:themeColor="text1"/>
          <w:spacing w:val="0"/>
          <w14:textFill>
            <w14:solidFill>
              <w14:schemeClr w14:val="tx1"/>
            </w14:solidFill>
          </w14:textFill>
        </w:rPr>
        <w:t>的情况，应堵住雨水总排口，同时通知政府部门，严密监视</w:t>
      </w:r>
      <w:r>
        <w:rPr>
          <w:rFonts w:hint="eastAsia" w:ascii="宋体" w:hAnsi="宋体" w:eastAsia="宋体" w:cs="宋体"/>
          <w:color w:val="000000" w:themeColor="text1"/>
          <w:lang w:val="en-US" w:eastAsia="zh-CN"/>
          <w14:textFill>
            <w14:solidFill>
              <w14:schemeClr w14:val="tx1"/>
            </w14:solidFill>
          </w14:textFill>
        </w:rPr>
        <w:t>洋蛮河</w:t>
      </w:r>
      <w:r>
        <w:rPr>
          <w:rFonts w:hint="eastAsia" w:ascii="宋体" w:hAnsi="宋体" w:eastAsia="宋体" w:cs="宋体"/>
          <w:color w:val="000000" w:themeColor="text1"/>
          <w:spacing w:val="0"/>
          <w14:textFill>
            <w14:solidFill>
              <w14:schemeClr w14:val="tx1"/>
            </w14:solidFill>
          </w14:textFill>
        </w:rPr>
        <w:t>水质情况，视污染程度决定是否启动开发区级环境突发事件</w:t>
      </w:r>
      <w:r>
        <w:rPr>
          <w:rFonts w:hint="eastAsia" w:ascii="宋体" w:hAnsi="宋体" w:eastAsia="宋体" w:cs="宋体"/>
          <w:color w:val="000000" w:themeColor="text1"/>
          <w14:textFill>
            <w14:solidFill>
              <w14:schemeClr w14:val="tx1"/>
            </w14:solidFill>
          </w14:textFill>
        </w:rPr>
        <w:t>应急预案。</w:t>
      </w:r>
    </w:p>
    <w:p w14:paraId="308EA2F1">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20D1F6F5">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14:paraId="50EE967C">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szCs w:val="28"/>
          <w14:textFill>
            <w14:solidFill>
              <w14:schemeClr w14:val="tx1"/>
            </w14:solidFill>
          </w14:textFill>
        </w:rPr>
      </w:pPr>
      <w:r>
        <w:rPr>
          <w:rFonts w:hint="default" w:ascii="Times New Roman" w:hAnsi="Times New Roman" w:eastAsia="宋体" w:cs="Times New Roman"/>
          <w:b/>
          <w:color w:val="000000" w:themeColor="text1"/>
          <w:szCs w:val="28"/>
          <w:lang w:val="en-US" w:eastAsia="zh-CN"/>
          <w14:textFill>
            <w14:solidFill>
              <w14:schemeClr w14:val="tx1"/>
            </w14:solidFill>
          </w14:textFill>
        </w:rPr>
        <w:t>B</w:t>
      </w:r>
      <w:r>
        <w:rPr>
          <w:rFonts w:hint="eastAsia" w:eastAsia="宋体" w:cs="Times New Roman"/>
          <w:b/>
          <w:color w:val="000000" w:themeColor="text1"/>
          <w:szCs w:val="28"/>
          <w:lang w:val="en-US" w:eastAsia="zh-CN"/>
          <w14:textFill>
            <w14:solidFill>
              <w14:schemeClr w14:val="tx1"/>
            </w14:solidFill>
          </w14:textFill>
        </w:rPr>
        <w:t>.</w:t>
      </w:r>
      <w:r>
        <w:rPr>
          <w:rFonts w:hint="default" w:ascii="Times New Roman" w:hAnsi="Times New Roman" w:eastAsia="宋体" w:cs="Times New Roman"/>
          <w:b/>
          <w:color w:val="000000" w:themeColor="text1"/>
          <w:szCs w:val="28"/>
          <w14:textFill>
            <w14:solidFill>
              <w14:schemeClr w14:val="tx1"/>
            </w14:solidFill>
          </w14:textFill>
        </w:rPr>
        <w:t>污染土壤、地下水事故</w:t>
      </w:r>
    </w:p>
    <w:p w14:paraId="5151AEB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7D64D7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w:t>
      </w:r>
      <w:r>
        <w:rPr>
          <w:rFonts w:hint="eastAsia" w:ascii="宋体" w:hAnsi="宋体" w:eastAsia="宋体" w:cs="宋体"/>
          <w:color w:val="000000" w:themeColor="text1"/>
          <w:lang w:val="en-US" w:eastAsia="zh-CN"/>
          <w14:textFill>
            <w14:solidFill>
              <w14:schemeClr w14:val="tx1"/>
            </w14:solidFill>
          </w14:textFill>
        </w:rPr>
        <w:t>液压油</w:t>
      </w:r>
      <w:r>
        <w:rPr>
          <w:rFonts w:hint="eastAsia" w:ascii="宋体" w:hAnsi="宋体" w:eastAsia="宋体" w:cs="宋体"/>
          <w:color w:val="000000" w:themeColor="text1"/>
          <w14:textFill>
            <w14:solidFill>
              <w14:schemeClr w14:val="tx1"/>
            </w14:solidFill>
          </w14:textFill>
        </w:rPr>
        <w:t>泄漏，渗漏的污染物</w:t>
      </w:r>
      <w:r>
        <w:rPr>
          <w:rFonts w:hint="eastAsia" w:ascii="宋体" w:hAnsi="宋体" w:eastAsia="宋体" w:cs="宋体"/>
          <w:color w:val="000000" w:themeColor="text1"/>
          <w:lang w:val="en-US" w:eastAsia="zh-CN"/>
          <w14:textFill>
            <w14:solidFill>
              <w14:schemeClr w14:val="tx1"/>
            </w14:solidFill>
          </w14:textFill>
        </w:rPr>
        <w:t>将以渗透、吸收等方式</w:t>
      </w:r>
      <w:r>
        <w:rPr>
          <w:rFonts w:hint="eastAsia" w:ascii="宋体" w:hAnsi="宋体" w:eastAsia="宋体" w:cs="宋体"/>
          <w:color w:val="000000" w:themeColor="text1"/>
          <w14:textFill>
            <w14:solidFill>
              <w14:schemeClr w14:val="tx1"/>
            </w14:solidFill>
          </w14:textFill>
        </w:rPr>
        <w:t>污染土壤及地下水。</w:t>
      </w:r>
    </w:p>
    <w:p w14:paraId="7C1750C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530311C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r>
        <w:rPr>
          <w:rFonts w:hint="eastAsia" w:ascii="宋体" w:hAnsi="宋体" w:eastAsia="宋体" w:cs="宋体"/>
          <w:color w:val="000000" w:themeColor="text1"/>
          <w:lang w:eastAsia="zh-CN"/>
          <w14:textFill>
            <w14:solidFill>
              <w14:schemeClr w14:val="tx1"/>
            </w14:solidFill>
          </w14:textFill>
        </w:rPr>
        <w:t>。</w:t>
      </w:r>
    </w:p>
    <w:p w14:paraId="5FEA2ED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w:t>
      </w:r>
      <w:r>
        <w:rPr>
          <w:rFonts w:hint="eastAsia" w:ascii="宋体" w:hAnsi="宋体" w:eastAsia="宋体" w:cs="宋体"/>
          <w:color w:val="000000" w:themeColor="text1"/>
          <w:szCs w:val="28"/>
          <w:lang w:val="en-US" w:eastAsia="zh-CN"/>
          <w14:textFill>
            <w14:solidFill>
              <w14:schemeClr w14:val="tx1"/>
            </w14:solidFill>
          </w14:textFill>
        </w:rPr>
        <w:t>公司内</w:t>
      </w:r>
      <w:r>
        <w:rPr>
          <w:rFonts w:hint="eastAsia" w:ascii="宋体" w:hAnsi="宋体" w:eastAsia="宋体" w:cs="宋体"/>
          <w:color w:val="000000" w:themeColor="text1"/>
          <w:szCs w:val="28"/>
          <w14:textFill>
            <w14:solidFill>
              <w14:schemeClr w14:val="tx1"/>
            </w14:solidFill>
          </w14:textFill>
        </w:rPr>
        <w:t>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14:paraId="268B9D2D">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14:paraId="2519C2F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hint="default" w:ascii="Times New Roman" w:hAnsi="Times New Roman" w:eastAsia="宋体" w:cs="Times New Roman"/>
          <w:color w:val="000000" w:themeColor="text1"/>
          <w:szCs w:val="28"/>
          <w14:textFill>
            <w14:solidFill>
              <w14:schemeClr w14:val="tx1"/>
            </w14:solidFill>
          </w14:textFill>
        </w:rPr>
        <w:t>渗设计。重点污染防治区应参照《危险废物安全填埋处置工程建设技术要求》（</w:t>
      </w:r>
      <w:r>
        <w:rPr>
          <w:rFonts w:hint="eastAsia" w:eastAsia="宋体" w:cs="Times New Roman"/>
          <w:color w:val="000000" w:themeColor="text1"/>
          <w:szCs w:val="28"/>
          <w:lang w:eastAsia="zh-CN"/>
          <w14:textFill>
            <w14:solidFill>
              <w14:schemeClr w14:val="tx1"/>
            </w14:solidFill>
          </w14:textFill>
        </w:rPr>
        <w:t>国家环保总局</w:t>
      </w:r>
      <w:r>
        <w:rPr>
          <w:rFonts w:hint="default" w:ascii="Times New Roman" w:hAnsi="Times New Roman" w:eastAsia="宋体" w:cs="Times New Roman"/>
          <w:color w:val="000000" w:themeColor="text1"/>
          <w:szCs w:val="28"/>
          <w14:textFill>
            <w14:solidFill>
              <w14:schemeClr w14:val="tx1"/>
            </w14:solidFill>
          </w14:textFill>
        </w:rPr>
        <w:t>2004.4.30颁布试行）和《危险废物填埋污染控制标准》（GB18598-20</w:t>
      </w:r>
      <w:r>
        <w:rPr>
          <w:rFonts w:hint="eastAsia" w:eastAsia="宋体" w:cs="Times New Roman"/>
          <w:color w:val="000000" w:themeColor="text1"/>
          <w:szCs w:val="28"/>
          <w:lang w:val="en-US" w:eastAsia="zh-CN"/>
          <w14:textFill>
            <w14:solidFill>
              <w14:schemeClr w14:val="tx1"/>
            </w14:solidFill>
          </w14:textFill>
        </w:rPr>
        <w:t>19</w:t>
      </w:r>
      <w:r>
        <w:rPr>
          <w:rFonts w:hint="default" w:ascii="Times New Roman" w:hAnsi="Times New Roman" w:eastAsia="宋体" w:cs="Times New Roman"/>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14:paraId="2EEF154D">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一般污染防治区参照《一般工业固体废物贮存、处置场污染控制标准》（GB18599－20</w:t>
      </w:r>
      <w:r>
        <w:rPr>
          <w:rFonts w:hint="eastAsia" w:ascii="宋体" w:hAnsi="宋体" w:eastAsia="宋体" w:cs="宋体"/>
          <w:color w:val="000000" w:themeColor="text1"/>
          <w:szCs w:val="28"/>
          <w:lang w:val="en-US" w:eastAsia="zh-CN"/>
          <w14:textFill>
            <w14:solidFill>
              <w14:schemeClr w14:val="tx1"/>
            </w14:solidFill>
          </w14:textFill>
        </w:rPr>
        <w:t>20</w:t>
      </w:r>
      <w:r>
        <w:rPr>
          <w:rFonts w:hint="eastAsia" w:ascii="宋体" w:hAnsi="宋体" w:eastAsia="宋体" w:cs="宋体"/>
          <w:color w:val="000000" w:themeColor="text1"/>
          <w:szCs w:val="28"/>
          <w14:textFill>
            <w14:solidFill>
              <w14:schemeClr w14:val="tx1"/>
            </w14:solidFill>
          </w14:textFill>
        </w:rPr>
        <w:t>）及其修改单制定防渗设计方案。</w:t>
      </w:r>
    </w:p>
    <w:p w14:paraId="2CAD29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w:t>
      </w:r>
      <w:r>
        <w:rPr>
          <w:rFonts w:hint="eastAsia" w:ascii="Times New Roman" w:hAnsi="Times New Roman" w:cs="Times New Roman" w:eastAsiaTheme="minorEastAsia"/>
          <w:color w:val="000000" w:themeColor="text1"/>
          <w:sz w:val="24"/>
          <w:szCs w:val="24"/>
          <w14:textFill>
            <w14:solidFill>
              <w14:schemeClr w14:val="tx1"/>
            </w14:solidFill>
          </w14:textFill>
        </w:rPr>
        <w:t>小量泄漏：</w:t>
      </w:r>
      <w:r>
        <w:rPr>
          <w:rFonts w:hint="eastAsia" w:cs="Times New Roman" w:eastAsiaTheme="minorEastAsia"/>
          <w:color w:val="000000" w:themeColor="text1"/>
          <w:sz w:val="24"/>
          <w:szCs w:val="24"/>
          <w:lang w:val="en-US" w:eastAsia="zh-CN"/>
          <w14:textFill>
            <w14:solidFill>
              <w14:schemeClr w14:val="tx1"/>
            </w14:solidFill>
          </w14:textFill>
        </w:rPr>
        <w:t>优先选</w:t>
      </w:r>
      <w:r>
        <w:rPr>
          <w:rFonts w:hint="eastAsia" w:ascii="Times New Roman" w:hAnsi="Times New Roman" w:cs="Times New Roman" w:eastAsiaTheme="minorEastAsia"/>
          <w:color w:val="000000" w:themeColor="text1"/>
          <w:sz w:val="24"/>
          <w:szCs w:val="24"/>
          <w14:textFill>
            <w14:solidFill>
              <w14:schemeClr w14:val="tx1"/>
            </w14:solidFill>
          </w14:textFill>
        </w:rPr>
        <w:t>用砂土混合。</w:t>
      </w:r>
    </w:p>
    <w:p w14:paraId="5B7417E7">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⑥</w:t>
      </w:r>
      <w:r>
        <w:rPr>
          <w:rFonts w:hint="eastAsia" w:ascii="Times New Roman" w:hAnsi="Times New Roman" w:cs="Times New Roman" w:eastAsiaTheme="minorEastAsia"/>
          <w:color w:val="000000" w:themeColor="text1"/>
          <w:sz w:val="24"/>
          <w:szCs w:val="24"/>
          <w14:textFill>
            <w14:solidFill>
              <w14:schemeClr w14:val="tx1"/>
            </w14:solidFill>
          </w14:textFill>
        </w:rPr>
        <w:t>大量泄漏：构筑围堤或挖坑收容</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用防爆泵转移至移动专用收集容器中回收利用或作危废处理。泄漏场地用水冲洗，经稀释的洗水收集至事故应急池</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若流入外环境，</w:t>
      </w:r>
      <w:r>
        <w:rPr>
          <w:rFonts w:hint="default" w:ascii="Times New Roman" w:hAnsi="Times New Roman" w:cs="Times New Roman" w:eastAsiaTheme="minorEastAsia"/>
          <w:color w:val="000000" w:themeColor="text1"/>
          <w:sz w:val="24"/>
          <w:szCs w:val="24"/>
          <w14:textFill>
            <w14:solidFill>
              <w14:schemeClr w14:val="tx1"/>
            </w14:solidFill>
          </w14:textFill>
        </w:rPr>
        <w:t>在雨水排口下游迅速筑坝，切断受污染水体的流动，采取有效措施处理排入水体的污染物</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对受污染的下游水体及时进行监测，实时掌握水质情况</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p>
    <w:p w14:paraId="228890A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宋体" w:hAnsi="宋体" w:eastAsia="宋体" w:cs="宋体"/>
          <w:b/>
          <w:color w:val="000000" w:themeColor="text1"/>
          <w:szCs w:val="28"/>
          <w:lang w:val="en-US" w:eastAsia="zh-CN"/>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3</w:t>
      </w: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应急资源</w:t>
      </w:r>
    </w:p>
    <w:p w14:paraId="268EE450">
      <w:pPr>
        <w:keepNext/>
        <w:keepLines/>
        <w:adjustRightInd w:val="0"/>
        <w:snapToGrid w:val="0"/>
        <w:spacing w:line="500" w:lineRule="exact"/>
        <w:ind w:firstLine="480" w:firstLineChars="200"/>
        <w:jc w:val="left"/>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砂土、移动式专用收集容器、沙包、应急泵等。</w:t>
      </w:r>
      <w:bookmarkStart w:id="178" w:name="_Toc299"/>
    </w:p>
    <w:p w14:paraId="2167211C">
      <w:pPr>
        <w:pStyle w:val="5"/>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79" w:name="_Toc19174"/>
      <w:bookmarkStart w:id="180" w:name="_Toc20452"/>
      <w:r>
        <w:rPr>
          <w:rFonts w:hint="default" w:ascii="Times New Roman" w:hAnsi="Times New Roman" w:eastAsia="宋体" w:cs="Times New Roman"/>
          <w:color w:val="000000" w:themeColor="text1"/>
          <w14:textFill>
            <w14:solidFill>
              <w14:schemeClr w14:val="tx1"/>
            </w14:solidFill>
          </w14:textFill>
        </w:rPr>
        <w:t>4.3.</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bookmarkEnd w:id="178"/>
      <w:r>
        <w:rPr>
          <w:rFonts w:hint="eastAsia" w:eastAsia="宋体" w:cs="Times New Roman"/>
          <w:color w:val="000000" w:themeColor="text1"/>
          <w:lang w:val="en-US" w:eastAsia="zh-CN"/>
          <w14:textFill>
            <w14:solidFill>
              <w14:schemeClr w14:val="tx1"/>
            </w14:solidFill>
          </w14:textFill>
        </w:rPr>
        <w:t>4、5</w:t>
      </w:r>
      <w:bookmarkEnd w:id="179"/>
      <w:bookmarkEnd w:id="180"/>
    </w:p>
    <w:p w14:paraId="2629B2A4">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1F8D46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14:paraId="2F4E180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76D1876E">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①假如发现废气超标排放（</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废气处理设备故障、</w:t>
      </w:r>
      <w:r>
        <w:rPr>
          <w:rFonts w:hint="default" w:ascii="Times New Roman" w:hAnsi="Times New Roman" w:cs="Times New Roman" w:eastAsiaTheme="minorEastAsia"/>
          <w:color w:val="000000" w:themeColor="text1"/>
          <w:sz w:val="24"/>
          <w:szCs w:val="24"/>
          <w14:textFill>
            <w14:solidFill>
              <w14:schemeClr w14:val="tx1"/>
            </w14:solidFill>
          </w14:textFill>
        </w:rPr>
        <w:t>车间味道明显增大，员工因环境污染导致身体不适等），最早发现事故者应立即报告</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应急救援指挥组</w:t>
      </w:r>
      <w:r>
        <w:rPr>
          <w:rFonts w:hint="default" w:ascii="Times New Roman" w:hAnsi="Times New Roman" w:cs="Times New Roman" w:eastAsiaTheme="minorEastAsia"/>
          <w:color w:val="000000" w:themeColor="text1"/>
          <w:sz w:val="24"/>
          <w:szCs w:val="24"/>
          <w14:textFill>
            <w14:solidFill>
              <w14:schemeClr w14:val="tx1"/>
            </w14:solidFill>
          </w14:textFill>
        </w:rPr>
        <w:t>。</w:t>
      </w:r>
    </w:p>
    <w:p w14:paraId="106C705C">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②各应急救援队伍接到</w:t>
      </w:r>
      <w:r>
        <w:rPr>
          <w:rFonts w:hint="default" w:ascii="Times New Roman" w:hAnsi="Times New Roman" w:cs="Times New Roman" w:eastAsiaTheme="minorEastAsia"/>
          <w:sz w:val="24"/>
          <w:szCs w:val="24"/>
        </w:rPr>
        <w:t>通知，应迅速携带相关器材赶往事故现场。</w:t>
      </w:r>
    </w:p>
    <w:p w14:paraId="4466558B">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③检查设备情况，若废气超标在短时间内不能有效控制，现场应急处置指挥部视情况严重程度，下达生产线全线停产指令。</w:t>
      </w:r>
    </w:p>
    <w:p w14:paraId="6255007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④若废气管道泄漏，</w:t>
      </w:r>
      <w:r>
        <w:rPr>
          <w:rFonts w:hint="eastAsia" w:ascii="Times New Roman" w:hAnsi="Times New Roman" w:cs="Times New Roman" w:eastAsiaTheme="minorEastAsia"/>
          <w:sz w:val="24"/>
          <w:szCs w:val="24"/>
          <w:lang w:eastAsia="zh-CN"/>
        </w:rPr>
        <w:t>应急小组</w:t>
      </w:r>
      <w:r>
        <w:rPr>
          <w:rFonts w:hint="default" w:ascii="Times New Roman" w:hAnsi="Times New Roman" w:cs="Times New Roman" w:eastAsiaTheme="minorEastAsia"/>
          <w:sz w:val="24"/>
          <w:szCs w:val="24"/>
        </w:rPr>
        <w:t>到达现场后，应首先穿戴</w:t>
      </w:r>
      <w:r>
        <w:rPr>
          <w:rFonts w:hint="eastAsia" w:cs="Times New Roman" w:eastAsiaTheme="minorEastAsia"/>
          <w:sz w:val="24"/>
          <w:szCs w:val="24"/>
          <w:lang w:val="en-US" w:eastAsia="zh-CN"/>
        </w:rPr>
        <w:t>防化服</w:t>
      </w:r>
      <w:r>
        <w:rPr>
          <w:rFonts w:hint="default" w:ascii="Times New Roman" w:hAnsi="Times New Roman" w:cs="Times New Roman" w:eastAsiaTheme="minorEastAsia"/>
          <w:sz w:val="24"/>
          <w:szCs w:val="24"/>
        </w:rPr>
        <w:t>、佩戴</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停止生产后</w:t>
      </w:r>
      <w:r>
        <w:rPr>
          <w:rFonts w:hint="default" w:ascii="Times New Roman" w:hAnsi="Times New Roman" w:cs="Times New Roman" w:eastAsiaTheme="minorEastAsia"/>
          <w:sz w:val="24"/>
          <w:szCs w:val="24"/>
        </w:rPr>
        <w:t>关闭废气处理设施、修补泄漏管道，阻止有毒有害气体继续外泄。</w:t>
      </w:r>
    </w:p>
    <w:p w14:paraId="276157AE">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w:t>
      </w:r>
      <w:r>
        <w:rPr>
          <w:rFonts w:hint="eastAsia" w:ascii="Times New Roman" w:hAnsi="Times New Roman" w:cs="Times New Roman" w:eastAsiaTheme="minorEastAsia"/>
          <w:sz w:val="24"/>
          <w:szCs w:val="24"/>
          <w:lang w:eastAsia="zh-CN"/>
        </w:rPr>
        <w:t>应急救援指挥组</w:t>
      </w:r>
      <w:r>
        <w:rPr>
          <w:rFonts w:hint="default" w:ascii="Times New Roman" w:hAnsi="Times New Roman" w:cs="Times New Roman" w:eastAsiaTheme="minorEastAsia"/>
          <w:sz w:val="24"/>
          <w:szCs w:val="24"/>
        </w:rPr>
        <w:t>调查废气</w:t>
      </w:r>
      <w:r>
        <w:rPr>
          <w:rFonts w:hint="eastAsia" w:ascii="Times New Roman" w:hAnsi="Times New Roman" w:cs="Times New Roman" w:eastAsiaTheme="minorEastAsia"/>
          <w:sz w:val="24"/>
          <w:szCs w:val="24"/>
          <w:lang w:val="en-US" w:eastAsia="zh-CN"/>
        </w:rPr>
        <w:t>超标排放</w:t>
      </w:r>
      <w:r>
        <w:rPr>
          <w:rFonts w:hint="default" w:ascii="Times New Roman" w:hAnsi="Times New Roman" w:cs="Times New Roman" w:eastAsiaTheme="minorEastAsia"/>
          <w:sz w:val="24"/>
          <w:szCs w:val="24"/>
        </w:rPr>
        <w:t>的原因、已造成的污染范围、影响程度、影响后果等，并立即采取相应的对策措施，如</w:t>
      </w:r>
      <w:r>
        <w:rPr>
          <w:rFonts w:hint="eastAsia" w:ascii="Times New Roman" w:hAnsi="Times New Roman" w:cs="Times New Roman" w:eastAsiaTheme="minorEastAsia"/>
          <w:sz w:val="24"/>
          <w:szCs w:val="24"/>
          <w:lang w:val="en-US" w:eastAsia="zh-CN"/>
        </w:rPr>
        <w:t>停止生产</w:t>
      </w:r>
      <w:r>
        <w:rPr>
          <w:rFonts w:hint="default" w:ascii="Times New Roman" w:hAnsi="Times New Roman" w:cs="Times New Roman" w:eastAsiaTheme="minorEastAsia"/>
          <w:sz w:val="24"/>
          <w:szCs w:val="24"/>
        </w:rPr>
        <w:t>更换故障设备等。</w:t>
      </w:r>
    </w:p>
    <w:p w14:paraId="05F2C8A9">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14:paraId="07FBA2E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⑦故障排除后，应联系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对废气进行检测，废气排放达标后，恢复相关生产。</w:t>
      </w:r>
    </w:p>
    <w:p w14:paraId="33AA0153">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cs="Times New Roman" w:eastAsiaTheme="minorEastAsia"/>
          <w:color w:val="000000" w:themeColor="text1"/>
          <w:sz w:val="24"/>
          <w:szCs w:val="24"/>
          <w:lang w:val="en-US" w:eastAsia="zh-CN"/>
          <w14:textFill>
            <w14:solidFill>
              <w14:schemeClr w14:val="tx1"/>
            </w14:solidFill>
          </w14:textFill>
        </w:rPr>
        <w:t>⑧事故后向南通市海安生态环境局汇报废气处理设施的异常情况。</w:t>
      </w:r>
    </w:p>
    <w:p w14:paraId="265F70E6">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41F37C5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、防护服等。</w:t>
      </w:r>
    </w:p>
    <w:p w14:paraId="3B5295DE">
      <w:pPr>
        <w:pStyle w:val="3"/>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81" w:name="_Toc26102"/>
      <w:bookmarkStart w:id="182" w:name="_Toc3234"/>
      <w:bookmarkStart w:id="183" w:name="_Toc30305"/>
      <w:r>
        <w:rPr>
          <w:rFonts w:hint="default" w:ascii="Times New Roman" w:hAnsi="Times New Roman" w:eastAsia="宋体" w:cs="Times New Roman"/>
          <w:color w:val="000000" w:themeColor="text1"/>
          <w:sz w:val="24"/>
          <w:szCs w:val="24"/>
          <w14:textFill>
            <w14:solidFill>
              <w14:schemeClr w14:val="tx1"/>
            </w14:solidFill>
          </w14:textFill>
        </w:rPr>
        <w:t>4.4突发环境事件危害后果分析</w:t>
      </w:r>
      <w:bookmarkEnd w:id="181"/>
      <w:bookmarkEnd w:id="182"/>
      <w:bookmarkEnd w:id="183"/>
    </w:p>
    <w:p w14:paraId="1702301E">
      <w:pPr>
        <w:pStyle w:val="5"/>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bookmarkStart w:id="184" w:name="_Toc30977"/>
      <w:bookmarkStart w:id="185" w:name="_Toc31396"/>
      <w:bookmarkStart w:id="186" w:name="_Toc26602"/>
      <w:bookmarkStart w:id="187" w:name="_Toc5010"/>
      <w:r>
        <w:rPr>
          <w:rFonts w:hint="default" w:ascii="Times New Roman" w:hAnsi="Times New Roman" w:eastAsia="宋体" w:cs="Times New Roman"/>
          <w:color w:val="000000" w:themeColor="text1"/>
          <w14:textFill>
            <w14:solidFill>
              <w14:schemeClr w14:val="tx1"/>
            </w14:solidFill>
          </w14:textFill>
        </w:rPr>
        <w:t>4.4.1</w:t>
      </w:r>
      <w:bookmarkEnd w:id="184"/>
      <w:bookmarkEnd w:id="185"/>
      <w:r>
        <w:rPr>
          <w:rFonts w:hint="eastAsia" w:eastAsia="宋体" w:cs="Times New Roman"/>
          <w:color w:val="000000" w:themeColor="text1"/>
          <w:lang w:val="en-US" w:eastAsia="zh-CN"/>
          <w14:textFill>
            <w14:solidFill>
              <w14:schemeClr w14:val="tx1"/>
            </w14:solidFill>
          </w14:textFill>
        </w:rPr>
        <w:t>事件情景1</w:t>
      </w:r>
      <w:bookmarkEnd w:id="186"/>
    </w:p>
    <w:p w14:paraId="3AFC4DFA">
      <w:pPr>
        <w:adjustRightInd w:val="0"/>
        <w:snapToGrid w:val="0"/>
        <w:spacing w:line="500" w:lineRule="exact"/>
        <w:ind w:firstLine="482" w:firstLineChars="200"/>
        <w:jc w:val="center"/>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表4-</w:t>
      </w:r>
      <w:r>
        <w:rPr>
          <w:rFonts w:hint="eastAsia" w:eastAsia="宋体" w:cs="Times New Roman"/>
          <w:b/>
          <w:bCs/>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CO影响范围预测结果</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14:paraId="5B20C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5775E07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毒性终点浓度2</w:t>
            </w:r>
          </w:p>
        </w:tc>
        <w:tc>
          <w:tcPr>
            <w:tcW w:w="6390" w:type="dxa"/>
            <w:gridSpan w:val="4"/>
            <w:tcBorders>
              <w:tl2br w:val="nil"/>
              <w:tr2bl w:val="nil"/>
            </w:tcBorders>
            <w:vAlign w:val="center"/>
          </w:tcPr>
          <w:p w14:paraId="4E640BCB">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1.93</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14:paraId="49C46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791591AB">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6FC34726">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gridSpan w:val="2"/>
            <w:tcBorders>
              <w:tl2br w:val="nil"/>
              <w:tr2bl w:val="nil"/>
            </w:tcBorders>
            <w:vAlign w:val="center"/>
          </w:tcPr>
          <w:p w14:paraId="54EFC3EC">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19E96696">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15CDE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877178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w:t>
            </w:r>
          </w:p>
        </w:tc>
        <w:tc>
          <w:tcPr>
            <w:tcW w:w="2130" w:type="dxa"/>
            <w:tcBorders>
              <w:tl2br w:val="nil"/>
              <w:tr2bl w:val="nil"/>
            </w:tcBorders>
            <w:vAlign w:val="center"/>
          </w:tcPr>
          <w:p w14:paraId="425790F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86.76</w:t>
            </w:r>
          </w:p>
        </w:tc>
        <w:tc>
          <w:tcPr>
            <w:tcW w:w="2130" w:type="dxa"/>
            <w:gridSpan w:val="2"/>
            <w:tcBorders>
              <w:tl2br w:val="nil"/>
              <w:tr2bl w:val="nil"/>
            </w:tcBorders>
            <w:vAlign w:val="center"/>
          </w:tcPr>
          <w:p w14:paraId="0B82B95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300.0</w:t>
            </w:r>
          </w:p>
        </w:tc>
        <w:tc>
          <w:tcPr>
            <w:tcW w:w="2130" w:type="dxa"/>
            <w:tcBorders>
              <w:tl2br w:val="nil"/>
              <w:tr2bl w:val="nil"/>
            </w:tcBorders>
            <w:vAlign w:val="center"/>
          </w:tcPr>
          <w:p w14:paraId="294ECD0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31.88</w:t>
            </w:r>
          </w:p>
        </w:tc>
      </w:tr>
      <w:tr w14:paraId="1BB01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56AD92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25.0</w:t>
            </w:r>
          </w:p>
        </w:tc>
        <w:tc>
          <w:tcPr>
            <w:tcW w:w="2130" w:type="dxa"/>
            <w:tcBorders>
              <w:tl2br w:val="nil"/>
              <w:tr2bl w:val="nil"/>
            </w:tcBorders>
            <w:vAlign w:val="center"/>
          </w:tcPr>
          <w:p w14:paraId="65ADAC5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162.09</w:t>
            </w:r>
          </w:p>
        </w:tc>
        <w:tc>
          <w:tcPr>
            <w:tcW w:w="2130" w:type="dxa"/>
            <w:gridSpan w:val="2"/>
            <w:tcBorders>
              <w:tl2br w:val="nil"/>
              <w:tr2bl w:val="nil"/>
            </w:tcBorders>
            <w:vAlign w:val="center"/>
          </w:tcPr>
          <w:p w14:paraId="707C07C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325.0</w:t>
            </w:r>
          </w:p>
        </w:tc>
        <w:tc>
          <w:tcPr>
            <w:tcW w:w="2130" w:type="dxa"/>
            <w:tcBorders>
              <w:tl2br w:val="nil"/>
              <w:tr2bl w:val="nil"/>
            </w:tcBorders>
            <w:vAlign w:val="center"/>
          </w:tcPr>
          <w:p w14:paraId="42CEC0F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30.12</w:t>
            </w:r>
          </w:p>
        </w:tc>
      </w:tr>
      <w:tr w14:paraId="07EF47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F4D192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50.0</w:t>
            </w:r>
          </w:p>
        </w:tc>
        <w:tc>
          <w:tcPr>
            <w:tcW w:w="2130" w:type="dxa"/>
            <w:tcBorders>
              <w:tl2br w:val="nil"/>
              <w:tr2bl w:val="nil"/>
            </w:tcBorders>
            <w:vAlign w:val="center"/>
          </w:tcPr>
          <w:p w14:paraId="4B22139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154.50</w:t>
            </w:r>
          </w:p>
        </w:tc>
        <w:tc>
          <w:tcPr>
            <w:tcW w:w="2130" w:type="dxa"/>
            <w:gridSpan w:val="2"/>
            <w:tcBorders>
              <w:tl2br w:val="nil"/>
              <w:tr2bl w:val="nil"/>
            </w:tcBorders>
            <w:vAlign w:val="center"/>
          </w:tcPr>
          <w:p w14:paraId="13B46A7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350.0</w:t>
            </w:r>
          </w:p>
        </w:tc>
        <w:tc>
          <w:tcPr>
            <w:tcW w:w="2130" w:type="dxa"/>
            <w:tcBorders>
              <w:tl2br w:val="nil"/>
              <w:tr2bl w:val="nil"/>
            </w:tcBorders>
            <w:vAlign w:val="center"/>
          </w:tcPr>
          <w:p w14:paraId="6CF189D1">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28.57</w:t>
            </w:r>
          </w:p>
        </w:tc>
      </w:tr>
      <w:tr w14:paraId="5B9E5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C41402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75.0</w:t>
            </w:r>
          </w:p>
        </w:tc>
        <w:tc>
          <w:tcPr>
            <w:tcW w:w="2130" w:type="dxa"/>
            <w:tcBorders>
              <w:tl2br w:val="nil"/>
              <w:tr2bl w:val="nil"/>
            </w:tcBorders>
            <w:vAlign w:val="center"/>
          </w:tcPr>
          <w:p w14:paraId="0F41558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113.31</w:t>
            </w:r>
          </w:p>
        </w:tc>
        <w:tc>
          <w:tcPr>
            <w:tcW w:w="2130" w:type="dxa"/>
            <w:gridSpan w:val="2"/>
            <w:tcBorders>
              <w:tl2br w:val="nil"/>
              <w:tr2bl w:val="nil"/>
            </w:tcBorders>
            <w:vAlign w:val="center"/>
          </w:tcPr>
          <w:p w14:paraId="09FC071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375.0</w:t>
            </w:r>
          </w:p>
        </w:tc>
        <w:tc>
          <w:tcPr>
            <w:tcW w:w="2130" w:type="dxa"/>
            <w:tcBorders>
              <w:tl2br w:val="nil"/>
              <w:tr2bl w:val="nil"/>
            </w:tcBorders>
            <w:vAlign w:val="center"/>
          </w:tcPr>
          <w:p w14:paraId="7C32C92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27.21</w:t>
            </w:r>
          </w:p>
        </w:tc>
      </w:tr>
      <w:tr w14:paraId="5C14A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F0A79C1">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100.01</w:t>
            </w:r>
          </w:p>
        </w:tc>
        <w:tc>
          <w:tcPr>
            <w:tcW w:w="2130" w:type="dxa"/>
            <w:tcBorders>
              <w:tl2br w:val="nil"/>
              <w:tr2bl w:val="nil"/>
            </w:tcBorders>
            <w:vAlign w:val="center"/>
          </w:tcPr>
          <w:p w14:paraId="78BCF27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93.08</w:t>
            </w:r>
          </w:p>
        </w:tc>
        <w:tc>
          <w:tcPr>
            <w:tcW w:w="2130" w:type="dxa"/>
            <w:gridSpan w:val="2"/>
            <w:tcBorders>
              <w:tl2br w:val="nil"/>
              <w:tr2bl w:val="nil"/>
            </w:tcBorders>
            <w:vAlign w:val="center"/>
          </w:tcPr>
          <w:p w14:paraId="3C718AB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400.0</w:t>
            </w:r>
          </w:p>
        </w:tc>
        <w:tc>
          <w:tcPr>
            <w:tcW w:w="2130" w:type="dxa"/>
            <w:tcBorders>
              <w:tl2br w:val="nil"/>
              <w:tr2bl w:val="nil"/>
            </w:tcBorders>
            <w:vAlign w:val="center"/>
          </w:tcPr>
          <w:p w14:paraId="0FEB548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25.99</w:t>
            </w:r>
          </w:p>
        </w:tc>
      </w:tr>
      <w:tr w14:paraId="3714E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3BC2B5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109.0</w:t>
            </w:r>
          </w:p>
        </w:tc>
        <w:tc>
          <w:tcPr>
            <w:tcW w:w="2130" w:type="dxa"/>
            <w:tcBorders>
              <w:tl2br w:val="nil"/>
              <w:tr2bl w:val="nil"/>
            </w:tcBorders>
            <w:vAlign w:val="center"/>
          </w:tcPr>
          <w:p w14:paraId="4776D10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75.01</w:t>
            </w:r>
          </w:p>
        </w:tc>
        <w:tc>
          <w:tcPr>
            <w:tcW w:w="2130" w:type="dxa"/>
            <w:gridSpan w:val="2"/>
            <w:tcBorders>
              <w:tl2br w:val="nil"/>
              <w:tr2bl w:val="nil"/>
            </w:tcBorders>
            <w:vAlign w:val="center"/>
          </w:tcPr>
          <w:p w14:paraId="682D6213">
            <w:pPr>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425.0</w:t>
            </w:r>
          </w:p>
        </w:tc>
        <w:tc>
          <w:tcPr>
            <w:tcW w:w="2130" w:type="dxa"/>
            <w:tcBorders>
              <w:tl2br w:val="nil"/>
              <w:tr2bl w:val="nil"/>
            </w:tcBorders>
            <w:vAlign w:val="center"/>
          </w:tcPr>
          <w:p w14:paraId="2298DAF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24.90</w:t>
            </w:r>
          </w:p>
        </w:tc>
      </w:tr>
      <w:tr w14:paraId="1F085B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879422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125.0</w:t>
            </w:r>
          </w:p>
        </w:tc>
        <w:tc>
          <w:tcPr>
            <w:tcW w:w="2130" w:type="dxa"/>
            <w:tcBorders>
              <w:tl2br w:val="nil"/>
              <w:tr2bl w:val="nil"/>
            </w:tcBorders>
            <w:vAlign w:val="center"/>
          </w:tcPr>
          <w:p w14:paraId="2F46D69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61.40</w:t>
            </w:r>
          </w:p>
        </w:tc>
        <w:tc>
          <w:tcPr>
            <w:tcW w:w="2130" w:type="dxa"/>
            <w:gridSpan w:val="2"/>
            <w:tcBorders>
              <w:tl2br w:val="nil"/>
              <w:tr2bl w:val="nil"/>
            </w:tcBorders>
            <w:vAlign w:val="center"/>
          </w:tcPr>
          <w:p w14:paraId="674DF52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450.0</w:t>
            </w:r>
          </w:p>
        </w:tc>
        <w:tc>
          <w:tcPr>
            <w:tcW w:w="2130" w:type="dxa"/>
            <w:tcBorders>
              <w:tl2br w:val="nil"/>
              <w:tr2bl w:val="nil"/>
            </w:tcBorders>
            <w:vAlign w:val="center"/>
          </w:tcPr>
          <w:p w14:paraId="5BE81B5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24.35</w:t>
            </w:r>
          </w:p>
        </w:tc>
      </w:tr>
      <w:tr w14:paraId="2D877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1F1F8B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150.0</w:t>
            </w:r>
          </w:p>
        </w:tc>
        <w:tc>
          <w:tcPr>
            <w:tcW w:w="2130" w:type="dxa"/>
            <w:tcBorders>
              <w:tl2br w:val="nil"/>
              <w:tr2bl w:val="nil"/>
            </w:tcBorders>
            <w:vAlign w:val="center"/>
          </w:tcPr>
          <w:p w14:paraId="4ADF2A6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52.76</w:t>
            </w:r>
          </w:p>
        </w:tc>
        <w:tc>
          <w:tcPr>
            <w:tcW w:w="2130" w:type="dxa"/>
            <w:gridSpan w:val="2"/>
            <w:tcBorders>
              <w:tl2br w:val="nil"/>
              <w:tr2bl w:val="nil"/>
            </w:tcBorders>
            <w:vAlign w:val="center"/>
          </w:tcPr>
          <w:p w14:paraId="26BD264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475.0</w:t>
            </w:r>
          </w:p>
        </w:tc>
        <w:tc>
          <w:tcPr>
            <w:tcW w:w="2130" w:type="dxa"/>
            <w:tcBorders>
              <w:tl2br w:val="nil"/>
              <w:tr2bl w:val="nil"/>
            </w:tcBorders>
            <w:vAlign w:val="center"/>
          </w:tcPr>
          <w:p w14:paraId="4B090D6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23.91</w:t>
            </w:r>
          </w:p>
        </w:tc>
      </w:tr>
      <w:tr w14:paraId="09F365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4C64E88">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175.0</w:t>
            </w:r>
          </w:p>
        </w:tc>
        <w:tc>
          <w:tcPr>
            <w:tcW w:w="2130" w:type="dxa"/>
            <w:tcBorders>
              <w:tl2br w:val="nil"/>
              <w:tr2bl w:val="nil"/>
            </w:tcBorders>
            <w:vAlign w:val="center"/>
          </w:tcPr>
          <w:p w14:paraId="58A95F6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46.94</w:t>
            </w:r>
          </w:p>
        </w:tc>
        <w:tc>
          <w:tcPr>
            <w:tcW w:w="2130" w:type="dxa"/>
            <w:gridSpan w:val="2"/>
            <w:tcBorders>
              <w:tl2br w:val="nil"/>
              <w:tr2bl w:val="nil"/>
            </w:tcBorders>
            <w:vAlign w:val="center"/>
          </w:tcPr>
          <w:p w14:paraId="0039DD9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500.0</w:t>
            </w:r>
          </w:p>
        </w:tc>
        <w:tc>
          <w:tcPr>
            <w:tcW w:w="2130" w:type="dxa"/>
            <w:tcBorders>
              <w:tl2br w:val="nil"/>
              <w:tr2bl w:val="nil"/>
            </w:tcBorders>
            <w:vAlign w:val="center"/>
          </w:tcPr>
          <w:p w14:paraId="0448140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23.49</w:t>
            </w:r>
          </w:p>
        </w:tc>
      </w:tr>
      <w:tr w14:paraId="66712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CB91AA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200.0</w:t>
            </w:r>
          </w:p>
        </w:tc>
        <w:tc>
          <w:tcPr>
            <w:tcW w:w="2130" w:type="dxa"/>
            <w:tcBorders>
              <w:tl2br w:val="nil"/>
              <w:tr2bl w:val="nil"/>
            </w:tcBorders>
            <w:vAlign w:val="center"/>
          </w:tcPr>
          <w:p w14:paraId="4AC7BE3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42.60</w:t>
            </w:r>
          </w:p>
        </w:tc>
        <w:tc>
          <w:tcPr>
            <w:tcW w:w="2130" w:type="dxa"/>
            <w:gridSpan w:val="2"/>
            <w:tcBorders>
              <w:tl2br w:val="nil"/>
              <w:tr2bl w:val="nil"/>
            </w:tcBorders>
            <w:vAlign w:val="center"/>
          </w:tcPr>
          <w:p w14:paraId="7C55B22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525.0</w:t>
            </w:r>
          </w:p>
        </w:tc>
        <w:tc>
          <w:tcPr>
            <w:tcW w:w="2130" w:type="dxa"/>
            <w:tcBorders>
              <w:tl2br w:val="nil"/>
              <w:tr2bl w:val="nil"/>
            </w:tcBorders>
            <w:vAlign w:val="center"/>
          </w:tcPr>
          <w:p w14:paraId="08D60D2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23.11</w:t>
            </w:r>
          </w:p>
        </w:tc>
      </w:tr>
      <w:tr w14:paraId="4142F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0AF803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225.0</w:t>
            </w:r>
          </w:p>
        </w:tc>
        <w:tc>
          <w:tcPr>
            <w:tcW w:w="2130" w:type="dxa"/>
            <w:tcBorders>
              <w:tl2br w:val="nil"/>
              <w:tr2bl w:val="nil"/>
            </w:tcBorders>
            <w:vAlign w:val="center"/>
          </w:tcPr>
          <w:p w14:paraId="1FDD703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39.15</w:t>
            </w:r>
          </w:p>
        </w:tc>
        <w:tc>
          <w:tcPr>
            <w:tcW w:w="2130" w:type="dxa"/>
            <w:gridSpan w:val="2"/>
            <w:tcBorders>
              <w:tl2br w:val="nil"/>
              <w:tr2bl w:val="nil"/>
            </w:tcBorders>
            <w:vAlign w:val="center"/>
          </w:tcPr>
          <w:p w14:paraId="39BF7B3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71F61CC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5511D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219F6D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250.0</w:t>
            </w:r>
          </w:p>
        </w:tc>
        <w:tc>
          <w:tcPr>
            <w:tcW w:w="2130" w:type="dxa"/>
            <w:tcBorders>
              <w:tl2br w:val="nil"/>
              <w:tr2bl w:val="nil"/>
            </w:tcBorders>
            <w:vAlign w:val="center"/>
          </w:tcPr>
          <w:p w14:paraId="670F64E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36.31</w:t>
            </w:r>
          </w:p>
        </w:tc>
        <w:tc>
          <w:tcPr>
            <w:tcW w:w="2130" w:type="dxa"/>
            <w:gridSpan w:val="2"/>
            <w:tcBorders>
              <w:tl2br w:val="nil"/>
              <w:tr2bl w:val="nil"/>
            </w:tcBorders>
            <w:vAlign w:val="center"/>
          </w:tcPr>
          <w:p w14:paraId="6517DA2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004AA82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299E6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661108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275.0</w:t>
            </w:r>
          </w:p>
        </w:tc>
        <w:tc>
          <w:tcPr>
            <w:tcW w:w="2130" w:type="dxa"/>
            <w:tcBorders>
              <w:tl2br w:val="nil"/>
              <w:tr2bl w:val="nil"/>
            </w:tcBorders>
            <w:vAlign w:val="center"/>
          </w:tcPr>
          <w:p w14:paraId="4D0217D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33.92</w:t>
            </w:r>
          </w:p>
        </w:tc>
        <w:tc>
          <w:tcPr>
            <w:tcW w:w="2130" w:type="dxa"/>
            <w:gridSpan w:val="2"/>
            <w:tcBorders>
              <w:tl2br w:val="nil"/>
              <w:tr2bl w:val="nil"/>
            </w:tcBorders>
            <w:vAlign w:val="center"/>
          </w:tcPr>
          <w:p w14:paraId="7ACD2FF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12A350AB">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6EFBED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225F2760">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毒</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性终点浓度1</w:t>
            </w:r>
          </w:p>
        </w:tc>
        <w:tc>
          <w:tcPr>
            <w:tcW w:w="6390" w:type="dxa"/>
            <w:gridSpan w:val="4"/>
            <w:tcBorders>
              <w:tl2br w:val="nil"/>
              <w:tr2bl w:val="nil"/>
            </w:tcBorders>
            <w:vAlign w:val="center"/>
          </w:tcPr>
          <w:p w14:paraId="07F8495B">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1.90</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r>
      <w:tr w14:paraId="66A345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74ECD901">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1D4C8010">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15" w:type="dxa"/>
            <w:tcBorders>
              <w:tl2br w:val="nil"/>
              <w:tr2bl w:val="nil"/>
            </w:tcBorders>
            <w:vAlign w:val="center"/>
          </w:tcPr>
          <w:p w14:paraId="5FB895B4">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45" w:type="dxa"/>
            <w:gridSpan w:val="2"/>
            <w:tcBorders>
              <w:tl2br w:val="nil"/>
              <w:tr2bl w:val="nil"/>
            </w:tcBorders>
            <w:vAlign w:val="center"/>
          </w:tcPr>
          <w:p w14:paraId="73608DCF">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27078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899BA9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14:paraId="235DDC5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22.74</w:t>
            </w:r>
          </w:p>
        </w:tc>
        <w:tc>
          <w:tcPr>
            <w:tcW w:w="2115" w:type="dxa"/>
            <w:tcBorders>
              <w:tl2br w:val="nil"/>
              <w:tr2bl w:val="nil"/>
            </w:tcBorders>
            <w:vAlign w:val="center"/>
          </w:tcPr>
          <w:p w14:paraId="2DC6438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45" w:type="dxa"/>
            <w:gridSpan w:val="2"/>
            <w:tcBorders>
              <w:tl2br w:val="nil"/>
              <w:tr2bl w:val="nil"/>
            </w:tcBorders>
            <w:vAlign w:val="center"/>
          </w:tcPr>
          <w:p w14:paraId="3EFD244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21.47</w:t>
            </w:r>
          </w:p>
        </w:tc>
      </w:tr>
      <w:tr w14:paraId="52DCE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01E7FE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w:t>
            </w:r>
          </w:p>
        </w:tc>
        <w:tc>
          <w:tcPr>
            <w:tcW w:w="2130" w:type="dxa"/>
            <w:tcBorders>
              <w:tl2br w:val="nil"/>
              <w:tr2bl w:val="nil"/>
            </w:tcBorders>
            <w:vAlign w:val="center"/>
          </w:tcPr>
          <w:p w14:paraId="13AF8DC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22.40</w:t>
            </w:r>
          </w:p>
        </w:tc>
        <w:tc>
          <w:tcPr>
            <w:tcW w:w="2115" w:type="dxa"/>
            <w:tcBorders>
              <w:tl2br w:val="nil"/>
              <w:tr2bl w:val="nil"/>
            </w:tcBorders>
            <w:vAlign w:val="center"/>
          </w:tcPr>
          <w:p w14:paraId="1A7EE3B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125</w:t>
            </w:r>
          </w:p>
        </w:tc>
        <w:tc>
          <w:tcPr>
            <w:tcW w:w="2145" w:type="dxa"/>
            <w:gridSpan w:val="2"/>
            <w:tcBorders>
              <w:tl2br w:val="nil"/>
              <w:tr2bl w:val="nil"/>
            </w:tcBorders>
            <w:vAlign w:val="center"/>
          </w:tcPr>
          <w:p w14:paraId="5D4B220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21.18</w:t>
            </w:r>
          </w:p>
        </w:tc>
      </w:tr>
      <w:tr w14:paraId="2D74C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64BA776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14:paraId="07267B1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22.07</w:t>
            </w:r>
          </w:p>
        </w:tc>
        <w:tc>
          <w:tcPr>
            <w:tcW w:w="2115" w:type="dxa"/>
            <w:tcBorders>
              <w:tl2br w:val="nil"/>
              <w:tr2bl w:val="nil"/>
            </w:tcBorders>
            <w:vAlign w:val="center"/>
          </w:tcPr>
          <w:p w14:paraId="2620FFB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45" w:type="dxa"/>
            <w:gridSpan w:val="2"/>
            <w:tcBorders>
              <w:tl2br w:val="nil"/>
              <w:tr2bl w:val="nil"/>
            </w:tcBorders>
            <w:vAlign w:val="center"/>
          </w:tcPr>
          <w:p w14:paraId="04B9745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20.91</w:t>
            </w:r>
          </w:p>
        </w:tc>
      </w:tr>
      <w:tr w14:paraId="1A3E7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bottom w:val="single" w:color="auto" w:sz="12" w:space="0"/>
            </w:tcBorders>
            <w:vAlign w:val="center"/>
          </w:tcPr>
          <w:p w14:paraId="5C70177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75</w:t>
            </w:r>
          </w:p>
        </w:tc>
        <w:tc>
          <w:tcPr>
            <w:tcW w:w="2130" w:type="dxa"/>
            <w:tcBorders>
              <w:bottom w:val="single" w:color="auto" w:sz="12" w:space="0"/>
            </w:tcBorders>
            <w:vAlign w:val="center"/>
          </w:tcPr>
          <w:p w14:paraId="6618689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ascii="宋体" w:hAnsi="宋体" w:eastAsia="宋体"/>
                <w:b w:val="0"/>
                <w:sz w:val="23"/>
                <w:szCs w:val="23"/>
              </w:rPr>
              <w:t>21.76</w:t>
            </w:r>
          </w:p>
        </w:tc>
        <w:tc>
          <w:tcPr>
            <w:tcW w:w="2115" w:type="dxa"/>
            <w:tcBorders>
              <w:bottom w:val="single" w:color="auto" w:sz="12" w:space="0"/>
            </w:tcBorders>
            <w:vAlign w:val="center"/>
          </w:tcPr>
          <w:p w14:paraId="4473CED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bottom w:val="single" w:color="auto" w:sz="12" w:space="0"/>
            </w:tcBorders>
            <w:vAlign w:val="center"/>
          </w:tcPr>
          <w:p w14:paraId="5A9832F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14:paraId="151DC9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由预测结果可知，发生火灾时CO扩散的最大影响</w:t>
      </w:r>
      <w:r>
        <w:rPr>
          <w:rFonts w:hint="default" w:ascii="Times New Roman" w:hAnsi="Times New Roman" w:eastAsia="宋体" w:cs="Times New Roman"/>
          <w:lang w:val="en-US" w:eastAsia="zh-CN"/>
        </w:rPr>
        <w:t>范围为周边</w:t>
      </w:r>
      <w:r>
        <w:rPr>
          <w:rFonts w:hint="eastAsia" w:eastAsia="宋体" w:cs="Times New Roman"/>
          <w:lang w:val="en-US" w:eastAsia="zh-CN"/>
        </w:rPr>
        <w:t>25</w:t>
      </w:r>
      <w:r>
        <w:rPr>
          <w:rFonts w:hint="default" w:ascii="Times New Roman" w:hAnsi="Times New Roman" w:eastAsia="宋体" w:cs="Times New Roman"/>
          <w:lang w:val="en-US" w:eastAsia="zh-CN"/>
        </w:rPr>
        <w:t>米内。</w:t>
      </w:r>
    </w:p>
    <w:p w14:paraId="40A04A93">
      <w:pPr>
        <w:adjustRightInd w:val="0"/>
        <w:snapToGrid w:val="0"/>
        <w:spacing w:line="500" w:lineRule="exact"/>
        <w:ind w:firstLine="482" w:firstLineChars="200"/>
        <w:jc w:val="center"/>
        <w:rPr>
          <w:rFonts w:hint="default" w:ascii="Times New Roman" w:hAnsi="Times New Roman" w:eastAsia="宋体" w:cs="Times New Roman"/>
          <w:b/>
          <w:bCs/>
          <w:color w:val="000000" w:themeColor="text1"/>
          <w:lang w:val="en-US" w:eastAsia="zh-CN"/>
          <w14:textFill>
            <w14:solidFill>
              <w14:schemeClr w14:val="tx1"/>
            </w14:solidFill>
          </w14:textFill>
        </w:rPr>
      </w:pPr>
      <w:bookmarkStart w:id="188" w:name="_Toc11612"/>
      <w:r>
        <w:rPr>
          <w:rFonts w:hint="default" w:ascii="Times New Roman" w:hAnsi="Times New Roman" w:eastAsia="宋体" w:cs="Times New Roman"/>
          <w:b/>
          <w:bCs/>
          <w:color w:val="000000" w:themeColor="text1"/>
          <w:lang w:val="en-US" w:eastAsia="zh-CN"/>
          <w14:textFill>
            <w14:solidFill>
              <w14:schemeClr w14:val="tx1"/>
            </w14:solidFill>
          </w14:textFill>
        </w:rPr>
        <w:t>表4-</w:t>
      </w:r>
      <w:r>
        <w:rPr>
          <w:rFonts w:hint="eastAsia" w:eastAsia="宋体" w:cs="Times New Roman"/>
          <w:b/>
          <w:bCs/>
          <w:color w:val="000000" w:themeColor="text1"/>
          <w:lang w:val="en-US" w:eastAsia="zh-CN"/>
          <w14:textFill>
            <w14:solidFill>
              <w14:schemeClr w14:val="tx1"/>
            </w14:solidFill>
          </w14:textFill>
        </w:rPr>
        <w:t>7</w:t>
      </w:r>
      <w:r>
        <w:rPr>
          <w:rFonts w:hint="eastAsia" w:ascii="Times New Roman" w:hAnsi="Times New Roman" w:eastAsia="宋体" w:cs="Times New Roman"/>
          <w:b/>
          <w:bCs/>
          <w:color w:val="000000" w:themeColor="text1"/>
          <w:highlight w:val="none"/>
          <w:lang w:val="en-US" w:eastAsia="zh-CN"/>
          <w14:textFill>
            <w14:solidFill>
              <w14:schemeClr w14:val="tx1"/>
            </w14:solidFill>
          </w14:textFill>
        </w:rPr>
        <w:t>氰化物</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影响范围预测结果</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14:paraId="51F0F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355498DD">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6AB9A158">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tcBorders>
              <w:tl2br w:val="nil"/>
              <w:tr2bl w:val="nil"/>
            </w:tcBorders>
            <w:vAlign w:val="center"/>
          </w:tcPr>
          <w:p w14:paraId="67A86BC8">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514653D1">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40F5D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03F5CE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w:t>
            </w:r>
          </w:p>
        </w:tc>
        <w:tc>
          <w:tcPr>
            <w:tcW w:w="2130" w:type="dxa"/>
            <w:tcBorders>
              <w:tl2br w:val="nil"/>
              <w:tr2bl w:val="nil"/>
            </w:tcBorders>
            <w:vAlign w:val="center"/>
          </w:tcPr>
          <w:p w14:paraId="4CE021D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33.4</w:t>
            </w:r>
          </w:p>
        </w:tc>
        <w:tc>
          <w:tcPr>
            <w:tcW w:w="2130" w:type="dxa"/>
            <w:tcBorders>
              <w:tl2br w:val="nil"/>
              <w:tr2bl w:val="nil"/>
            </w:tcBorders>
            <w:vAlign w:val="center"/>
          </w:tcPr>
          <w:p w14:paraId="06FE2B3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900</w:t>
            </w:r>
          </w:p>
        </w:tc>
        <w:tc>
          <w:tcPr>
            <w:tcW w:w="2130" w:type="dxa"/>
            <w:tcBorders>
              <w:tl2br w:val="nil"/>
              <w:tr2bl w:val="nil"/>
            </w:tcBorders>
            <w:vAlign w:val="center"/>
          </w:tcPr>
          <w:p w14:paraId="6A1C9F6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13.7</w:t>
            </w:r>
          </w:p>
        </w:tc>
      </w:tr>
      <w:tr w14:paraId="7F954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033AC7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w:t>
            </w:r>
          </w:p>
        </w:tc>
        <w:tc>
          <w:tcPr>
            <w:tcW w:w="2130" w:type="dxa"/>
            <w:tcBorders>
              <w:tl2br w:val="nil"/>
              <w:tr2bl w:val="nil"/>
            </w:tcBorders>
            <w:vAlign w:val="center"/>
          </w:tcPr>
          <w:p w14:paraId="5C3BD7F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57.3</w:t>
            </w:r>
          </w:p>
        </w:tc>
        <w:tc>
          <w:tcPr>
            <w:tcW w:w="2130" w:type="dxa"/>
            <w:tcBorders>
              <w:tl2br w:val="nil"/>
              <w:tr2bl w:val="nil"/>
            </w:tcBorders>
            <w:vAlign w:val="center"/>
          </w:tcPr>
          <w:p w14:paraId="49EEDA1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1000</w:t>
            </w:r>
          </w:p>
        </w:tc>
        <w:tc>
          <w:tcPr>
            <w:tcW w:w="2130" w:type="dxa"/>
            <w:tcBorders>
              <w:tl2br w:val="nil"/>
              <w:tr2bl w:val="nil"/>
            </w:tcBorders>
            <w:vAlign w:val="center"/>
          </w:tcPr>
          <w:p w14:paraId="2C4823E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13.2</w:t>
            </w:r>
          </w:p>
        </w:tc>
      </w:tr>
      <w:tr w14:paraId="1C6D5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2E052A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100</w:t>
            </w:r>
          </w:p>
        </w:tc>
        <w:tc>
          <w:tcPr>
            <w:tcW w:w="2130" w:type="dxa"/>
            <w:tcBorders>
              <w:tl2br w:val="nil"/>
              <w:tr2bl w:val="nil"/>
            </w:tcBorders>
            <w:vAlign w:val="center"/>
          </w:tcPr>
          <w:p w14:paraId="57B5202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52.0</w:t>
            </w:r>
          </w:p>
        </w:tc>
        <w:tc>
          <w:tcPr>
            <w:tcW w:w="2130" w:type="dxa"/>
            <w:tcBorders>
              <w:tl2br w:val="nil"/>
              <w:tr2bl w:val="nil"/>
            </w:tcBorders>
            <w:vAlign w:val="center"/>
          </w:tcPr>
          <w:p w14:paraId="29EEEFC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1100</w:t>
            </w:r>
          </w:p>
        </w:tc>
        <w:tc>
          <w:tcPr>
            <w:tcW w:w="2130" w:type="dxa"/>
            <w:tcBorders>
              <w:tl2br w:val="nil"/>
              <w:tr2bl w:val="nil"/>
            </w:tcBorders>
            <w:vAlign w:val="center"/>
          </w:tcPr>
          <w:p w14:paraId="0472FA5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12.6</w:t>
            </w:r>
          </w:p>
        </w:tc>
      </w:tr>
      <w:tr w14:paraId="7D092D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520C97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14:paraId="783D197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37.7</w:t>
            </w:r>
          </w:p>
        </w:tc>
        <w:tc>
          <w:tcPr>
            <w:tcW w:w="2130" w:type="dxa"/>
            <w:tcBorders>
              <w:tl2br w:val="nil"/>
              <w:tr2bl w:val="nil"/>
            </w:tcBorders>
            <w:vAlign w:val="center"/>
          </w:tcPr>
          <w:p w14:paraId="23CCE33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1200</w:t>
            </w:r>
          </w:p>
        </w:tc>
        <w:tc>
          <w:tcPr>
            <w:tcW w:w="2130" w:type="dxa"/>
            <w:tcBorders>
              <w:tl2br w:val="nil"/>
              <w:tr2bl w:val="nil"/>
            </w:tcBorders>
            <w:vAlign w:val="center"/>
          </w:tcPr>
          <w:p w14:paraId="07535185">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12.2</w:t>
            </w:r>
          </w:p>
        </w:tc>
      </w:tr>
      <w:tr w14:paraId="40CD9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7629B8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200</w:t>
            </w:r>
          </w:p>
        </w:tc>
        <w:tc>
          <w:tcPr>
            <w:tcW w:w="2130" w:type="dxa"/>
            <w:tcBorders>
              <w:tl2br w:val="nil"/>
              <w:tr2bl w:val="nil"/>
            </w:tcBorders>
            <w:vAlign w:val="center"/>
          </w:tcPr>
          <w:p w14:paraId="7B1E1A0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30.3</w:t>
            </w:r>
          </w:p>
        </w:tc>
        <w:tc>
          <w:tcPr>
            <w:tcW w:w="2130" w:type="dxa"/>
            <w:tcBorders>
              <w:tl2br w:val="nil"/>
              <w:tr2bl w:val="nil"/>
            </w:tcBorders>
            <w:vAlign w:val="center"/>
          </w:tcPr>
          <w:p w14:paraId="37C6A69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1300</w:t>
            </w:r>
          </w:p>
        </w:tc>
        <w:tc>
          <w:tcPr>
            <w:tcW w:w="2130" w:type="dxa"/>
            <w:tcBorders>
              <w:tl2br w:val="nil"/>
              <w:tr2bl w:val="nil"/>
            </w:tcBorders>
            <w:vAlign w:val="center"/>
          </w:tcPr>
          <w:p w14:paraId="2F2720F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11.7</w:t>
            </w:r>
          </w:p>
        </w:tc>
      </w:tr>
      <w:tr w14:paraId="4C7B55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DC3FC7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250</w:t>
            </w:r>
          </w:p>
        </w:tc>
        <w:tc>
          <w:tcPr>
            <w:tcW w:w="2130" w:type="dxa"/>
            <w:tcBorders>
              <w:tl2br w:val="nil"/>
              <w:tr2bl w:val="nil"/>
            </w:tcBorders>
            <w:vAlign w:val="center"/>
          </w:tcPr>
          <w:p w14:paraId="0CE3BFC6">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25.9</w:t>
            </w:r>
          </w:p>
        </w:tc>
        <w:tc>
          <w:tcPr>
            <w:tcW w:w="2130" w:type="dxa"/>
            <w:tcBorders>
              <w:tl2br w:val="nil"/>
              <w:tr2bl w:val="nil"/>
            </w:tcBorders>
            <w:vAlign w:val="center"/>
          </w:tcPr>
          <w:p w14:paraId="797E9FC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1400</w:t>
            </w:r>
          </w:p>
        </w:tc>
        <w:tc>
          <w:tcPr>
            <w:tcW w:w="2130" w:type="dxa"/>
            <w:tcBorders>
              <w:tl2br w:val="nil"/>
              <w:tr2bl w:val="nil"/>
            </w:tcBorders>
            <w:vAlign w:val="center"/>
          </w:tcPr>
          <w:p w14:paraId="21294F8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11.3</w:t>
            </w:r>
          </w:p>
        </w:tc>
      </w:tr>
      <w:tr w14:paraId="4ACA2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CF7025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300</w:t>
            </w:r>
          </w:p>
        </w:tc>
        <w:tc>
          <w:tcPr>
            <w:tcW w:w="2130" w:type="dxa"/>
            <w:tcBorders>
              <w:tl2br w:val="nil"/>
              <w:tr2bl w:val="nil"/>
            </w:tcBorders>
            <w:vAlign w:val="center"/>
          </w:tcPr>
          <w:p w14:paraId="0775D44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23.0</w:t>
            </w:r>
          </w:p>
        </w:tc>
        <w:tc>
          <w:tcPr>
            <w:tcW w:w="2130" w:type="dxa"/>
            <w:tcBorders>
              <w:tl2br w:val="nil"/>
              <w:tr2bl w:val="nil"/>
            </w:tcBorders>
            <w:vAlign w:val="center"/>
          </w:tcPr>
          <w:p w14:paraId="2B15DF79">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502B1C73">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22C4D0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C1AE9F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400</w:t>
            </w:r>
          </w:p>
        </w:tc>
        <w:tc>
          <w:tcPr>
            <w:tcW w:w="2130" w:type="dxa"/>
            <w:tcBorders>
              <w:tl2br w:val="nil"/>
              <w:tr2bl w:val="nil"/>
            </w:tcBorders>
            <w:vAlign w:val="center"/>
          </w:tcPr>
          <w:p w14:paraId="09FB8F9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18.8</w:t>
            </w:r>
          </w:p>
        </w:tc>
        <w:tc>
          <w:tcPr>
            <w:tcW w:w="2130" w:type="dxa"/>
            <w:tcBorders>
              <w:tl2br w:val="nil"/>
              <w:tr2bl w:val="nil"/>
            </w:tcBorders>
            <w:vAlign w:val="center"/>
          </w:tcPr>
          <w:p w14:paraId="27E2EDCA">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78C06294">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1737F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2657A4E0">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500</w:t>
            </w:r>
          </w:p>
        </w:tc>
        <w:tc>
          <w:tcPr>
            <w:tcW w:w="2130" w:type="dxa"/>
            <w:tcBorders>
              <w:tl2br w:val="nil"/>
              <w:tr2bl w:val="nil"/>
            </w:tcBorders>
            <w:vAlign w:val="center"/>
          </w:tcPr>
          <w:p w14:paraId="3DE198D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16.7</w:t>
            </w:r>
          </w:p>
        </w:tc>
        <w:tc>
          <w:tcPr>
            <w:tcW w:w="2130" w:type="dxa"/>
            <w:tcBorders>
              <w:tl2br w:val="nil"/>
              <w:tr2bl w:val="nil"/>
            </w:tcBorders>
            <w:vAlign w:val="center"/>
          </w:tcPr>
          <w:p w14:paraId="366FE26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222789AE">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170249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636B68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600</w:t>
            </w:r>
          </w:p>
        </w:tc>
        <w:tc>
          <w:tcPr>
            <w:tcW w:w="2130" w:type="dxa"/>
            <w:tcBorders>
              <w:tl2br w:val="nil"/>
              <w:tr2bl w:val="nil"/>
            </w:tcBorders>
            <w:vAlign w:val="center"/>
          </w:tcPr>
          <w:p w14:paraId="231CA81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15.8</w:t>
            </w:r>
          </w:p>
        </w:tc>
        <w:tc>
          <w:tcPr>
            <w:tcW w:w="2130" w:type="dxa"/>
            <w:tcBorders>
              <w:tl2br w:val="nil"/>
              <w:tr2bl w:val="nil"/>
            </w:tcBorders>
            <w:vAlign w:val="center"/>
          </w:tcPr>
          <w:p w14:paraId="2EE1BDE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16719BE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34806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9290DE9">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700</w:t>
            </w:r>
          </w:p>
        </w:tc>
        <w:tc>
          <w:tcPr>
            <w:tcW w:w="2130" w:type="dxa"/>
            <w:tcBorders>
              <w:tl2br w:val="nil"/>
              <w:tr2bl w:val="nil"/>
            </w:tcBorders>
            <w:vAlign w:val="center"/>
          </w:tcPr>
          <w:p w14:paraId="02904D7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15.0</w:t>
            </w:r>
          </w:p>
        </w:tc>
        <w:tc>
          <w:tcPr>
            <w:tcW w:w="2130" w:type="dxa"/>
            <w:tcBorders>
              <w:tl2br w:val="nil"/>
              <w:tr2bl w:val="nil"/>
            </w:tcBorders>
            <w:vAlign w:val="center"/>
          </w:tcPr>
          <w:p w14:paraId="5F989C69">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1EE5DF02">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4EDFD6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3E34C99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800</w:t>
            </w:r>
          </w:p>
        </w:tc>
        <w:tc>
          <w:tcPr>
            <w:tcW w:w="2130" w:type="dxa"/>
            <w:tcBorders>
              <w:tl2br w:val="nil"/>
              <w:tr2bl w:val="nil"/>
            </w:tcBorders>
            <w:vAlign w:val="center"/>
          </w:tcPr>
          <w:p w14:paraId="5CE9ACA4">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14.3</w:t>
            </w:r>
          </w:p>
        </w:tc>
        <w:tc>
          <w:tcPr>
            <w:tcW w:w="2130" w:type="dxa"/>
            <w:tcBorders>
              <w:tl2br w:val="nil"/>
              <w:tr2bl w:val="nil"/>
            </w:tcBorders>
            <w:vAlign w:val="center"/>
          </w:tcPr>
          <w:p w14:paraId="2FC99D4B">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7A3C238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14:paraId="5E14436A">
      <w:pPr>
        <w:pStyle w:val="5"/>
        <w:adjustRightInd w:val="0"/>
        <w:snapToGrid w:val="0"/>
        <w:spacing w:line="500" w:lineRule="exact"/>
        <w:jc w:val="left"/>
        <w:rPr>
          <w:rFonts w:hint="default" w:eastAsia="宋体" w:cs="Times New Roman"/>
          <w:color w:val="000000" w:themeColor="text1"/>
          <w:lang w:val="en-US" w:eastAsia="zh-CN"/>
          <w14:textFill>
            <w14:solidFill>
              <w14:schemeClr w14:val="tx1"/>
            </w14:solidFill>
          </w14:textFill>
        </w:rPr>
      </w:pPr>
      <w:bookmarkStart w:id="189" w:name="_Toc6104"/>
      <w:r>
        <w:rPr>
          <w:rFonts w:hint="default" w:ascii="Times New Roman" w:hAnsi="Times New Roman" w:eastAsia="宋体" w:cs="Times New Roman"/>
          <w:color w:val="000000" w:themeColor="text1"/>
          <w14:textFill>
            <w14:solidFill>
              <w14:schemeClr w14:val="tx1"/>
            </w14:solidFill>
          </w14:textFill>
        </w:rPr>
        <w:t>4.4.</w:t>
      </w:r>
      <w:r>
        <w:rPr>
          <w:rFonts w:hint="eastAsia" w:eastAsia="宋体" w:cs="Times New Roman"/>
          <w:color w:val="000000" w:themeColor="text1"/>
          <w:lang w:val="en-US" w:eastAsia="zh-CN"/>
          <w14:textFill>
            <w14:solidFill>
              <w14:schemeClr w14:val="tx1"/>
            </w14:solidFill>
          </w14:textFill>
        </w:rPr>
        <w:t>2</w:t>
      </w:r>
      <w:bookmarkEnd w:id="187"/>
      <w:bookmarkEnd w:id="188"/>
      <w:r>
        <w:rPr>
          <w:rFonts w:hint="eastAsia" w:eastAsia="宋体" w:cs="Times New Roman"/>
          <w:color w:val="000000" w:themeColor="text1"/>
          <w:lang w:val="en-US" w:eastAsia="zh-CN"/>
          <w14:textFill>
            <w14:solidFill>
              <w14:schemeClr w14:val="tx1"/>
            </w14:solidFill>
          </w14:textFill>
        </w:rPr>
        <w:t>事件情景3、6</w:t>
      </w:r>
      <w:bookmarkEnd w:id="189"/>
    </w:p>
    <w:p w14:paraId="6B0194D1">
      <w:pPr>
        <w:pStyle w:val="6"/>
        <w:adjustRightInd w:val="0"/>
        <w:snapToGrid w:val="0"/>
        <w:spacing w:before="0" w:after="0" w:line="500" w:lineRule="exact"/>
        <w:jc w:val="left"/>
        <w:outlineLvl w:val="3"/>
        <w:rPr>
          <w:rFonts w:hint="default" w:ascii="Times New Roman" w:hAnsi="Times New Roman" w:eastAsia="宋体" w:cs="Times New Roman"/>
          <w:color w:val="000000" w:themeColor="text1"/>
          <w:sz w:val="24"/>
          <w:szCs w:val="32"/>
          <w:lang w:val="en-US"/>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4.4.</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.1水性漆泄漏</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事</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件</w:t>
      </w:r>
    </w:p>
    <w:p w14:paraId="6CE63FD2">
      <w:pPr>
        <w:adjustRightInd w:val="0"/>
        <w:snapToGrid w:val="0"/>
        <w:spacing w:line="500" w:lineRule="exact"/>
        <w:ind w:firstLine="480" w:firstLineChars="200"/>
        <w:jc w:val="both"/>
        <w:rPr>
          <w:rFonts w:hint="eastAsia" w:ascii="Times New Roman" w:hAnsi="Times New Roman" w:eastAsia="宋体" w:cs="Times New Roman"/>
          <w:lang w:eastAsia="zh-CN"/>
        </w:rPr>
      </w:pPr>
      <w:bookmarkStart w:id="190" w:name="_Toc1731"/>
      <w:r>
        <w:rPr>
          <w:rFonts w:hint="eastAsia" w:eastAsia="宋体" w:cs="Times New Roman"/>
          <w:bCs/>
          <w:lang w:val="en-US" w:eastAsia="zh-CN"/>
        </w:rPr>
        <w:t>水性漆</w:t>
      </w:r>
      <w:r>
        <w:rPr>
          <w:rFonts w:hint="default" w:ascii="Times New Roman" w:hAnsi="Times New Roman" w:eastAsia="宋体" w:cs="Times New Roman"/>
          <w:bCs/>
        </w:rPr>
        <w:t>泄漏为液体泄漏，液体泄漏按《建设项目环境风险评价技术导则》（HJ169-2018）附录F.1.1公式计算：</w:t>
      </w:r>
    </w:p>
    <w:p w14:paraId="7E4C082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式中：</w:t>
      </w:r>
    </w:p>
    <w:p w14:paraId="53B5D7E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Q</w:t>
      </w:r>
      <w:r>
        <w:rPr>
          <w:rFonts w:hint="default" w:ascii="Times New Roman" w:hAnsi="Times New Roman" w:eastAsia="宋体" w:cs="Times New Roman"/>
          <w:vertAlign w:val="subscript"/>
        </w:rPr>
        <w:t>L</w:t>
      </w:r>
      <w:r>
        <w:rPr>
          <w:rFonts w:hint="default" w:ascii="Times New Roman" w:hAnsi="Times New Roman" w:eastAsia="宋体" w:cs="Times New Roman"/>
        </w:rPr>
        <w:t>——液体泄漏速度，kg/s；</w:t>
      </w:r>
    </w:p>
    <w:p w14:paraId="1C1DFF42">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P——容器内介质压力，Pa；</w:t>
      </w:r>
    </w:p>
    <w:p w14:paraId="220E7AEE">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P</w:t>
      </w:r>
      <w:r>
        <w:rPr>
          <w:rFonts w:hint="default" w:ascii="Times New Roman" w:hAnsi="Times New Roman" w:eastAsia="宋体" w:cs="Times New Roman"/>
          <w:vertAlign w:val="subscript"/>
        </w:rPr>
        <w:t>0</w:t>
      </w:r>
      <w:r>
        <w:rPr>
          <w:rFonts w:hint="default" w:ascii="Times New Roman" w:hAnsi="Times New Roman" w:eastAsia="宋体" w:cs="Times New Roman"/>
        </w:rPr>
        <w:t>——环境压力，Pa；</w:t>
      </w:r>
    </w:p>
    <w:p w14:paraId="01200B0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ρ——泄漏液体密度，kg/m</w:t>
      </w:r>
      <w:r>
        <w:rPr>
          <w:rFonts w:hint="default" w:ascii="Times New Roman" w:hAnsi="Times New Roman" w:eastAsia="宋体" w:cs="Times New Roman"/>
          <w:vertAlign w:val="superscript"/>
        </w:rPr>
        <w:t>3</w:t>
      </w:r>
      <w:r>
        <w:rPr>
          <w:rFonts w:hint="default" w:ascii="Times New Roman" w:hAnsi="Times New Roman" w:eastAsia="宋体" w:cs="Times New Roman"/>
        </w:rPr>
        <w:t>，</w:t>
      </w:r>
      <w:r>
        <w:rPr>
          <w:rFonts w:hint="eastAsia" w:eastAsia="宋体" w:cs="Times New Roman"/>
          <w:lang w:val="en-US" w:eastAsia="zh-CN"/>
        </w:rPr>
        <w:t>水性漆</w:t>
      </w:r>
      <w:r>
        <w:rPr>
          <w:rFonts w:hint="default" w:ascii="Times New Roman" w:hAnsi="Times New Roman" w:eastAsia="宋体" w:cs="Times New Roman"/>
        </w:rPr>
        <w:t>密度取</w:t>
      </w:r>
      <w:r>
        <w:rPr>
          <w:rFonts w:hint="eastAsia" w:eastAsia="宋体" w:cs="Times New Roman"/>
          <w:lang w:val="en-US" w:eastAsia="zh-CN"/>
        </w:rPr>
        <w:t>1100</w:t>
      </w:r>
      <w:r>
        <w:rPr>
          <w:rFonts w:hint="default" w:ascii="Times New Roman" w:hAnsi="Times New Roman" w:eastAsia="宋体" w:cs="Times New Roman"/>
        </w:rPr>
        <w:t>kg/m</w:t>
      </w:r>
      <w:r>
        <w:rPr>
          <w:rFonts w:hint="default" w:ascii="Times New Roman" w:hAnsi="Times New Roman" w:eastAsia="宋体" w:cs="Times New Roman"/>
          <w:vertAlign w:val="superscript"/>
        </w:rPr>
        <w:t>3</w:t>
      </w:r>
      <w:r>
        <w:rPr>
          <w:rFonts w:hint="default" w:ascii="Times New Roman" w:hAnsi="Times New Roman" w:eastAsia="宋体" w:cs="Times New Roman"/>
        </w:rPr>
        <w:t>；</w:t>
      </w:r>
    </w:p>
    <w:p w14:paraId="358B4571">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g——重力加速度，9.8m/s</w:t>
      </w:r>
      <w:r>
        <w:rPr>
          <w:rFonts w:hint="default" w:ascii="Times New Roman" w:hAnsi="Times New Roman" w:eastAsia="宋体" w:cs="Times New Roman"/>
          <w:vertAlign w:val="superscript"/>
        </w:rPr>
        <w:t>2</w:t>
      </w:r>
      <w:r>
        <w:rPr>
          <w:rFonts w:hint="default" w:ascii="Times New Roman" w:hAnsi="Times New Roman" w:eastAsia="宋体" w:cs="Times New Roman"/>
        </w:rPr>
        <w:t>；</w:t>
      </w:r>
    </w:p>
    <w:p w14:paraId="4243BFD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h——裂口之上液位高度，m。</w:t>
      </w:r>
    </w:p>
    <w:p w14:paraId="7E8C2995">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C</w:t>
      </w:r>
      <w:r>
        <w:rPr>
          <w:rFonts w:hint="default" w:ascii="Times New Roman" w:hAnsi="Times New Roman" w:eastAsia="宋体" w:cs="Times New Roman"/>
          <w:vertAlign w:val="subscript"/>
        </w:rPr>
        <w:t>d</w:t>
      </w:r>
      <w:r>
        <w:rPr>
          <w:rFonts w:hint="default" w:ascii="Times New Roman" w:hAnsi="Times New Roman" w:eastAsia="宋体" w:cs="Times New Roman"/>
        </w:rPr>
        <w:t>——液体泄漏系数，此值常用0.6-0.64，取0.62；</w:t>
      </w:r>
    </w:p>
    <w:p w14:paraId="6C6B9B28">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A——裂口面积，m</w:t>
      </w:r>
      <w:r>
        <w:rPr>
          <w:rFonts w:hint="default" w:ascii="Times New Roman" w:hAnsi="Times New Roman" w:eastAsia="宋体" w:cs="Times New Roman"/>
          <w:vertAlign w:val="superscript"/>
        </w:rPr>
        <w:t>2</w:t>
      </w:r>
      <w:r>
        <w:rPr>
          <w:rFonts w:hint="default" w:ascii="Times New Roman" w:hAnsi="Times New Roman" w:eastAsia="宋体" w:cs="Times New Roman"/>
        </w:rPr>
        <w:t>；</w:t>
      </w:r>
    </w:p>
    <w:p w14:paraId="088A3109">
      <w:pPr>
        <w:adjustRightInd w:val="0"/>
        <w:snapToGrid w:val="0"/>
        <w:spacing w:before="0" w:line="500" w:lineRule="exact"/>
        <w:ind w:left="0" w:leftChars="0" w:right="0" w:firstLine="480" w:firstLineChars="200"/>
        <w:jc w:val="both"/>
        <w:rPr>
          <w:rFonts w:hint="eastAsia" w:hAnsi="Cambria Math" w:cs="Times New Roman"/>
          <w:i w:val="0"/>
          <w:lang w:val="en-US" w:eastAsia="zh-CN"/>
        </w:rPr>
      </w:pPr>
      <w:bookmarkStart w:id="191" w:name="_Hlk47517831"/>
      <w:r>
        <w:rPr>
          <w:rFonts w:hint="default" w:ascii="Times New Roman" w:hAnsi="Times New Roman" w:eastAsia="宋体" w:cs="Times New Roman"/>
        </w:rPr>
        <w:t>裂口为圆形（多边形）时泄漏速度比裂口为三角形或长方形时的泄漏速度大，腐蚀裂口多为多边形或圆形，因此，假设该公司发生事故时裂口为圆形，根据《建设项目环境风险评价技术导则》（HJ169-2018）附录E泄漏频率的推荐值，泄漏孔径为10mm，面积为0.0000785m</w:t>
      </w:r>
      <w:r>
        <w:rPr>
          <w:rFonts w:hint="default" w:ascii="Times New Roman" w:hAnsi="Times New Roman" w:eastAsia="宋体" w:cs="Times New Roman"/>
          <w:vertAlign w:val="superscript"/>
        </w:rPr>
        <w:t>2</w:t>
      </w:r>
      <w:r>
        <w:rPr>
          <w:rFonts w:hint="default" w:ascii="Times New Roman" w:hAnsi="Times New Roman" w:eastAsia="宋体" w:cs="Times New Roman"/>
        </w:rPr>
        <w:t>，根据企业提供资料，</w:t>
      </w:r>
      <w:r>
        <w:rPr>
          <w:rFonts w:hint="eastAsia" w:eastAsia="宋体" w:cs="Times New Roman"/>
          <w:lang w:val="en-US" w:eastAsia="zh-CN"/>
        </w:rPr>
        <w:t>水性漆</w:t>
      </w:r>
      <w:r>
        <w:rPr>
          <w:rFonts w:hint="default" w:ascii="Times New Roman" w:hAnsi="Times New Roman" w:eastAsia="宋体" w:cs="Times New Roman"/>
        </w:rPr>
        <w:t>桶高约0.</w:t>
      </w:r>
      <w:r>
        <w:rPr>
          <w:rFonts w:hint="eastAsia" w:eastAsia="宋体" w:cs="Times New Roman"/>
          <w:lang w:val="en-US" w:eastAsia="zh-CN"/>
        </w:rPr>
        <w:t>25</w:t>
      </w:r>
      <w:r>
        <w:rPr>
          <w:rFonts w:hint="default" w:ascii="Times New Roman" w:hAnsi="Times New Roman" w:eastAsia="宋体" w:cs="Times New Roman"/>
        </w:rPr>
        <w:t>米，故裂口之上液位高度h取0.</w:t>
      </w:r>
      <w:r>
        <w:rPr>
          <w:rFonts w:hint="eastAsia" w:eastAsia="宋体" w:cs="Times New Roman"/>
          <w:lang w:val="en-US" w:eastAsia="zh-CN"/>
        </w:rPr>
        <w:t>25</w:t>
      </w:r>
      <w:r>
        <w:rPr>
          <w:rFonts w:hint="default" w:ascii="Times New Roman" w:hAnsi="Times New Roman" w:eastAsia="宋体" w:cs="Times New Roman"/>
        </w:rPr>
        <w:t>m</w:t>
      </w:r>
      <w:bookmarkEnd w:id="191"/>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若一个</w:t>
      </w:r>
      <w:r>
        <w:rPr>
          <w:rFonts w:hint="eastAsia" w:eastAsia="宋体" w:cs="Times New Roman"/>
          <w:lang w:val="en-US" w:eastAsia="zh-CN"/>
        </w:rPr>
        <w:t>水性漆</w:t>
      </w:r>
      <w:r>
        <w:rPr>
          <w:rFonts w:hint="eastAsia" w:ascii="Times New Roman" w:hAnsi="Times New Roman" w:eastAsia="宋体" w:cs="Times New Roman"/>
          <w:lang w:val="en-US" w:eastAsia="zh-CN"/>
        </w:rPr>
        <w:t>桶泄漏，则Q</w:t>
      </w:r>
      <w:r>
        <w:rPr>
          <w:rFonts w:hint="eastAsia" w:ascii="Times New Roman" w:hAnsi="Times New Roman" w:eastAsia="宋体" w:cs="Times New Roman"/>
          <w:vertAlign w:val="subscript"/>
          <w:lang w:val="en-US" w:eastAsia="zh-CN"/>
        </w:rPr>
        <w:t>L</w:t>
      </w:r>
      <w:r>
        <w:rPr>
          <w:rFonts w:hint="eastAsia" w:ascii="Times New Roman" w:hAnsi="Times New Roman" w:eastAsia="宋体" w:cs="Times New Roman"/>
          <w:lang w:val="en-US" w:eastAsia="zh-CN"/>
        </w:rPr>
        <w:t>=0.62*0.0000785*</w:t>
      </w:r>
      <w:r>
        <w:rPr>
          <w:rFonts w:hint="eastAsia" w:eastAsia="宋体" w:cs="Times New Roman"/>
          <w:lang w:val="en-US" w:eastAsia="zh-CN"/>
        </w:rPr>
        <w:t>1100</w:t>
      </w:r>
      <w:r>
        <w:rPr>
          <w:rFonts w:hint="eastAsia" w:ascii="Times New Roman" w:hAnsi="Times New Roman" w:eastAsia="宋体" w:cs="Times New Roman"/>
          <w:lang w:val="en-US" w:eastAsia="zh-CN"/>
        </w:rPr>
        <w:t>*</w:t>
      </w:r>
      <m:oMath>
        <m:r>
          <m:rPr>
            <m:sty m:val="p"/>
          </m:rPr>
          <w:rPr>
            <w:rFonts w:ascii="Cambria Math" w:hAnsi="Cambria Math" w:cs="Times New Roman"/>
            <w:lang w:val="en-US"/>
          </w:rPr>
          <m:t>√</m:t>
        </m:r>
        <m:r>
          <m:rPr>
            <m:sty m:val="p"/>
          </m:rPr>
          <w:rPr>
            <w:rFonts w:hint="default" w:ascii="Cambria Math" w:hAnsi="Cambria Math" w:cs="Times New Roman"/>
            <w:lang w:val="en-US" w:eastAsia="zh-CN"/>
          </w:rPr>
          <m:t>（2∗9.8∗0.25）</m:t>
        </m:r>
      </m:oMath>
      <w:r>
        <w:rPr>
          <w:rFonts w:hint="eastAsia" w:hAnsi="Cambria Math" w:cs="Times New Roman"/>
          <w:i w:val="0"/>
          <w:lang w:val="en-US" w:eastAsia="zh-CN"/>
        </w:rPr>
        <w:t>=0.119kg/s。</w:t>
      </w:r>
    </w:p>
    <w:p w14:paraId="3AF9E3D0">
      <w:pPr>
        <w:pStyle w:val="6"/>
        <w:adjustRightInd w:val="0"/>
        <w:snapToGrid w:val="0"/>
        <w:spacing w:before="0" w:after="0" w:line="500" w:lineRule="exact"/>
        <w:jc w:val="left"/>
        <w:outlineLvl w:val="3"/>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4.4.</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2.2消防废水污染水环境事件</w:t>
      </w:r>
    </w:p>
    <w:p w14:paraId="503114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对地表水造成的不良影</w:t>
      </w:r>
      <w:r>
        <w:rPr>
          <w:rFonts w:hint="default" w:ascii="Times New Roman" w:hAnsi="Times New Roman" w:eastAsia="宋体" w:cs="Times New Roman"/>
          <w:color w:val="000000" w:themeColor="text1"/>
          <w14:textFill>
            <w14:solidFill>
              <w14:schemeClr w14:val="tx1"/>
            </w14:solidFill>
          </w14:textFill>
        </w:rPr>
        <w:t>响以</w:t>
      </w:r>
      <w:r>
        <w:rPr>
          <w:rFonts w:hint="eastAsia" w:eastAsia="宋体" w:cs="Times New Roman"/>
          <w:color w:val="000000" w:themeColor="text1"/>
          <w:lang w:val="en-US" w:eastAsia="zh-CN"/>
          <w14:textFill>
            <w14:solidFill>
              <w14:schemeClr w14:val="tx1"/>
            </w14:solidFill>
          </w14:textFill>
        </w:rPr>
        <w:t>洗消废水</w:t>
      </w:r>
      <w:r>
        <w:rPr>
          <w:rFonts w:hint="default" w:ascii="Times New Roman" w:hAnsi="Times New Roman" w:eastAsia="宋体" w:cs="Times New Roman"/>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进行测算</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highlight w:val="none"/>
          <w14:textFill>
            <w14:solidFill>
              <w14:schemeClr w14:val="tx1"/>
            </w14:solidFill>
          </w14:textFill>
        </w:rPr>
        <w:t>COD为</w:t>
      </w:r>
      <w:r>
        <w:rPr>
          <w:rFonts w:hint="eastAsia" w:eastAsia="宋体" w:cs="Times New Roman"/>
          <w:color w:val="000000" w:themeColor="text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highlight w:val="none"/>
          <w14:textFill>
            <w14:solidFill>
              <w14:schemeClr w14:val="tx1"/>
            </w14:solidFill>
          </w14:textFill>
        </w:rPr>
        <w:t>mg/L，水深3</w:t>
      </w:r>
      <w:r>
        <w:rPr>
          <w:rFonts w:hint="eastAsia"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4米，枯水期流速平均约为0.06m/s，枯水期流量约</w:t>
      </w:r>
      <w:r>
        <w:rPr>
          <w:rFonts w:hint="eastAsia" w:eastAsia="宋体" w:cs="Times New Roman"/>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/s。</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highlight w:val="none"/>
          <w14:textFill>
            <w14:solidFill>
              <w14:schemeClr w14:val="tx1"/>
            </w14:solidFill>
          </w14:textFill>
        </w:rPr>
        <w:t>水质情况见表4-</w:t>
      </w:r>
      <w:r>
        <w:rPr>
          <w:rFonts w:hint="eastAsia" w:eastAsia="宋体" w:cs="Times New Roman"/>
          <w:color w:val="000000" w:themeColor="text1"/>
          <w:highlight w:val="none"/>
          <w:lang w:val="en-US" w:eastAsia="zh-CN"/>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t>。</w:t>
      </w:r>
    </w:p>
    <w:p w14:paraId="0D831BDC">
      <w:pPr>
        <w:pStyle w:val="13"/>
        <w:adjustRightInd w:val="0"/>
        <w:snapToGrid w:val="0"/>
        <w:spacing w:after="0" w:line="500" w:lineRule="exact"/>
        <w:jc w:val="center"/>
        <w:rPr>
          <w:rFonts w:ascii="宋体" w:hAnsi="宋体" w:eastAsia="宋体" w:cs="宋体"/>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8洋蛮河</w:t>
      </w:r>
      <w:r>
        <w:rPr>
          <w:rFonts w:hint="default" w:ascii="Times New Roman" w:hAnsi="Times New Roman" w:eastAsia="宋体" w:cs="Times New Roman"/>
          <w:b/>
          <w:color w:val="000000" w:themeColor="text1"/>
          <w14:textFill>
            <w14:solidFill>
              <w14:schemeClr w14:val="tx1"/>
            </w14:solidFill>
          </w14:textFill>
        </w:rPr>
        <w:t>水质情况</w:t>
      </w:r>
    </w:p>
    <w:tbl>
      <w:tblPr>
        <w:tblStyle w:val="37"/>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14:paraId="0E409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6" w:hRule="atLeast"/>
          <w:jc w:val="center"/>
        </w:trPr>
        <w:tc>
          <w:tcPr>
            <w:tcW w:w="2077" w:type="pct"/>
            <w:tcBorders>
              <w:tl2br w:val="nil"/>
              <w:tr2bl w:val="nil"/>
            </w:tcBorders>
            <w:vAlign w:val="center"/>
          </w:tcPr>
          <w:p w14:paraId="0D81D36A">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河流</w:t>
            </w:r>
          </w:p>
        </w:tc>
        <w:tc>
          <w:tcPr>
            <w:tcW w:w="2922" w:type="pct"/>
            <w:tcBorders>
              <w:tl2br w:val="nil"/>
              <w:tr2bl w:val="nil"/>
            </w:tcBorders>
            <w:vAlign w:val="center"/>
          </w:tcPr>
          <w:p w14:paraId="75C52F2E">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CODcr(mg/L)</w:t>
            </w:r>
          </w:p>
        </w:tc>
      </w:tr>
      <w:tr w14:paraId="3812A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14:paraId="2FDB775B">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洋蛮河</w:t>
            </w:r>
          </w:p>
        </w:tc>
        <w:tc>
          <w:tcPr>
            <w:tcW w:w="2922" w:type="pct"/>
            <w:tcBorders>
              <w:tl2br w:val="nil"/>
              <w:tr2bl w:val="nil"/>
            </w:tcBorders>
            <w:vAlign w:val="center"/>
          </w:tcPr>
          <w:p w14:paraId="24115CF5">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r>
    </w:tbl>
    <w:p w14:paraId="74A9DA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污水非正常</w:t>
      </w:r>
      <w:r>
        <w:rPr>
          <w:rFonts w:hint="eastAsia" w:ascii="宋体" w:hAnsi="宋体" w:eastAsia="宋体" w:cs="宋体"/>
          <w:color w:val="000000" w:themeColor="text1"/>
          <w14:textFill>
            <w14:solidFill>
              <w14:schemeClr w14:val="tx1"/>
            </w14:solidFill>
          </w14:textFill>
        </w:rPr>
        <w:t>排放对水质</w:t>
      </w:r>
      <w:r>
        <w:rPr>
          <w:rFonts w:hint="eastAsia" w:ascii="宋体" w:hAnsi="宋体" w:eastAsia="宋体" w:cs="宋体"/>
          <w:color w:val="000000" w:themeColor="text1"/>
          <w:lang w:val="en-US" w:eastAsia="zh-CN"/>
          <w14:textFill>
            <w14:solidFill>
              <w14:schemeClr w14:val="tx1"/>
            </w14:solidFill>
          </w14:textFill>
        </w:rPr>
        <w:t>会产生</w:t>
      </w:r>
      <w:r>
        <w:rPr>
          <w:rFonts w:hint="eastAsia" w:ascii="宋体" w:hAnsi="宋体" w:eastAsia="宋体" w:cs="宋体"/>
          <w:color w:val="000000" w:themeColor="text1"/>
          <w14:textFill>
            <w14:solidFill>
              <w14:schemeClr w14:val="tx1"/>
            </w14:solidFill>
          </w14:textFill>
        </w:rPr>
        <w:t>不良影响，</w:t>
      </w:r>
      <w:r>
        <w:rPr>
          <w:rFonts w:hint="eastAsia" w:ascii="宋体" w:hAnsi="宋体" w:eastAsia="宋体" w:cs="宋体"/>
          <w:color w:val="000000" w:themeColor="text1"/>
          <w:lang w:val="en-US" w:eastAsia="zh-CN"/>
          <w14:textFill>
            <w14:solidFill>
              <w14:schemeClr w14:val="tx1"/>
            </w14:solidFill>
          </w14:textFill>
        </w:rPr>
        <w:t>假设污</w:t>
      </w:r>
      <w:r>
        <w:rPr>
          <w:rFonts w:hint="default" w:ascii="Times New Roman" w:hAnsi="Times New Roman"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COD</w:t>
      </w:r>
      <w:r>
        <w:rPr>
          <w:rFonts w:hint="default" w:ascii="Times New Roman" w:hAnsi="Times New Roman" w:eastAsia="宋体" w:cs="Times New Roman"/>
          <w:color w:val="000000" w:themeColor="text1"/>
          <w:lang w:val="en-US" w:eastAsia="zh-CN"/>
          <w14:textFill>
            <w14:solidFill>
              <w14:schemeClr w14:val="tx1"/>
            </w14:solidFill>
          </w14:textFill>
        </w:rPr>
        <w:t>浓度为</w:t>
      </w:r>
      <w:r>
        <w:rPr>
          <w:rFonts w:hint="eastAsia" w:eastAsia="宋体" w:cs="Times New Roman"/>
          <w:color w:val="000000" w:themeColor="text1"/>
          <w:lang w:val="en-US" w:eastAsia="zh-CN"/>
          <w14:textFill>
            <w14:solidFill>
              <w14:schemeClr w14:val="tx1"/>
            </w14:solidFill>
          </w14:textFill>
        </w:rPr>
        <w:t>250</w:t>
      </w:r>
      <w:r>
        <w:rPr>
          <w:rFonts w:hint="default" w:ascii="Times New Roman" w:hAnsi="Times New Roman" w:eastAsia="宋体" w:cs="Times New Roman"/>
          <w:color w:val="000000" w:themeColor="text1"/>
          <w14:textFill>
            <w14:solidFill>
              <w14:schemeClr w14:val="tx1"/>
            </w14:solidFill>
          </w14:textFill>
        </w:rPr>
        <w:t>mg/L，流量</w:t>
      </w:r>
      <w:r>
        <w:rPr>
          <w:rFonts w:hint="default" w:ascii="Times New Roman" w:hAnsi="Times New Roman" w:eastAsia="宋体" w:cs="Times New Roman"/>
          <w:color w:val="000000" w:themeColor="text1"/>
          <w:szCs w:val="28"/>
          <w:lang w:val="en-US" w:eastAsia="zh-CN"/>
          <w14:textFill>
            <w14:solidFill>
              <w14:schemeClr w14:val="tx1"/>
            </w14:solidFill>
          </w14:textFill>
        </w:rPr>
        <w:t>0.</w:t>
      </w:r>
      <w:r>
        <w:rPr>
          <w:rFonts w:hint="eastAsia" w:eastAsia="宋体" w:cs="Times New Roman"/>
          <w:color w:val="000000" w:themeColor="text1"/>
          <w:szCs w:val="28"/>
          <w:lang w:val="en-US" w:eastAsia="zh-CN"/>
          <w14:textFill>
            <w14:solidFill>
              <w14:schemeClr w14:val="tx1"/>
            </w14:solidFill>
          </w14:textFill>
        </w:rPr>
        <w:t>03</w:t>
      </w:r>
      <w:r>
        <w:rPr>
          <w:rFonts w:hint="default" w:ascii="Times New Roman" w:hAnsi="Times New Roman" w:eastAsia="宋体" w:cs="Times New Roman"/>
          <w:color w:val="000000" w:themeColor="text1"/>
          <w:szCs w:val="28"/>
          <w14:textFill>
            <w14:solidFill>
              <w14:schemeClr w14:val="tx1"/>
            </w14:solidFill>
          </w14:textFill>
        </w:rPr>
        <w:t>m</w:t>
      </w:r>
      <w:r>
        <w:rPr>
          <w:rFonts w:hint="default" w:ascii="Times New Roman" w:hAnsi="Times New Roman" w:eastAsia="宋体" w:cs="Times New Roman"/>
          <w:color w:val="000000" w:themeColor="text1"/>
          <w:szCs w:val="28"/>
          <w:vertAlign w:val="superscript"/>
          <w14:textFill>
            <w14:solidFill>
              <w14:schemeClr w14:val="tx1"/>
            </w14:solidFill>
          </w14:textFill>
        </w:rPr>
        <w:t>3</w:t>
      </w:r>
      <w:r>
        <w:rPr>
          <w:rFonts w:hint="default" w:ascii="Times New Roman" w:hAnsi="Times New Roman" w:eastAsia="宋体" w:cs="Times New Roman"/>
          <w:color w:val="000000" w:themeColor="text1"/>
          <w:szCs w:val="28"/>
          <w14:textFill>
            <w14:solidFill>
              <w14:schemeClr w14:val="tx1"/>
            </w14:solidFill>
          </w14:textFill>
        </w:rPr>
        <w:t>/s</w:t>
      </w:r>
      <w:r>
        <w:rPr>
          <w:rFonts w:hint="default" w:ascii="Times New Roman" w:hAnsi="Times New Roman" w:eastAsia="宋体" w:cs="Times New Roman"/>
          <w:color w:val="000000" w:themeColor="text1"/>
          <w14:textFill>
            <w14:solidFill>
              <w14:schemeClr w14:val="tx1"/>
            </w14:solidFill>
          </w14:textFill>
        </w:rPr>
        <w:t>，事故时间</w:t>
      </w:r>
      <w:r>
        <w:rPr>
          <w:rFonts w:hint="eastAsia" w:eastAsia="宋体" w:cs="Times New Roman"/>
          <w:color w:val="000000" w:themeColor="text1"/>
          <w:lang w:val="en-US" w:eastAsia="zh-CN"/>
          <w14:textFill>
            <w14:solidFill>
              <w14:schemeClr w14:val="tx1"/>
            </w14:solidFill>
          </w14:textFill>
        </w:rPr>
        <w:t>1h</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总废水量</w:t>
      </w:r>
      <w:r>
        <w:rPr>
          <w:rFonts w:hint="eastAsia" w:eastAsia="宋体" w:cs="Times New Roman"/>
          <w:color w:val="000000" w:themeColor="text1"/>
          <w:highlight w:val="none"/>
          <w:lang w:val="en-US" w:eastAsia="zh-CN"/>
          <w14:textFill>
            <w14:solidFill>
              <w14:schemeClr w14:val="tx1"/>
            </w14:solidFill>
          </w14:textFill>
        </w:rPr>
        <w:t>108</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w:t>
      </w:r>
    </w:p>
    <w:p w14:paraId="653FC24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w:t>
      </w:r>
      <w:r>
        <w:rPr>
          <w:rFonts w:hint="eastAsia" w:ascii="宋体" w:hAnsi="宋体" w:eastAsia="宋体" w:cs="宋体"/>
          <w:color w:val="000000" w:themeColor="text1"/>
          <w:lang w:val="en-US" w:eastAsia="zh-CN"/>
          <w14:textFill>
            <w14:solidFill>
              <w14:schemeClr w14:val="tx1"/>
            </w14:solidFill>
          </w14:textFill>
        </w:rPr>
        <w:t>价</w:t>
      </w:r>
      <w:r>
        <w:rPr>
          <w:rFonts w:hint="eastAsia" w:ascii="宋体" w:hAnsi="宋体" w:eastAsia="宋体" w:cs="宋体"/>
          <w:color w:val="000000" w:themeColor="text1"/>
          <w14:textFill>
            <w14:solidFill>
              <w14:schemeClr w14:val="tx1"/>
            </w14:solidFill>
          </w14:textFill>
        </w:rPr>
        <w:t>技术导则</w:t>
      </w:r>
      <w:r>
        <w:rPr>
          <w:rFonts w:hint="eastAsia" w:ascii="宋体" w:hAnsi="宋体" w:eastAsia="宋体" w:cs="宋体"/>
          <w:color w:val="000000" w:themeColor="text1"/>
          <w:lang w:val="en-US" w:eastAsia="zh-CN"/>
          <w14:textFill>
            <w14:solidFill>
              <w14:schemeClr w14:val="tx1"/>
            </w14:solidFill>
          </w14:textFill>
        </w:rPr>
        <w:t>地表水环境</w:t>
      </w:r>
      <w:r>
        <w:rPr>
          <w:rFonts w:hint="eastAsia" w:ascii="宋体" w:hAnsi="宋体" w:eastAsia="宋体" w:cs="宋体"/>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附近水体</w:t>
      </w:r>
      <w:r>
        <w:rPr>
          <w:rFonts w:hint="eastAsia" w:ascii="宋体" w:hAnsi="宋体" w:eastAsia="宋体" w:cs="宋体"/>
          <w:color w:val="000000" w:themeColor="text1"/>
          <w14:textFill>
            <w14:solidFill>
              <w14:schemeClr w14:val="tx1"/>
            </w14:solidFill>
          </w14:textFill>
        </w:rPr>
        <w:t>河道基本平直</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考虑河流充分混合段，评价采用一维对流扩散模型进行预测。</w:t>
      </w:r>
    </w:p>
    <w:p w14:paraId="097E03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14:paraId="72DB9252">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5" o:spt="75" type="#_x0000_t75" style="height:34.65pt;width:124.3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p>
    <w:p w14:paraId="4D74A0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14:paraId="6BA263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C—预测河段污染物浓度，mg/L;</w:t>
      </w:r>
    </w:p>
    <w:p w14:paraId="7EE1B2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—初始预测断面污染物浓度，mg/L;</w:t>
      </w:r>
    </w:p>
    <w:p w14:paraId="61EB549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k</w:t>
      </w:r>
      <w:r>
        <w:rPr>
          <w:rFonts w:hint="default" w:ascii="Times New Roman" w:hAnsi="Times New Roman" w:eastAsia="宋体" w:cs="Times New Roman"/>
          <w:color w:val="000000" w:themeColor="text1"/>
          <w:vertAlign w:val="sub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—衰减系数，1/d;</w:t>
      </w:r>
    </w:p>
    <w:p w14:paraId="2F7E74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d—混合深度；</w:t>
      </w:r>
    </w:p>
    <w:p w14:paraId="47C003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x—距排污口的纵向距离，m;</w:t>
      </w:r>
    </w:p>
    <w:p w14:paraId="67ADC58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u—河水流速，m/s;</w:t>
      </w:r>
    </w:p>
    <w:p w14:paraId="4607172B">
      <w:pPr>
        <w:keepNext w:val="0"/>
        <w:keepLines w:val="0"/>
        <w:pageBreakBefore w:val="0"/>
        <w:widowControl/>
        <w:kinsoku/>
        <w:wordWrap/>
        <w:overflowPunct/>
        <w:topLinePunct w:val="0"/>
        <w:autoSpaceDE/>
        <w:autoSpaceDN/>
        <w:bidi w:val="0"/>
        <w:adjustRightInd w:val="0"/>
        <w:snapToGrid w:val="0"/>
        <w:spacing w:line="360" w:lineRule="auto"/>
        <w:ind w:firstLine="56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ascii="宋体" w:hAnsi="宋体" w:eastAsia="宋体" w:cs="宋体"/>
          <w:color w:val="0000FF"/>
        </w:rPr>
        <w:pict>
          <v:shape id="_x0000_s1027" o:spid="_x0000_s1027" o:spt="75" type="#_x0000_t75" style="position:absolute;left:0pt;margin-left:152.25pt;margin-top:6.4pt;height:36.75pt;width:106.5pt;mso-wrap-distance-bottom:0pt;mso-wrap-distance-top:0pt;z-index:251664384;mso-width-relative:page;mso-height-relative:page;" o:ole="t" filled="f" o:preferrelative="t" stroked="f" coordsize="21600,21600">
            <v:path/>
            <v:fill on="f" focussize="0,0"/>
            <v:stroke on="f" joinstyle="miter"/>
            <v:imagedata r:id="rId21" o:title=""/>
            <o:lock v:ext="edit" aspectratio="t"/>
            <w10:wrap type="topAndBottom"/>
          </v:shape>
          <o:OLEObject Type="Embed" ProgID="Equation.3" ShapeID="_x0000_s1027" DrawAspect="Content" ObjectID="_1468075726" r:id="rId20">
            <o:LockedField>false</o:LockedField>
          </o:OLEObject>
        </w:pict>
      </w:r>
      <w:r>
        <w:rPr>
          <w:rFonts w:hint="default" w:ascii="Times New Roman" w:hAnsi="Times New Roman" w:eastAsia="宋体" w:cs="Times New Roman"/>
          <w:color w:val="000000" w:themeColor="text1"/>
          <w14:textFill>
            <w14:solidFill>
              <w14:schemeClr w14:val="tx1"/>
            </w14:solidFill>
          </w14:textFill>
        </w:rPr>
        <w:t>式中：</w:t>
      </w:r>
    </w:p>
    <w:p w14:paraId="2BC8B4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—混合后河流中污染物浓度，mg/L;</w:t>
      </w:r>
    </w:p>
    <w:p w14:paraId="0E2EFD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—河流中污染物的背景浓度，mg/L;</w:t>
      </w:r>
    </w:p>
    <w:p w14:paraId="7447C87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—污水中污染物的浓度，mg/L;</w:t>
      </w:r>
    </w:p>
    <w:p w14:paraId="5DD63C4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14:paraId="52603B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14:paraId="56A054F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COD降解系数K</w:t>
      </w:r>
      <w:r>
        <w:rPr>
          <w:rFonts w:hint="default" w:ascii="Times New Roman" w:hAnsi="Times New Roman" w:eastAsia="宋体" w:cs="Times New Roman"/>
          <w:color w:val="000000" w:themeColor="text1"/>
          <w:vertAlign w:val="subscript"/>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为</w:t>
      </w:r>
      <w:r>
        <w:rPr>
          <w:rFonts w:hint="default" w:ascii="Times New Roman" w:hAnsi="Times New Roman" w:eastAsia="宋体" w:cs="Times New Roman"/>
          <w:color w:val="000000" w:themeColor="text1"/>
          <w:highlight w:val="none"/>
          <w14:textFill>
            <w14:solidFill>
              <w14:schemeClr w14:val="tx1"/>
            </w14:solidFill>
          </w14:textFill>
        </w:rPr>
        <w:t>0.1</w:t>
      </w:r>
      <w:r>
        <w:rPr>
          <w:rFonts w:hint="eastAsia"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0.25d</w:t>
      </w:r>
      <w:r>
        <w:rPr>
          <w:rFonts w:hint="default" w:ascii="Times New Roman" w:hAnsi="Times New Roman" w:eastAsia="宋体" w:cs="Times New Roman"/>
          <w:color w:val="000000" w:themeColor="text1"/>
          <w:highlight w:val="none"/>
          <w:vertAlign w:val="super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，取0.2。</w:t>
      </w:r>
    </w:p>
    <w:p w14:paraId="3CBD80E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生产废水超标排放对</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河段COD浓度影响进行预测，结算结果见表4-</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w:t>
      </w:r>
    </w:p>
    <w:p w14:paraId="49FABC1B">
      <w:pPr>
        <w:pStyle w:val="13"/>
        <w:adjustRightInd w:val="0"/>
        <w:snapToGrid w:val="0"/>
        <w:spacing w:after="0" w:line="460" w:lineRule="exact"/>
        <w:jc w:val="center"/>
        <w:rPr>
          <w:rFonts w:hint="default" w:ascii="Times New Roman" w:hAnsi="Times New Roman" w:eastAsia="宋体" w:cs="Times New Roman"/>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9</w:t>
      </w:r>
      <w:r>
        <w:rPr>
          <w:rFonts w:hint="default" w:ascii="Times New Roman" w:hAnsi="Times New Roman" w:eastAsia="宋体" w:cs="Times New Roman"/>
          <w:b/>
          <w:color w:val="000000" w:themeColor="text1"/>
          <w14:textFill>
            <w14:solidFill>
              <w14:schemeClr w14:val="tx1"/>
            </w14:solidFill>
          </w14:textFill>
        </w:rPr>
        <w:t>超标废水直排对下游不同断面影响</w:t>
      </w:r>
    </w:p>
    <w:tbl>
      <w:tblPr>
        <w:tblStyle w:val="38"/>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14:paraId="1CAFB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0" w:hRule="atLeast"/>
          <w:jc w:val="center"/>
        </w:trPr>
        <w:tc>
          <w:tcPr>
            <w:tcW w:w="4390" w:type="dxa"/>
            <w:tcBorders>
              <w:tl2br w:val="nil"/>
              <w:tr2bl w:val="nil"/>
            </w:tcBorders>
            <w:vAlign w:val="center"/>
          </w:tcPr>
          <w:p w14:paraId="4231ECF7">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14:paraId="5ABC4EE1">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COD（mg/L）</w:t>
            </w:r>
          </w:p>
        </w:tc>
      </w:tr>
      <w:tr w14:paraId="436EB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0EC01FAB">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p>
        </w:tc>
        <w:tc>
          <w:tcPr>
            <w:tcW w:w="4390" w:type="dxa"/>
            <w:tcBorders>
              <w:tl2br w:val="nil"/>
              <w:tr2bl w:val="nil"/>
            </w:tcBorders>
            <w:vAlign w:val="center"/>
          </w:tcPr>
          <w:p w14:paraId="66B2DFE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26.24</w:t>
            </w:r>
          </w:p>
        </w:tc>
      </w:tr>
      <w:tr w14:paraId="60948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6A9AB3A7">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100</w:t>
            </w:r>
          </w:p>
        </w:tc>
        <w:tc>
          <w:tcPr>
            <w:tcW w:w="4390" w:type="dxa"/>
            <w:tcBorders>
              <w:tl2br w:val="nil"/>
              <w:tr2bl w:val="nil"/>
            </w:tcBorders>
            <w:vAlign w:val="center"/>
          </w:tcPr>
          <w:p w14:paraId="17B1201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24.06</w:t>
            </w:r>
          </w:p>
        </w:tc>
      </w:tr>
      <w:tr w14:paraId="2B3AD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48617186">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200</w:t>
            </w:r>
          </w:p>
        </w:tc>
        <w:tc>
          <w:tcPr>
            <w:tcW w:w="4390" w:type="dxa"/>
            <w:tcBorders>
              <w:tl2br w:val="nil"/>
              <w:tr2bl w:val="nil"/>
            </w:tcBorders>
            <w:vAlign w:val="center"/>
          </w:tcPr>
          <w:p w14:paraId="40326711">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23.83</w:t>
            </w:r>
          </w:p>
        </w:tc>
      </w:tr>
      <w:tr w14:paraId="3BA523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099BDCA">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300</w:t>
            </w:r>
          </w:p>
        </w:tc>
        <w:tc>
          <w:tcPr>
            <w:tcW w:w="4390" w:type="dxa"/>
            <w:tcBorders>
              <w:tl2br w:val="nil"/>
              <w:tr2bl w:val="nil"/>
            </w:tcBorders>
            <w:vAlign w:val="center"/>
          </w:tcPr>
          <w:p w14:paraId="2384080C">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23.6</w:t>
            </w:r>
          </w:p>
        </w:tc>
      </w:tr>
      <w:tr w14:paraId="51B7FE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1E904B09">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400</w:t>
            </w:r>
          </w:p>
        </w:tc>
        <w:tc>
          <w:tcPr>
            <w:tcW w:w="4390" w:type="dxa"/>
            <w:tcBorders>
              <w:tl2br w:val="nil"/>
              <w:tr2bl w:val="nil"/>
            </w:tcBorders>
            <w:vAlign w:val="center"/>
          </w:tcPr>
          <w:p w14:paraId="2243F43A">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23.37</w:t>
            </w:r>
          </w:p>
        </w:tc>
      </w:tr>
      <w:tr w14:paraId="633AA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3C5FA1F3">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500</w:t>
            </w:r>
          </w:p>
        </w:tc>
        <w:tc>
          <w:tcPr>
            <w:tcW w:w="4390" w:type="dxa"/>
            <w:tcBorders>
              <w:tl2br w:val="nil"/>
              <w:tr2bl w:val="nil"/>
            </w:tcBorders>
            <w:vAlign w:val="center"/>
          </w:tcPr>
          <w:p w14:paraId="7B08FF9C">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23.15</w:t>
            </w:r>
          </w:p>
        </w:tc>
      </w:tr>
      <w:tr w14:paraId="2D681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23E505A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600</w:t>
            </w:r>
          </w:p>
        </w:tc>
        <w:tc>
          <w:tcPr>
            <w:tcW w:w="4390" w:type="dxa"/>
            <w:tcBorders>
              <w:tl2br w:val="nil"/>
              <w:tr2bl w:val="nil"/>
            </w:tcBorders>
            <w:vAlign w:val="center"/>
          </w:tcPr>
          <w:p w14:paraId="18B0DCE6">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22.93</w:t>
            </w:r>
          </w:p>
        </w:tc>
      </w:tr>
      <w:tr w14:paraId="1CD60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390" w:type="dxa"/>
            <w:tcBorders>
              <w:tl2br w:val="nil"/>
              <w:tr2bl w:val="nil"/>
            </w:tcBorders>
            <w:vAlign w:val="center"/>
          </w:tcPr>
          <w:p w14:paraId="702FC018">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700</w:t>
            </w:r>
          </w:p>
        </w:tc>
        <w:tc>
          <w:tcPr>
            <w:tcW w:w="4390" w:type="dxa"/>
            <w:tcBorders>
              <w:tl2br w:val="nil"/>
              <w:tr2bl w:val="nil"/>
            </w:tcBorders>
            <w:vAlign w:val="center"/>
          </w:tcPr>
          <w:p w14:paraId="4DDD915B">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22.71</w:t>
            </w:r>
          </w:p>
        </w:tc>
      </w:tr>
      <w:tr w14:paraId="514E72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05391C5F">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800</w:t>
            </w:r>
          </w:p>
        </w:tc>
        <w:tc>
          <w:tcPr>
            <w:tcW w:w="4390" w:type="dxa"/>
            <w:vAlign w:val="center"/>
          </w:tcPr>
          <w:p w14:paraId="20F71B72">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22.49</w:t>
            </w:r>
          </w:p>
        </w:tc>
      </w:tr>
      <w:tr w14:paraId="766F94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vAlign w:val="center"/>
          </w:tcPr>
          <w:p w14:paraId="367E76A2">
            <w:pPr>
              <w:pStyle w:val="13"/>
              <w:adjustRightInd w:val="0"/>
              <w:snapToGrid w:val="0"/>
              <w:spacing w:after="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900</w:t>
            </w:r>
          </w:p>
        </w:tc>
        <w:tc>
          <w:tcPr>
            <w:tcW w:w="4390" w:type="dxa"/>
            <w:vAlign w:val="center"/>
          </w:tcPr>
          <w:p w14:paraId="465014C9">
            <w:pPr>
              <w:pStyle w:val="13"/>
              <w:adjustRightInd w:val="0"/>
              <w:snapToGrid w:val="0"/>
              <w:spacing w:after="0"/>
              <w:jc w:val="center"/>
              <w:rPr>
                <w:rFonts w:hint="default"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22.27</w:t>
            </w:r>
          </w:p>
        </w:tc>
      </w:tr>
      <w:tr w14:paraId="3F726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bottom w:val="single" w:color="auto" w:sz="12" w:space="0"/>
            </w:tcBorders>
            <w:vAlign w:val="center"/>
          </w:tcPr>
          <w:p w14:paraId="1B0FE0A1">
            <w:pPr>
              <w:pStyle w:val="13"/>
              <w:adjustRightInd w:val="0"/>
              <w:snapToGrid w:val="0"/>
              <w:spacing w:after="0"/>
              <w:jc w:val="center"/>
              <w:rPr>
                <w:rFonts w:hint="default"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1000</w:t>
            </w:r>
          </w:p>
        </w:tc>
        <w:tc>
          <w:tcPr>
            <w:tcW w:w="4390" w:type="dxa"/>
            <w:tcBorders>
              <w:bottom w:val="single" w:color="auto" w:sz="12" w:space="0"/>
            </w:tcBorders>
            <w:vAlign w:val="center"/>
          </w:tcPr>
          <w:p w14:paraId="1B1498DF">
            <w:pPr>
              <w:pStyle w:val="13"/>
              <w:adjustRightInd w:val="0"/>
              <w:snapToGrid w:val="0"/>
              <w:spacing w:after="0"/>
              <w:jc w:val="center"/>
              <w:rPr>
                <w:rFonts w:hint="default"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22.06</w:t>
            </w:r>
          </w:p>
        </w:tc>
      </w:tr>
    </w:tbl>
    <w:p w14:paraId="67DEDB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hint="default" w:ascii="Times New Roman" w:hAnsi="Times New Roman" w:eastAsia="宋体" w:cs="Times New Roman"/>
          <w:color w:val="000000" w:themeColor="text1"/>
          <w14:textFill>
            <w14:solidFill>
              <w14:schemeClr w14:val="tx1"/>
            </w14:solidFill>
          </w14:textFill>
        </w:rPr>
        <w:t>度为</w:t>
      </w:r>
      <w:r>
        <w:rPr>
          <w:rFonts w:hint="eastAsia" w:eastAsia="宋体" w:cs="Times New Roman"/>
          <w:color w:val="000000" w:themeColor="text1"/>
          <w:lang w:val="en-US" w:eastAsia="zh-CN"/>
          <w14:textFill>
            <w14:solidFill>
              <w14:schemeClr w14:val="tx1"/>
            </w14:solidFill>
          </w14:textFill>
        </w:rPr>
        <w:t>24.06</w:t>
      </w:r>
      <w:r>
        <w:rPr>
          <w:rFonts w:hint="default" w:ascii="Times New Roman" w:hAnsi="Times New Roman" w:eastAsia="宋体" w:cs="Times New Roman"/>
          <w:color w:val="000000" w:themeColor="text1"/>
          <w14:textFill>
            <w14:solidFill>
              <w14:schemeClr w14:val="tx1"/>
            </w14:solidFill>
          </w14:textFill>
        </w:rPr>
        <w:t>mg/L，与本底值（</w:t>
      </w:r>
      <w:r>
        <w:rPr>
          <w:rFonts w:hint="eastAsia" w:eastAsia="宋体" w:cs="Times New Roman"/>
          <w:color w:val="000000" w:themeColor="text1"/>
          <w:lang w:val="en-US" w:eastAsia="zh-CN"/>
          <w14:textFill>
            <w14:solidFill>
              <w14:schemeClr w14:val="tx1"/>
            </w14:solidFill>
          </w14:textFill>
        </w:rPr>
        <w:t>20</w:t>
      </w:r>
      <w:r>
        <w:rPr>
          <w:rFonts w:hint="default" w:ascii="Times New Roman" w:hAnsi="Times New Roman" w:eastAsia="宋体" w:cs="Times New Roman"/>
          <w:color w:val="000000" w:themeColor="text1"/>
          <w14:textFill>
            <w14:solidFill>
              <w14:schemeClr w14:val="tx1"/>
            </w14:solidFill>
          </w14:textFill>
        </w:rPr>
        <w:t>mg/L）相比，超标废水直接进入</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将对</w:t>
      </w:r>
      <w:r>
        <w:rPr>
          <w:rFonts w:hint="eastAsia" w:ascii="宋体" w:hAnsi="宋体" w:eastAsia="宋体" w:cs="宋体"/>
          <w:color w:val="000000" w:themeColor="text1"/>
          <w:lang w:val="en-US" w:eastAsia="zh-CN"/>
          <w14:textFill>
            <w14:solidFill>
              <w14:schemeClr w14:val="tx1"/>
            </w14:solidFill>
          </w14:textFill>
        </w:rPr>
        <w:t>洋蛮河</w:t>
      </w:r>
      <w:r>
        <w:rPr>
          <w:rFonts w:hint="default" w:ascii="Times New Roman" w:hAnsi="Times New Roman" w:eastAsia="宋体" w:cs="Times New Roman"/>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14:paraId="5F8199AB">
      <w:pPr>
        <w:pStyle w:val="5"/>
        <w:adjustRightInd w:val="0"/>
        <w:snapToGrid w:val="0"/>
        <w:spacing w:line="500" w:lineRule="exact"/>
        <w:jc w:val="left"/>
        <w:rPr>
          <w:rFonts w:hint="default" w:ascii="Times New Roman" w:hAnsi="Times New Roman" w:eastAsia="宋体" w:cs="Times New Roman"/>
          <w:color w:val="000000" w:themeColor="text1"/>
          <w:lang w:val="en-US"/>
          <w14:textFill>
            <w14:solidFill>
              <w14:schemeClr w14:val="tx1"/>
            </w14:solidFill>
          </w14:textFill>
        </w:rPr>
      </w:pPr>
      <w:bookmarkStart w:id="192" w:name="_Toc6431"/>
      <w:bookmarkStart w:id="193" w:name="_Toc8859"/>
      <w:r>
        <w:rPr>
          <w:rFonts w:hint="default" w:ascii="Times New Roman" w:hAnsi="Times New Roman" w:eastAsia="宋体" w:cs="Times New Roman"/>
          <w:color w:val="000000" w:themeColor="text1"/>
          <w14:textFill>
            <w14:solidFill>
              <w14:schemeClr w14:val="tx1"/>
            </w14:solidFill>
          </w14:textFill>
        </w:rPr>
        <w:t>4.4.</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bookmarkEnd w:id="190"/>
      <w:r>
        <w:rPr>
          <w:rFonts w:hint="eastAsia" w:eastAsia="宋体" w:cs="Times New Roman"/>
          <w:color w:val="000000" w:themeColor="text1"/>
          <w:lang w:val="en-US" w:eastAsia="zh-CN"/>
          <w14:textFill>
            <w14:solidFill>
              <w14:schemeClr w14:val="tx1"/>
            </w14:solidFill>
          </w14:textFill>
        </w:rPr>
        <w:t>4、5</w:t>
      </w:r>
      <w:bookmarkEnd w:id="192"/>
      <w:bookmarkEnd w:id="193"/>
    </w:p>
    <w:p w14:paraId="5A6D89D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w:t>
      </w:r>
      <w:r>
        <w:rPr>
          <w:rFonts w:hint="eastAsia" w:ascii="宋体" w:hAnsi="宋体" w:eastAsia="宋体" w:cs="宋体"/>
          <w:color w:val="000000" w:themeColor="text1"/>
          <w:lang w:val="en-US" w:eastAsia="zh-CN"/>
          <w14:textFill>
            <w14:solidFill>
              <w14:schemeClr w14:val="tx1"/>
            </w14:solidFill>
          </w14:textFill>
        </w:rPr>
        <w:t>验收报告</w:t>
      </w:r>
      <w:r>
        <w:rPr>
          <w:rFonts w:hint="eastAsia" w:ascii="宋体" w:hAnsi="宋体" w:eastAsia="宋体" w:cs="宋体"/>
          <w:color w:val="000000" w:themeColor="text1"/>
          <w14:textFill>
            <w14:solidFill>
              <w14:schemeClr w14:val="tx1"/>
            </w14:solidFill>
          </w14:textFill>
        </w:rPr>
        <w:t>，预测源强参数见</w:t>
      </w:r>
      <w:r>
        <w:rPr>
          <w:rFonts w:hint="default" w:ascii="Times New Roman" w:hAnsi="Times New Roman" w:eastAsia="宋体" w:cs="Times New Roman"/>
          <w:color w:val="000000" w:themeColor="text1"/>
          <w14:textFill>
            <w14:solidFill>
              <w14:schemeClr w14:val="tx1"/>
            </w14:solidFill>
          </w14:textFill>
        </w:rPr>
        <w:t>表4-</w:t>
      </w:r>
      <w:r>
        <w:rPr>
          <w:rFonts w:hint="eastAsia" w:eastAsia="宋体" w:cs="Times New Roman"/>
          <w:color w:val="000000" w:themeColor="text1"/>
          <w:lang w:val="en-US" w:eastAsia="zh-CN"/>
          <w14:textFill>
            <w14:solidFill>
              <w14:schemeClr w14:val="tx1"/>
            </w14:solidFill>
          </w14:textFill>
        </w:rPr>
        <w:t>10</w:t>
      </w:r>
      <w:r>
        <w:rPr>
          <w:rFonts w:hint="default" w:ascii="Times New Roman" w:hAnsi="Times New Roman" w:eastAsia="宋体" w:cs="Times New Roman"/>
          <w:color w:val="000000" w:themeColor="text1"/>
          <w14:textFill>
            <w14:solidFill>
              <w14:schemeClr w14:val="tx1"/>
            </w14:solidFill>
          </w14:textFill>
        </w:rPr>
        <w:t>，预测结果见表4-</w:t>
      </w:r>
      <w:r>
        <w:rPr>
          <w:rFonts w:hint="eastAsia" w:eastAsia="宋体" w:cs="Times New Roman"/>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w:t>
      </w:r>
    </w:p>
    <w:p w14:paraId="3EDCDE64">
      <w:pPr>
        <w:pStyle w:val="12"/>
        <w:adjustRightInd w:val="0"/>
        <w:snapToGrid w:val="0"/>
        <w:spacing w:line="460" w:lineRule="exact"/>
        <w:ind w:firstLine="0"/>
        <w:jc w:val="center"/>
        <w:rPr>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10</w:t>
      </w:r>
      <w:r>
        <w:rPr>
          <w:rFonts w:hint="eastAsia" w:ascii="宋体" w:hAnsi="宋体" w:eastAsia="宋体" w:cs="宋体"/>
          <w:b/>
          <w:color w:val="000000" w:themeColor="text1"/>
          <w:highlight w:val="none"/>
          <w14:textFill>
            <w14:solidFill>
              <w14:schemeClr w14:val="tx1"/>
            </w14:solidFill>
          </w14:textFill>
        </w:rPr>
        <w:t>有组织污染源参</w:t>
      </w:r>
      <w:r>
        <w:rPr>
          <w:rFonts w:hint="eastAsia" w:ascii="宋体" w:hAnsi="宋体" w:eastAsia="宋体" w:cs="宋体"/>
          <w:b/>
          <w:color w:val="000000" w:themeColor="text1"/>
          <w14:textFill>
            <w14:solidFill>
              <w14:schemeClr w14:val="tx1"/>
            </w14:solidFill>
          </w14:textFill>
        </w:rPr>
        <w:t>数</w:t>
      </w:r>
    </w:p>
    <w:tbl>
      <w:tblPr>
        <w:tblStyle w:val="37"/>
        <w:tblW w:w="573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96"/>
        <w:gridCol w:w="1140"/>
        <w:gridCol w:w="1225"/>
        <w:gridCol w:w="1456"/>
        <w:gridCol w:w="1196"/>
        <w:gridCol w:w="1127"/>
        <w:gridCol w:w="1610"/>
        <w:gridCol w:w="1643"/>
      </w:tblGrid>
      <w:tr w14:paraId="4322FA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9" w:type="pct"/>
            <w:tcBorders>
              <w:tl2br w:val="nil"/>
              <w:tr2bl w:val="nil"/>
            </w:tcBorders>
            <w:vAlign w:val="center"/>
          </w:tcPr>
          <w:p w14:paraId="693E75DB">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污染源</w:t>
            </w:r>
          </w:p>
        </w:tc>
        <w:tc>
          <w:tcPr>
            <w:tcW w:w="548" w:type="pct"/>
            <w:tcBorders>
              <w:tl2br w:val="nil"/>
              <w:tr2bl w:val="nil"/>
            </w:tcBorders>
            <w:vAlign w:val="center"/>
          </w:tcPr>
          <w:p w14:paraId="15953772">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污染物名称</w:t>
            </w:r>
          </w:p>
        </w:tc>
        <w:tc>
          <w:tcPr>
            <w:tcW w:w="589" w:type="pct"/>
            <w:tcBorders>
              <w:tl2br w:val="nil"/>
              <w:tr2bl w:val="nil"/>
            </w:tcBorders>
            <w:vAlign w:val="center"/>
          </w:tcPr>
          <w:p w14:paraId="27E5FF1C">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排气筒高度（m）</w:t>
            </w:r>
          </w:p>
        </w:tc>
        <w:tc>
          <w:tcPr>
            <w:tcW w:w="700" w:type="pct"/>
            <w:tcBorders>
              <w:tl2br w:val="nil"/>
              <w:tr2bl w:val="nil"/>
            </w:tcBorders>
            <w:vAlign w:val="center"/>
          </w:tcPr>
          <w:p w14:paraId="5B4405F3">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排气筒出口内径（m）</w:t>
            </w:r>
          </w:p>
        </w:tc>
        <w:tc>
          <w:tcPr>
            <w:tcW w:w="575" w:type="pct"/>
            <w:tcBorders>
              <w:tl2br w:val="nil"/>
              <w:tr2bl w:val="nil"/>
            </w:tcBorders>
            <w:vAlign w:val="center"/>
          </w:tcPr>
          <w:p w14:paraId="02B022D1">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标况气量（m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/h）</w:t>
            </w:r>
          </w:p>
        </w:tc>
        <w:tc>
          <w:tcPr>
            <w:tcW w:w="542" w:type="pct"/>
            <w:tcBorders>
              <w:tl2br w:val="nil"/>
              <w:tr2bl w:val="nil"/>
            </w:tcBorders>
            <w:vAlign w:val="center"/>
          </w:tcPr>
          <w:p w14:paraId="69B2ECF1">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烟气温度（℃）</w:t>
            </w:r>
          </w:p>
        </w:tc>
        <w:tc>
          <w:tcPr>
            <w:tcW w:w="774" w:type="pct"/>
            <w:tcBorders>
              <w:tl2br w:val="nil"/>
              <w:tr2bl w:val="nil"/>
            </w:tcBorders>
            <w:vAlign w:val="center"/>
          </w:tcPr>
          <w:p w14:paraId="020668D4">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评价标准</w:t>
            </w:r>
          </w:p>
          <w:p w14:paraId="67E24482">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（µg/m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w:t>
            </w:r>
          </w:p>
        </w:tc>
        <w:tc>
          <w:tcPr>
            <w:tcW w:w="790" w:type="pct"/>
            <w:tcBorders>
              <w:tl2br w:val="nil"/>
              <w:tr2bl w:val="nil"/>
            </w:tcBorders>
            <w:vAlign w:val="center"/>
          </w:tcPr>
          <w:p w14:paraId="28EC672B">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非正常排放时源强（kg/h）</w:t>
            </w:r>
          </w:p>
        </w:tc>
      </w:tr>
      <w:tr w14:paraId="464CB7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79" w:type="pct"/>
            <w:tcBorders>
              <w:tl2br w:val="nil"/>
              <w:tr2bl w:val="nil"/>
            </w:tcBorders>
            <w:vAlign w:val="center"/>
          </w:tcPr>
          <w:p w14:paraId="179E2BA4">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548" w:type="pct"/>
            <w:tcBorders>
              <w:tl2br w:val="nil"/>
              <w:tr2bl w:val="nil"/>
            </w:tcBorders>
            <w:vAlign w:val="center"/>
          </w:tcPr>
          <w:p w14:paraId="2A11691B">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08CE3ADE">
            <w:pPr>
              <w:pStyle w:val="140"/>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20</w:t>
            </w:r>
          </w:p>
        </w:tc>
        <w:tc>
          <w:tcPr>
            <w:tcW w:w="700" w:type="pct"/>
            <w:tcBorders>
              <w:tl2br w:val="nil"/>
              <w:tr2bl w:val="nil"/>
            </w:tcBorders>
            <w:vAlign w:val="center"/>
          </w:tcPr>
          <w:p w14:paraId="4E852C6F">
            <w:pPr>
              <w:adjustRightInd w:val="0"/>
              <w:snapToGrid w:val="0"/>
              <w:jc w:val="center"/>
              <w:rPr>
                <w:rFonts w:hint="default"/>
                <w:color w:val="000000"/>
                <w:sz w:val="21"/>
                <w:szCs w:val="21"/>
                <w:lang w:val="en-US" w:eastAsia="zh-CN"/>
              </w:rPr>
            </w:pPr>
            <w:r>
              <w:rPr>
                <w:rFonts w:hint="eastAsia"/>
                <w:color w:val="000000"/>
                <w:sz w:val="21"/>
                <w:szCs w:val="21"/>
                <w:lang w:val="en-US" w:eastAsia="zh-CN"/>
              </w:rPr>
              <w:t>1.2</w:t>
            </w:r>
          </w:p>
        </w:tc>
        <w:tc>
          <w:tcPr>
            <w:tcW w:w="575" w:type="pct"/>
            <w:tcBorders>
              <w:tl2br w:val="nil"/>
              <w:tr2bl w:val="nil"/>
            </w:tcBorders>
            <w:vAlign w:val="center"/>
          </w:tcPr>
          <w:p w14:paraId="7B49099A">
            <w:pPr>
              <w:pStyle w:val="140"/>
              <w:spacing w:before="0"/>
              <w:ind w:left="0" w:leftChars="0"/>
              <w:jc w:val="center"/>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45000</w:t>
            </w:r>
          </w:p>
        </w:tc>
        <w:tc>
          <w:tcPr>
            <w:tcW w:w="542" w:type="pct"/>
            <w:tcBorders>
              <w:tl2br w:val="nil"/>
              <w:tr2bl w:val="nil"/>
            </w:tcBorders>
            <w:vAlign w:val="center"/>
          </w:tcPr>
          <w:p w14:paraId="232AB3F1">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4" w:type="pct"/>
            <w:tcBorders>
              <w:tl2br w:val="nil"/>
              <w:tr2bl w:val="nil"/>
            </w:tcBorders>
            <w:vAlign w:val="center"/>
          </w:tcPr>
          <w:p w14:paraId="27875B37">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0" w:type="pct"/>
            <w:tcBorders>
              <w:tl2br w:val="nil"/>
              <w:tr2bl w:val="nil"/>
            </w:tcBorders>
            <w:vAlign w:val="center"/>
          </w:tcPr>
          <w:p w14:paraId="065A4487">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w:t>
            </w:r>
          </w:p>
        </w:tc>
      </w:tr>
      <w:tr w14:paraId="19BB80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9" w:type="pct"/>
            <w:tcBorders>
              <w:tl2br w:val="nil"/>
              <w:tr2bl w:val="nil"/>
            </w:tcBorders>
            <w:vAlign w:val="center"/>
          </w:tcPr>
          <w:p w14:paraId="262D0348">
            <w:pPr>
              <w:pStyle w:val="140"/>
              <w:ind w:left="0" w:leftChars="0" w:right="0" w:rightChars="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sz w:val="21"/>
                <w:szCs w:val="21"/>
                <w:lang w:val="en-US" w:eastAsia="zh-CN"/>
              </w:rPr>
              <w:t>2</w:t>
            </w:r>
            <w:r>
              <w:rPr>
                <w:rFonts w:hint="eastAsia" w:ascii="Times New Roman" w:hAnsi="Times New Roman" w:eastAsia="宋体" w:cs="Times New Roman"/>
                <w:spacing w:val="0"/>
                <w:sz w:val="21"/>
                <w:szCs w:val="21"/>
                <w:lang w:val="en-US" w:eastAsia="zh-CN"/>
              </w:rPr>
              <w:t>#排气筒</w:t>
            </w:r>
          </w:p>
        </w:tc>
        <w:tc>
          <w:tcPr>
            <w:tcW w:w="548" w:type="pct"/>
            <w:tcBorders>
              <w:tl2br w:val="nil"/>
              <w:tr2bl w:val="nil"/>
            </w:tcBorders>
            <w:vAlign w:val="center"/>
          </w:tcPr>
          <w:p w14:paraId="3C03B5C4">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774CDB75">
            <w:pPr>
              <w:pStyle w:val="140"/>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20</w:t>
            </w:r>
          </w:p>
        </w:tc>
        <w:tc>
          <w:tcPr>
            <w:tcW w:w="700" w:type="pct"/>
            <w:tcBorders>
              <w:tl2br w:val="nil"/>
              <w:tr2bl w:val="nil"/>
            </w:tcBorders>
            <w:vAlign w:val="center"/>
          </w:tcPr>
          <w:p w14:paraId="32C41DC1">
            <w:pPr>
              <w:adjustRightInd w:val="0"/>
              <w:snapToGrid w:val="0"/>
              <w:jc w:val="center"/>
              <w:rPr>
                <w:rFonts w:hint="default"/>
                <w:color w:val="000000"/>
                <w:sz w:val="21"/>
                <w:szCs w:val="21"/>
                <w:lang w:val="en-US" w:eastAsia="zh-CN"/>
              </w:rPr>
            </w:pPr>
            <w:r>
              <w:rPr>
                <w:rFonts w:hint="eastAsia"/>
                <w:color w:val="000000"/>
                <w:sz w:val="21"/>
                <w:szCs w:val="21"/>
                <w:lang w:val="en-US" w:eastAsia="zh-CN"/>
              </w:rPr>
              <w:t>0.8</w:t>
            </w:r>
          </w:p>
        </w:tc>
        <w:tc>
          <w:tcPr>
            <w:tcW w:w="575" w:type="pct"/>
            <w:tcBorders>
              <w:bottom w:val="single" w:color="auto" w:sz="4" w:space="0"/>
              <w:tl2br w:val="nil"/>
              <w:tr2bl w:val="nil"/>
            </w:tcBorders>
            <w:vAlign w:val="center"/>
          </w:tcPr>
          <w:p w14:paraId="551F0C37">
            <w:pPr>
              <w:pStyle w:val="140"/>
              <w:spacing w:before="0"/>
              <w:ind w:left="0" w:leftChars="0"/>
              <w:jc w:val="center"/>
              <w:rPr>
                <w:rFonts w:hint="default"/>
                <w:color w:val="000000"/>
                <w:sz w:val="21"/>
                <w:szCs w:val="21"/>
                <w:lang w:val="en-US" w:eastAsia="zh-CN"/>
              </w:rPr>
            </w:pPr>
            <w:r>
              <w:rPr>
                <w:rFonts w:hint="eastAsia"/>
                <w:color w:val="000000"/>
                <w:sz w:val="21"/>
                <w:szCs w:val="21"/>
                <w:lang w:val="en-US" w:eastAsia="zh-CN"/>
              </w:rPr>
              <w:t>20000</w:t>
            </w:r>
          </w:p>
        </w:tc>
        <w:tc>
          <w:tcPr>
            <w:tcW w:w="542" w:type="pct"/>
            <w:tcBorders>
              <w:bottom w:val="single" w:color="auto" w:sz="4" w:space="0"/>
              <w:tl2br w:val="nil"/>
              <w:tr2bl w:val="nil"/>
            </w:tcBorders>
            <w:vAlign w:val="center"/>
          </w:tcPr>
          <w:p w14:paraId="467BEBA9">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4" w:type="pct"/>
            <w:tcBorders>
              <w:tl2br w:val="nil"/>
              <w:tr2bl w:val="nil"/>
            </w:tcBorders>
            <w:vAlign w:val="center"/>
          </w:tcPr>
          <w:p w14:paraId="7F9C3BD0">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0" w:type="pct"/>
            <w:tcBorders>
              <w:tl2br w:val="nil"/>
              <w:tr2bl w:val="nil"/>
            </w:tcBorders>
            <w:vAlign w:val="center"/>
          </w:tcPr>
          <w:p w14:paraId="52286063">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2</w:t>
            </w:r>
          </w:p>
        </w:tc>
      </w:tr>
      <w:tr w14:paraId="0A2A16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9" w:type="pct"/>
            <w:vMerge w:val="restart"/>
            <w:tcBorders>
              <w:tl2br w:val="nil"/>
              <w:tr2bl w:val="nil"/>
            </w:tcBorders>
            <w:vAlign w:val="center"/>
          </w:tcPr>
          <w:p w14:paraId="2307CDB4">
            <w:pPr>
              <w:pStyle w:val="140"/>
              <w:ind w:left="0" w:leftChars="0" w:right="0" w:rightChars="0"/>
              <w:rPr>
                <w:rFonts w:hint="eastAsia" w:ascii="Times New Roman" w:hAnsi="Times New Roman" w:eastAsia="宋体" w:cs="Times New Roman"/>
                <w:spacing w:val="0"/>
                <w:sz w:val="21"/>
                <w:szCs w:val="21"/>
                <w:lang w:val="en-US" w:eastAsia="zh-CN"/>
              </w:rPr>
            </w:pPr>
            <w:r>
              <w:rPr>
                <w:rFonts w:hint="eastAsia" w:ascii="Times New Roman" w:hAnsi="Times New Roman" w:cs="Times New Roman"/>
                <w:spacing w:val="0"/>
                <w:sz w:val="21"/>
                <w:szCs w:val="21"/>
                <w:lang w:val="en-US" w:eastAsia="zh-CN"/>
              </w:rPr>
              <w:t>3</w:t>
            </w:r>
            <w:r>
              <w:rPr>
                <w:rFonts w:hint="eastAsia" w:ascii="Times New Roman" w:hAnsi="Times New Roman" w:eastAsia="宋体" w:cs="Times New Roman"/>
                <w:spacing w:val="0"/>
                <w:sz w:val="21"/>
                <w:szCs w:val="21"/>
                <w:lang w:val="en-US" w:eastAsia="zh-CN"/>
              </w:rPr>
              <w:t>#排气筒</w:t>
            </w:r>
          </w:p>
        </w:tc>
        <w:tc>
          <w:tcPr>
            <w:tcW w:w="548" w:type="pct"/>
            <w:tcBorders>
              <w:tl2br w:val="nil"/>
              <w:tr2bl w:val="nil"/>
            </w:tcBorders>
            <w:vAlign w:val="center"/>
          </w:tcPr>
          <w:p w14:paraId="298B7636">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589" w:type="pct"/>
            <w:tcBorders>
              <w:tl2br w:val="nil"/>
              <w:tr2bl w:val="nil"/>
            </w:tcBorders>
            <w:vAlign w:val="center"/>
          </w:tcPr>
          <w:p w14:paraId="730B4F98">
            <w:pPr>
              <w:pStyle w:val="140"/>
              <w:spacing w:before="0"/>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vMerge w:val="restart"/>
            <w:tcBorders>
              <w:tl2br w:val="nil"/>
              <w:tr2bl w:val="nil"/>
            </w:tcBorders>
            <w:vAlign w:val="center"/>
          </w:tcPr>
          <w:p w14:paraId="6AE5602E">
            <w:pPr>
              <w:adjustRightInd w:val="0"/>
              <w:snapToGrid w:val="0"/>
              <w:jc w:val="center"/>
              <w:rPr>
                <w:rFonts w:hint="default"/>
                <w:color w:val="000000"/>
                <w:sz w:val="21"/>
                <w:szCs w:val="21"/>
                <w:lang w:val="en-US" w:eastAsia="zh-CN"/>
              </w:rPr>
            </w:pPr>
            <w:r>
              <w:rPr>
                <w:rFonts w:hint="eastAsia"/>
                <w:color w:val="000000"/>
                <w:sz w:val="21"/>
                <w:szCs w:val="21"/>
                <w:lang w:val="en-US" w:eastAsia="zh-CN"/>
              </w:rPr>
              <w:t>0.7</w:t>
            </w:r>
          </w:p>
        </w:tc>
        <w:tc>
          <w:tcPr>
            <w:tcW w:w="575" w:type="pct"/>
            <w:vMerge w:val="restart"/>
            <w:tcBorders>
              <w:top w:val="single" w:color="auto" w:sz="4" w:space="0"/>
              <w:tl2br w:val="nil"/>
              <w:tr2bl w:val="nil"/>
            </w:tcBorders>
            <w:vAlign w:val="center"/>
          </w:tcPr>
          <w:p w14:paraId="0EC3F9A6">
            <w:pPr>
              <w:pStyle w:val="140"/>
              <w:spacing w:before="0"/>
              <w:ind w:left="0" w:leftChars="0"/>
              <w:jc w:val="center"/>
              <w:rPr>
                <w:rFonts w:hint="default"/>
                <w:color w:val="000000"/>
                <w:sz w:val="21"/>
                <w:szCs w:val="21"/>
                <w:lang w:val="en-US" w:eastAsia="zh-CN"/>
              </w:rPr>
            </w:pPr>
            <w:r>
              <w:rPr>
                <w:rFonts w:hint="eastAsia"/>
                <w:color w:val="000000"/>
                <w:sz w:val="21"/>
                <w:szCs w:val="21"/>
                <w:lang w:val="en-US" w:eastAsia="zh-CN"/>
              </w:rPr>
              <w:t>16000</w:t>
            </w:r>
          </w:p>
        </w:tc>
        <w:tc>
          <w:tcPr>
            <w:tcW w:w="542" w:type="pct"/>
            <w:tcBorders>
              <w:top w:val="single" w:color="auto" w:sz="4" w:space="0"/>
              <w:tl2br w:val="nil"/>
              <w:tr2bl w:val="nil"/>
            </w:tcBorders>
            <w:vAlign w:val="center"/>
          </w:tcPr>
          <w:p w14:paraId="7B09A07B">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4" w:type="pct"/>
            <w:tcBorders>
              <w:tl2br w:val="nil"/>
              <w:tr2bl w:val="nil"/>
            </w:tcBorders>
            <w:vAlign w:val="center"/>
          </w:tcPr>
          <w:p w14:paraId="2DA95246">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300（日均值）</w:t>
            </w:r>
          </w:p>
        </w:tc>
        <w:tc>
          <w:tcPr>
            <w:tcW w:w="790" w:type="pct"/>
            <w:tcBorders>
              <w:tl2br w:val="nil"/>
              <w:tr2bl w:val="nil"/>
            </w:tcBorders>
            <w:vAlign w:val="center"/>
          </w:tcPr>
          <w:p w14:paraId="647406B2">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2</w:t>
            </w:r>
          </w:p>
        </w:tc>
      </w:tr>
      <w:tr w14:paraId="62AD41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79" w:type="pct"/>
            <w:vMerge w:val="continue"/>
            <w:tcBorders>
              <w:tl2br w:val="nil"/>
              <w:tr2bl w:val="nil"/>
            </w:tcBorders>
            <w:vAlign w:val="center"/>
          </w:tcPr>
          <w:p w14:paraId="214B68B0">
            <w:pPr>
              <w:pStyle w:val="140"/>
              <w:ind w:left="0" w:leftChars="0" w:right="0" w:rightChars="0"/>
              <w:rPr>
                <w:rFonts w:hint="eastAsia" w:ascii="Times New Roman" w:hAnsi="Times New Roman" w:cs="Times New Roman"/>
                <w:spacing w:val="0"/>
                <w:sz w:val="21"/>
                <w:szCs w:val="21"/>
                <w:lang w:val="en-US" w:eastAsia="zh-CN"/>
              </w:rPr>
            </w:pPr>
          </w:p>
        </w:tc>
        <w:tc>
          <w:tcPr>
            <w:tcW w:w="548" w:type="pct"/>
            <w:tcBorders>
              <w:tl2br w:val="nil"/>
              <w:tr2bl w:val="nil"/>
            </w:tcBorders>
            <w:vAlign w:val="center"/>
          </w:tcPr>
          <w:p w14:paraId="3B1255F3">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589" w:type="pct"/>
            <w:tcBorders>
              <w:tl2br w:val="nil"/>
              <w:tr2bl w:val="nil"/>
            </w:tcBorders>
            <w:vAlign w:val="center"/>
          </w:tcPr>
          <w:p w14:paraId="0FE780A5">
            <w:pPr>
              <w:spacing w:before="0"/>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20</w:t>
            </w:r>
          </w:p>
        </w:tc>
        <w:tc>
          <w:tcPr>
            <w:tcW w:w="700" w:type="pct"/>
            <w:vMerge w:val="continue"/>
            <w:tcBorders>
              <w:tl2br w:val="nil"/>
              <w:tr2bl w:val="nil"/>
            </w:tcBorders>
            <w:vAlign w:val="center"/>
          </w:tcPr>
          <w:p w14:paraId="3AF57175">
            <w:pPr>
              <w:adjustRightInd w:val="0"/>
              <w:snapToGrid w:val="0"/>
              <w:jc w:val="center"/>
              <w:rPr>
                <w:rFonts w:hint="default"/>
                <w:color w:val="000000"/>
                <w:sz w:val="21"/>
                <w:szCs w:val="21"/>
                <w:lang w:val="en-US" w:eastAsia="zh-CN"/>
              </w:rPr>
            </w:pPr>
          </w:p>
        </w:tc>
        <w:tc>
          <w:tcPr>
            <w:tcW w:w="575" w:type="pct"/>
            <w:vMerge w:val="continue"/>
            <w:tcBorders>
              <w:tl2br w:val="nil"/>
              <w:tr2bl w:val="nil"/>
            </w:tcBorders>
            <w:vAlign w:val="center"/>
          </w:tcPr>
          <w:p w14:paraId="6BA8031C">
            <w:pPr>
              <w:pStyle w:val="140"/>
              <w:spacing w:before="0"/>
              <w:ind w:left="0" w:leftChars="0"/>
              <w:jc w:val="center"/>
              <w:rPr>
                <w:rFonts w:hint="eastAsia"/>
                <w:color w:val="000000"/>
                <w:sz w:val="21"/>
                <w:szCs w:val="21"/>
                <w:lang w:val="en-US" w:eastAsia="zh-CN"/>
              </w:rPr>
            </w:pPr>
          </w:p>
        </w:tc>
        <w:tc>
          <w:tcPr>
            <w:tcW w:w="542" w:type="pct"/>
            <w:tcBorders>
              <w:tl2br w:val="nil"/>
              <w:tr2bl w:val="nil"/>
            </w:tcBorders>
            <w:vAlign w:val="center"/>
          </w:tcPr>
          <w:p w14:paraId="275C827A">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4" w:type="pct"/>
            <w:tcBorders>
              <w:tl2br w:val="nil"/>
              <w:tr2bl w:val="nil"/>
            </w:tcBorders>
            <w:vAlign w:val="center"/>
          </w:tcPr>
          <w:p w14:paraId="6F6DFC68">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600（8h平均值）</w:t>
            </w:r>
          </w:p>
        </w:tc>
        <w:tc>
          <w:tcPr>
            <w:tcW w:w="790" w:type="pct"/>
            <w:tcBorders>
              <w:tl2br w:val="nil"/>
              <w:tr2bl w:val="nil"/>
            </w:tcBorders>
            <w:vAlign w:val="center"/>
          </w:tcPr>
          <w:p w14:paraId="62004578">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3</w:t>
            </w:r>
          </w:p>
        </w:tc>
      </w:tr>
    </w:tbl>
    <w:p w14:paraId="38A2D60D">
      <w:pPr>
        <w:pStyle w:val="13"/>
        <w:adjustRightInd w:val="0"/>
        <w:snapToGrid w:val="0"/>
        <w:spacing w:after="0" w:line="500" w:lineRule="exact"/>
        <w:jc w:val="center"/>
        <w:rPr>
          <w:rFonts w:hint="default"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11</w:t>
      </w:r>
      <w:r>
        <w:rPr>
          <w:rFonts w:hint="eastAsia" w:ascii="宋体" w:hAnsi="宋体" w:eastAsia="宋体" w:cs="宋体"/>
          <w:b/>
          <w:color w:val="000000" w:themeColor="text1"/>
          <w14:textFill>
            <w14:solidFill>
              <w14:schemeClr w14:val="tx1"/>
            </w14:solidFill>
          </w14:textFill>
        </w:rPr>
        <w:t>废气</w:t>
      </w:r>
      <w:r>
        <w:rPr>
          <w:rFonts w:hint="eastAsia" w:ascii="宋体" w:hAnsi="宋体" w:eastAsia="宋体" w:cs="宋体"/>
          <w:b/>
          <w:color w:val="000000" w:themeColor="text1"/>
          <w:lang w:eastAsia="zh-CN"/>
          <w14:textFill>
            <w14:solidFill>
              <w14:schemeClr w14:val="tx1"/>
            </w14:solidFill>
          </w14:textFill>
        </w:rPr>
        <w:t>污染源监测</w:t>
      </w:r>
      <w:r>
        <w:rPr>
          <w:rFonts w:hint="eastAsia" w:ascii="宋体" w:hAnsi="宋体" w:eastAsia="宋体" w:cs="宋体"/>
          <w:b/>
          <w:color w:val="000000" w:themeColor="text1"/>
          <w:lang w:val="en-US" w:eastAsia="zh-CN"/>
          <w14:textFill>
            <w14:solidFill>
              <w14:schemeClr w14:val="tx1"/>
            </w14:solidFill>
          </w14:textFill>
        </w:rPr>
        <w:t>参数</w:t>
      </w:r>
    </w:p>
    <w:tbl>
      <w:tblPr>
        <w:tblStyle w:val="37"/>
        <w:tblpPr w:leftFromText="180" w:rightFromText="180" w:vertAnchor="text" w:horzAnchor="page" w:tblpX="1562" w:tblpY="301"/>
        <w:tblOverlap w:val="never"/>
        <w:tblW w:w="4996" w:type="pct"/>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831"/>
        <w:gridCol w:w="1476"/>
        <w:gridCol w:w="3084"/>
        <w:gridCol w:w="1621"/>
      </w:tblGrid>
      <w:tr w14:paraId="3D767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blHeader/>
        </w:trPr>
        <w:tc>
          <w:tcPr>
            <w:tcW w:w="662" w:type="pct"/>
            <w:tcBorders>
              <w:tl2br w:val="nil"/>
              <w:tr2bl w:val="nil"/>
            </w:tcBorders>
            <w:vAlign w:val="center"/>
          </w:tcPr>
          <w:p w14:paraId="3E56A941">
            <w:pPr>
              <w:pStyle w:val="13"/>
              <w:adjustRightInd w:val="0"/>
              <w:snapToGrid w:val="0"/>
              <w:spacing w:before="0" w:after="0"/>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污染源</w:t>
            </w:r>
          </w:p>
        </w:tc>
        <w:tc>
          <w:tcPr>
            <w:tcW w:w="991" w:type="pct"/>
            <w:tcBorders>
              <w:tl2br w:val="nil"/>
              <w:tr2bl w:val="nil"/>
            </w:tcBorders>
            <w:vAlign w:val="center"/>
          </w:tcPr>
          <w:p w14:paraId="46E91AAF">
            <w:pPr>
              <w:pStyle w:val="13"/>
              <w:adjustRightInd w:val="0"/>
              <w:snapToGrid w:val="0"/>
              <w:spacing w:before="0" w:after="0"/>
              <w:ind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下风向距离(m)</w:t>
            </w:r>
          </w:p>
        </w:tc>
        <w:tc>
          <w:tcPr>
            <w:tcW w:w="799" w:type="pct"/>
            <w:tcBorders>
              <w:tl2br w:val="nil"/>
              <w:tr2bl w:val="nil"/>
            </w:tcBorders>
            <w:vAlign w:val="center"/>
          </w:tcPr>
          <w:p w14:paraId="7F8D7522">
            <w:pPr>
              <w:pStyle w:val="140"/>
              <w:adjustRightInd w:val="0"/>
              <w:snapToGrid w:val="0"/>
              <w:ind w:left="0" w:right="0"/>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污染物名称</w:t>
            </w:r>
          </w:p>
        </w:tc>
        <w:tc>
          <w:tcPr>
            <w:tcW w:w="1669" w:type="pct"/>
            <w:tcBorders>
              <w:tl2br w:val="nil"/>
              <w:tr2bl w:val="nil"/>
            </w:tcBorders>
            <w:vAlign w:val="center"/>
          </w:tcPr>
          <w:p w14:paraId="2A78D549">
            <w:pPr>
              <w:pStyle w:val="140"/>
              <w:adjustRightInd w:val="0"/>
              <w:snapToGrid w:val="0"/>
              <w:ind w:left="0" w:right="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下风向预测浓度Ci(mg/m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sz w:val="21"/>
                <w:szCs w:val="21"/>
                <w14:textFill>
                  <w14:solidFill>
                    <w14:schemeClr w14:val="tx1"/>
                  </w14:solidFill>
                </w14:textFill>
              </w:rPr>
              <w:t>)</w:t>
            </w:r>
          </w:p>
        </w:tc>
        <w:tc>
          <w:tcPr>
            <w:tcW w:w="877" w:type="pct"/>
            <w:tcBorders>
              <w:tl2br w:val="nil"/>
              <w:tr2bl w:val="nil"/>
            </w:tcBorders>
            <w:vAlign w:val="center"/>
          </w:tcPr>
          <w:p w14:paraId="0CE10AD0">
            <w:pPr>
              <w:pStyle w:val="140"/>
              <w:adjustRightInd w:val="0"/>
              <w:snapToGrid w:val="0"/>
              <w:rPr>
                <w:rFonts w:hint="default" w:ascii="Times New Roman" w:hAnsi="Times New Roman" w:cs="Times New Roman"/>
                <w:b w:val="0"/>
                <w:bCs w:val="0"/>
                <w:color w:val="000000" w:themeColor="text1"/>
                <w:sz w:val="21"/>
                <w:szCs w:val="21"/>
                <w14:textFill>
                  <w14:solidFill>
                    <w14:schemeClr w14:val="tx1"/>
                  </w14:solidFill>
                </w14:textFill>
              </w:rPr>
            </w:pPr>
            <w:r>
              <w:rPr>
                <w:rFonts w:hint="default" w:ascii="Times New Roman" w:hAnsi="Times New Roman" w:cs="Times New Roman"/>
                <w:b w:val="0"/>
                <w:bCs w:val="0"/>
                <w:color w:val="000000" w:themeColor="text1"/>
                <w:sz w:val="21"/>
                <w:szCs w:val="21"/>
                <w14:textFill>
                  <w14:solidFill>
                    <w14:schemeClr w14:val="tx1"/>
                  </w14:solidFill>
                </w14:textFill>
              </w:rPr>
              <w:t>占标率Pi(%)</w:t>
            </w:r>
          </w:p>
        </w:tc>
      </w:tr>
      <w:tr w14:paraId="301CA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tcBorders>
              <w:tl2br w:val="nil"/>
              <w:tr2bl w:val="nil"/>
            </w:tcBorders>
            <w:vAlign w:val="center"/>
          </w:tcPr>
          <w:p w14:paraId="78039DB1">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991" w:type="pct"/>
            <w:tcBorders>
              <w:tl2br w:val="nil"/>
              <w:tr2bl w:val="nil"/>
            </w:tcBorders>
            <w:vAlign w:val="center"/>
          </w:tcPr>
          <w:p w14:paraId="52297F07">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188</w:t>
            </w:r>
          </w:p>
        </w:tc>
        <w:tc>
          <w:tcPr>
            <w:tcW w:w="799" w:type="pct"/>
            <w:tcBorders>
              <w:tl2br w:val="nil"/>
              <w:tr2bl w:val="nil"/>
            </w:tcBorders>
            <w:vAlign w:val="center"/>
          </w:tcPr>
          <w:p w14:paraId="0E85C87E">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1669" w:type="pct"/>
            <w:tcBorders>
              <w:tl2br w:val="nil"/>
              <w:tr2bl w:val="nil"/>
            </w:tcBorders>
            <w:vAlign w:val="center"/>
          </w:tcPr>
          <w:p w14:paraId="6DDCDFCE">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0.53</w:t>
            </w:r>
          </w:p>
        </w:tc>
        <w:tc>
          <w:tcPr>
            <w:tcW w:w="877" w:type="pct"/>
            <w:tcBorders>
              <w:tl2br w:val="nil"/>
              <w:tr2bl w:val="nil"/>
            </w:tcBorders>
            <w:vAlign w:val="center"/>
          </w:tcPr>
          <w:p w14:paraId="1C7A45B6">
            <w:pPr>
              <w:adjustRightInd w:val="0"/>
              <w:snapToGrid w:val="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0.06</w:t>
            </w:r>
          </w:p>
        </w:tc>
      </w:tr>
      <w:tr w14:paraId="0D9BE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restart"/>
            <w:tcBorders>
              <w:tl2br w:val="nil"/>
              <w:tr2bl w:val="nil"/>
            </w:tcBorders>
            <w:vAlign w:val="center"/>
          </w:tcPr>
          <w:p w14:paraId="3718EF4D">
            <w:pPr>
              <w:adjustRightInd w:val="0"/>
              <w:snapToGrid w:val="0"/>
              <w:jc w:val="center"/>
              <w:rPr>
                <w:rFonts w:hint="default" w:ascii="Times New Roman" w:hAnsi="Times New Roman" w:eastAsia="宋体" w:cs="Times New Roman"/>
                <w:color w:val="000000"/>
                <w:kern w:val="2"/>
                <w:sz w:val="21"/>
                <w:szCs w:val="21"/>
                <w:lang w:val="en-US" w:eastAsia="zh-CN" w:bidi="ar-SA"/>
              </w:rPr>
            </w:pPr>
            <w:r>
              <w:rPr>
                <w:rFonts w:hint="eastAsia" w:eastAsia="宋体" w:cs="Times New Roman"/>
                <w:kern w:val="2"/>
                <w:sz w:val="21"/>
                <w:szCs w:val="21"/>
                <w:lang w:val="en-US" w:eastAsia="zh-CN" w:bidi="ar-SA"/>
              </w:rPr>
              <w:t>2</w:t>
            </w:r>
            <w:r>
              <w:rPr>
                <w:rFonts w:hint="eastAsia" w:ascii="Times New Roman" w:hAnsi="Times New Roman" w:eastAsia="宋体" w:cs="Times New Roman"/>
                <w:kern w:val="2"/>
                <w:sz w:val="21"/>
                <w:szCs w:val="21"/>
                <w:lang w:val="en-US" w:eastAsia="zh-CN" w:bidi="ar-SA"/>
              </w:rPr>
              <w:t>#排气筒</w:t>
            </w:r>
          </w:p>
        </w:tc>
        <w:tc>
          <w:tcPr>
            <w:tcW w:w="991" w:type="pct"/>
            <w:vMerge w:val="restart"/>
            <w:tcBorders>
              <w:tl2br w:val="nil"/>
              <w:tr2bl w:val="nil"/>
            </w:tcBorders>
            <w:shd w:val="clear" w:color="auto" w:fill="auto"/>
            <w:vAlign w:val="center"/>
          </w:tcPr>
          <w:p w14:paraId="3098A25A">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432</w:t>
            </w:r>
          </w:p>
        </w:tc>
        <w:tc>
          <w:tcPr>
            <w:tcW w:w="799" w:type="pct"/>
            <w:tcBorders>
              <w:tl2br w:val="nil"/>
              <w:tr2bl w:val="nil"/>
            </w:tcBorders>
            <w:shd w:val="clear" w:color="auto" w:fill="auto"/>
            <w:vAlign w:val="center"/>
          </w:tcPr>
          <w:p w14:paraId="5E59A425">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1669" w:type="pct"/>
            <w:tcBorders>
              <w:tl2br w:val="nil"/>
              <w:tr2bl w:val="nil"/>
            </w:tcBorders>
            <w:shd w:val="clear" w:color="auto" w:fill="auto"/>
            <w:vAlign w:val="center"/>
          </w:tcPr>
          <w:p w14:paraId="7A12FF1D">
            <w:pPr>
              <w:adjustRightInd w:val="0"/>
              <w:snapToGrid w:val="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0.14</w:t>
            </w:r>
          </w:p>
        </w:tc>
        <w:tc>
          <w:tcPr>
            <w:tcW w:w="877" w:type="pct"/>
            <w:tcBorders>
              <w:tl2br w:val="nil"/>
              <w:tr2bl w:val="nil"/>
            </w:tcBorders>
            <w:shd w:val="clear" w:color="auto" w:fill="auto"/>
            <w:vAlign w:val="center"/>
          </w:tcPr>
          <w:p w14:paraId="42E5E866">
            <w:pPr>
              <w:adjustRightInd w:val="0"/>
              <w:snapToGrid w:val="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0.02</w:t>
            </w:r>
          </w:p>
        </w:tc>
      </w:tr>
      <w:tr w14:paraId="343E61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vMerge w:val="restart"/>
            <w:tcBorders>
              <w:tl2br w:val="nil"/>
              <w:tr2bl w:val="nil"/>
            </w:tcBorders>
            <w:vAlign w:val="center"/>
          </w:tcPr>
          <w:p w14:paraId="63DAFF35">
            <w:pPr>
              <w:pStyle w:val="140"/>
              <w:ind w:left="0" w:leftChars="0" w:right="0" w:rightChars="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sz w:val="21"/>
                <w:szCs w:val="21"/>
                <w:lang w:val="en-US" w:eastAsia="zh-CN"/>
              </w:rPr>
              <w:t>3</w:t>
            </w:r>
            <w:r>
              <w:rPr>
                <w:rFonts w:hint="eastAsia" w:ascii="Times New Roman" w:hAnsi="Times New Roman" w:eastAsia="宋体" w:cs="Times New Roman"/>
                <w:spacing w:val="0"/>
                <w:sz w:val="21"/>
                <w:szCs w:val="21"/>
                <w:lang w:val="en-US" w:eastAsia="zh-CN"/>
              </w:rPr>
              <w:t>#排气筒</w:t>
            </w:r>
          </w:p>
        </w:tc>
        <w:tc>
          <w:tcPr>
            <w:tcW w:w="991" w:type="pct"/>
            <w:vMerge w:val="restart"/>
            <w:tcBorders>
              <w:tl2br w:val="nil"/>
              <w:tr2bl w:val="nil"/>
            </w:tcBorders>
            <w:vAlign w:val="center"/>
          </w:tcPr>
          <w:p w14:paraId="57E0D03E">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432</w:t>
            </w:r>
          </w:p>
        </w:tc>
        <w:tc>
          <w:tcPr>
            <w:tcW w:w="799" w:type="pct"/>
            <w:tcBorders>
              <w:tl2br w:val="nil"/>
              <w:tr2bl w:val="nil"/>
            </w:tcBorders>
            <w:vAlign w:val="center"/>
          </w:tcPr>
          <w:p w14:paraId="0D4F88AB">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1669" w:type="pct"/>
            <w:tcBorders>
              <w:tl2br w:val="nil"/>
              <w:tr2bl w:val="nil"/>
            </w:tcBorders>
            <w:shd w:val="clear" w:color="auto" w:fill="auto"/>
            <w:vAlign w:val="center"/>
          </w:tcPr>
          <w:p w14:paraId="56FE4178">
            <w:pPr>
              <w:jc w:val="center"/>
              <w:rPr>
                <w:rFonts w:hint="default" w:ascii="Times New Roman" w:hAnsi="Times New Roman" w:eastAsia="仿宋_GB2312" w:cs="Times New Roman"/>
                <w:kern w:val="2"/>
                <w:sz w:val="24"/>
                <w:szCs w:val="24"/>
                <w:lang w:val="en-US" w:eastAsia="zh-CN" w:bidi="ar-SA"/>
              </w:rPr>
            </w:pPr>
            <w:r>
              <w:rPr>
                <w:rFonts w:ascii="宋体" w:hAnsi="宋体" w:eastAsia="宋体"/>
                <w:b w:val="0"/>
                <w:sz w:val="23"/>
                <w:szCs w:val="23"/>
              </w:rPr>
              <w:t>0.14</w:t>
            </w:r>
          </w:p>
        </w:tc>
        <w:tc>
          <w:tcPr>
            <w:tcW w:w="877" w:type="pct"/>
            <w:tcBorders>
              <w:tl2br w:val="nil"/>
              <w:tr2bl w:val="nil"/>
            </w:tcBorders>
            <w:shd w:val="clear" w:color="auto" w:fill="auto"/>
            <w:vAlign w:val="center"/>
          </w:tcPr>
          <w:p w14:paraId="687B3A45">
            <w:pPr>
              <w:jc w:val="center"/>
              <w:rPr>
                <w:rFonts w:hint="default" w:ascii="Times New Roman" w:hAnsi="Times New Roman" w:eastAsia="仿宋_GB2312" w:cs="Times New Roman"/>
                <w:kern w:val="2"/>
                <w:sz w:val="24"/>
                <w:szCs w:val="24"/>
                <w:lang w:val="en-US" w:eastAsia="zh-CN" w:bidi="ar-SA"/>
              </w:rPr>
            </w:pPr>
            <w:r>
              <w:rPr>
                <w:rFonts w:ascii="宋体" w:hAnsi="宋体" w:eastAsia="宋体"/>
                <w:b w:val="0"/>
                <w:sz w:val="23"/>
                <w:szCs w:val="23"/>
              </w:rPr>
              <w:t>0.02</w:t>
            </w:r>
          </w:p>
        </w:tc>
      </w:tr>
      <w:tr w14:paraId="23548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662" w:type="pct"/>
            <w:vMerge w:val="continue"/>
            <w:tcBorders>
              <w:tl2br w:val="nil"/>
              <w:tr2bl w:val="nil"/>
            </w:tcBorders>
            <w:vAlign w:val="center"/>
          </w:tcPr>
          <w:p w14:paraId="0DCD52BC">
            <w:pPr>
              <w:pStyle w:val="140"/>
              <w:ind w:left="0" w:leftChars="0" w:right="0" w:rightChars="0"/>
              <w:rPr>
                <w:rFonts w:hint="eastAsia" w:ascii="Times New Roman" w:hAnsi="Times New Roman" w:cs="Times New Roman"/>
                <w:spacing w:val="0"/>
                <w:sz w:val="21"/>
                <w:szCs w:val="21"/>
                <w:lang w:val="en-US" w:eastAsia="zh-CN"/>
              </w:rPr>
            </w:pPr>
          </w:p>
        </w:tc>
        <w:tc>
          <w:tcPr>
            <w:tcW w:w="991" w:type="pct"/>
            <w:vMerge w:val="continue"/>
            <w:tcBorders>
              <w:tl2br w:val="nil"/>
              <w:tr2bl w:val="nil"/>
            </w:tcBorders>
            <w:vAlign w:val="center"/>
          </w:tcPr>
          <w:p w14:paraId="0FF5783B">
            <w:pPr>
              <w:pStyle w:val="140"/>
              <w:spacing w:before="0" w:line="240" w:lineRule="auto"/>
              <w:ind w:left="0" w:leftChars="0"/>
              <w:jc w:val="center"/>
              <w:rPr>
                <w:rFonts w:hint="eastAsia" w:ascii="Times New Roman" w:hAnsi="Times New Roman" w:cs="Times New Roman"/>
                <w:kern w:val="2"/>
                <w:sz w:val="21"/>
                <w:szCs w:val="24"/>
                <w:lang w:val="en-US" w:eastAsia="zh-CN" w:bidi="ar-SA"/>
              </w:rPr>
            </w:pPr>
          </w:p>
        </w:tc>
        <w:tc>
          <w:tcPr>
            <w:tcW w:w="799" w:type="pct"/>
            <w:tcBorders>
              <w:tl2br w:val="nil"/>
              <w:tr2bl w:val="nil"/>
            </w:tcBorders>
            <w:vAlign w:val="center"/>
          </w:tcPr>
          <w:p w14:paraId="15A9D3F0">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VOCS</w:t>
            </w:r>
          </w:p>
        </w:tc>
        <w:tc>
          <w:tcPr>
            <w:tcW w:w="1669" w:type="pct"/>
            <w:tcBorders>
              <w:tl2br w:val="nil"/>
              <w:tr2bl w:val="nil"/>
            </w:tcBorders>
            <w:shd w:val="clear" w:color="auto" w:fill="auto"/>
            <w:vAlign w:val="center"/>
          </w:tcPr>
          <w:p w14:paraId="3264254D">
            <w:pPr>
              <w:jc w:val="center"/>
              <w:rPr>
                <w:rFonts w:hint="eastAsia" w:ascii="Times New Roman" w:hAnsi="Times New Roman" w:eastAsia="仿宋_GB2312" w:cs="Times New Roman"/>
                <w:kern w:val="2"/>
                <w:sz w:val="24"/>
                <w:szCs w:val="24"/>
                <w:lang w:val="en-US" w:eastAsia="zh-CN" w:bidi="ar-SA"/>
              </w:rPr>
            </w:pPr>
            <w:r>
              <w:rPr>
                <w:rFonts w:ascii="宋体" w:hAnsi="宋体" w:eastAsia="宋体"/>
                <w:b w:val="0"/>
                <w:sz w:val="23"/>
                <w:szCs w:val="23"/>
              </w:rPr>
              <w:t>0.06</w:t>
            </w:r>
          </w:p>
        </w:tc>
        <w:tc>
          <w:tcPr>
            <w:tcW w:w="877" w:type="pct"/>
            <w:tcBorders>
              <w:tl2br w:val="nil"/>
              <w:tr2bl w:val="nil"/>
            </w:tcBorders>
            <w:shd w:val="clear" w:color="auto" w:fill="auto"/>
            <w:vAlign w:val="center"/>
          </w:tcPr>
          <w:p w14:paraId="6A190F54">
            <w:pPr>
              <w:jc w:val="center"/>
              <w:rPr>
                <w:rFonts w:hint="eastAsia" w:ascii="Times New Roman" w:hAnsi="Times New Roman" w:eastAsia="仿宋_GB2312" w:cs="Times New Roman"/>
                <w:kern w:val="2"/>
                <w:sz w:val="24"/>
                <w:szCs w:val="24"/>
                <w:lang w:val="en-US" w:eastAsia="zh-CN" w:bidi="ar-SA"/>
              </w:rPr>
            </w:pPr>
            <w:r>
              <w:rPr>
                <w:rFonts w:ascii="宋体" w:hAnsi="宋体" w:eastAsia="宋体"/>
                <w:b w:val="0"/>
                <w:sz w:val="23"/>
                <w:szCs w:val="23"/>
              </w:rPr>
              <w:t>0.00</w:t>
            </w:r>
          </w:p>
        </w:tc>
      </w:tr>
    </w:tbl>
    <w:p w14:paraId="0F9DADCA">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宋体"/>
          <w:b/>
          <w:color w:val="000000" w:themeColor="text1"/>
          <w14:textFill>
            <w14:solidFill>
              <w14:schemeClr w14:val="tx1"/>
            </w14:solidFill>
          </w14:textFill>
        </w:rPr>
      </w:pPr>
      <w:r>
        <w:rPr>
          <w:rFonts w:hint="default" w:ascii="Times New Roman" w:hAnsi="Times New Roman" w:eastAsia="宋体" w:cs="Times New Roman"/>
          <w:b/>
          <w:color w:val="000000" w:themeColor="text1"/>
          <w:lang w:val="en-US" w:eastAsia="zh-CN"/>
          <w14:textFill>
            <w14:solidFill>
              <w14:schemeClr w14:val="tx1"/>
            </w14:solidFill>
          </w14:textFill>
        </w:rPr>
        <w:t>1#</w:t>
      </w:r>
      <w:r>
        <w:rPr>
          <w:rFonts w:hint="eastAsia" w:ascii="宋体" w:hAnsi="宋体" w:eastAsia="宋体" w:cs="宋体"/>
          <w:b/>
          <w:color w:val="000000" w:themeColor="text1"/>
          <w:lang w:val="en-US" w:eastAsia="zh-CN"/>
          <w14:textFill>
            <w14:solidFill>
              <w14:schemeClr w14:val="tx1"/>
            </w14:solidFill>
          </w14:textFill>
        </w:rPr>
        <w:t>排气筒</w:t>
      </w:r>
      <w:r>
        <w:rPr>
          <w:rFonts w:hint="eastAsia" w:ascii="宋体" w:hAnsi="宋体" w:eastAsia="宋体" w:cs="宋体"/>
          <w:b/>
          <w:color w:val="000000" w:themeColor="text1"/>
          <w14:textFill>
            <w14:solidFill>
              <w14:schemeClr w14:val="tx1"/>
            </w14:solidFill>
          </w14:textFill>
        </w:rPr>
        <w:t>废气超标排放事故</w:t>
      </w:r>
    </w:p>
    <w:p w14:paraId="08EC8E69">
      <w:pPr>
        <w:pStyle w:val="5"/>
      </w:pPr>
    </w:p>
    <w:p w14:paraId="469BDEA2">
      <w:pPr>
        <w:adjustRightInd w:val="0"/>
        <w:snapToGrid w:val="0"/>
        <w:spacing w:line="500" w:lineRule="exact"/>
        <w:ind w:firstLine="480" w:firstLineChars="200"/>
        <w:rPr>
          <w:rFonts w:hint="eastAsia" w:eastAsia="宋体" w:cs="Times New Roman"/>
          <w:b/>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从上表分析可知，在</w:t>
      </w:r>
      <w:r>
        <w:rPr>
          <w:rFonts w:hint="eastAsia" w:eastAsia="宋体" w:cs="Times New Roman"/>
          <w:color w:val="000000" w:themeColor="text1"/>
          <w:lang w:val="en-US" w:eastAsia="zh-CN"/>
          <w14:textFill>
            <w14:solidFill>
              <w14:schemeClr w14:val="tx1"/>
            </w14:solidFill>
          </w14:textFill>
        </w:rPr>
        <w:t>1#排气筒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188</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0.53</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bookmarkStart w:id="194" w:name="OLE_LINK2"/>
    </w:p>
    <w:p w14:paraId="3BB92E29">
      <w:pPr>
        <w:adjustRightInd w:val="0"/>
        <w:snapToGrid w:val="0"/>
        <w:spacing w:line="500" w:lineRule="exact"/>
        <w:ind w:firstLine="482" w:firstLineChars="200"/>
        <w:rPr>
          <w:rFonts w:hint="default" w:ascii="Times New Roman" w:hAnsi="Times New Roman" w:eastAsia="宋体" w:cs="Times New Roman"/>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2</w:t>
      </w:r>
      <w:r>
        <w:rPr>
          <w:rFonts w:hint="default" w:ascii="Times New Roman" w:hAnsi="Times New Roman" w:eastAsia="宋体" w:cs="Times New Roman"/>
          <w:b/>
          <w:color w:val="000000" w:themeColor="text1"/>
          <w:lang w:val="en-US" w:eastAsia="zh-CN"/>
          <w14:textFill>
            <w14:solidFill>
              <w14:schemeClr w14:val="tx1"/>
            </w14:solidFill>
          </w14:textFill>
        </w:rPr>
        <w:t>#排气筒</w:t>
      </w:r>
      <w:r>
        <w:rPr>
          <w:rFonts w:hint="default" w:ascii="Times New Roman" w:hAnsi="Times New Roman" w:eastAsia="宋体" w:cs="Times New Roman"/>
          <w:b/>
          <w:color w:val="000000" w:themeColor="text1"/>
          <w14:textFill>
            <w14:solidFill>
              <w14:schemeClr w14:val="tx1"/>
            </w14:solidFill>
          </w14:textFill>
        </w:rPr>
        <w:t>废气超标排放事故</w:t>
      </w:r>
    </w:p>
    <w:p w14:paraId="131A2800">
      <w:pPr>
        <w:pStyle w:val="1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eastAsia="宋体" w:cs="Times New Roman"/>
          <w:b/>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从上表分析可知，在</w:t>
      </w:r>
      <w:r>
        <w:rPr>
          <w:rFonts w:hint="eastAsia" w:eastAsia="宋体" w:cs="Times New Roman"/>
          <w:color w:val="000000" w:themeColor="text1"/>
          <w:lang w:val="en-US" w:eastAsia="zh-CN"/>
          <w14:textFill>
            <w14:solidFill>
              <w14:schemeClr w14:val="tx1"/>
            </w14:solidFill>
          </w14:textFill>
        </w:rPr>
        <w:t>2#排气筒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432</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0.14</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p>
    <w:p w14:paraId="662CF7EF">
      <w:pPr>
        <w:adjustRightInd w:val="0"/>
        <w:snapToGrid w:val="0"/>
        <w:spacing w:line="500" w:lineRule="exact"/>
        <w:ind w:firstLine="482" w:firstLineChars="200"/>
        <w:rPr>
          <w:rFonts w:hint="default" w:ascii="Times New Roman" w:hAnsi="Times New Roman" w:eastAsia="宋体" w:cs="Times New Roman"/>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3</w:t>
      </w:r>
      <w:r>
        <w:rPr>
          <w:rFonts w:hint="default" w:ascii="Times New Roman" w:hAnsi="Times New Roman" w:eastAsia="宋体" w:cs="Times New Roman"/>
          <w:b/>
          <w:color w:val="000000" w:themeColor="text1"/>
          <w:lang w:val="en-US" w:eastAsia="zh-CN"/>
          <w14:textFill>
            <w14:solidFill>
              <w14:schemeClr w14:val="tx1"/>
            </w14:solidFill>
          </w14:textFill>
        </w:rPr>
        <w:t>#排气筒</w:t>
      </w:r>
      <w:r>
        <w:rPr>
          <w:rFonts w:hint="default" w:ascii="Times New Roman" w:hAnsi="Times New Roman" w:eastAsia="宋体" w:cs="Times New Roman"/>
          <w:b/>
          <w:color w:val="000000" w:themeColor="text1"/>
          <w14:textFill>
            <w14:solidFill>
              <w14:schemeClr w14:val="tx1"/>
            </w14:solidFill>
          </w14:textFill>
        </w:rPr>
        <w:t>废气超标排放事故</w:t>
      </w:r>
    </w:p>
    <w:p w14:paraId="3FF7BA25">
      <w:pPr>
        <w:adjustRightInd w:val="0"/>
        <w:snapToGrid w:val="0"/>
        <w:spacing w:line="500" w:lineRule="exact"/>
        <w:ind w:firstLine="480" w:firstLineChars="200"/>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从上表分析可知，在</w:t>
      </w:r>
      <w:r>
        <w:rPr>
          <w:rFonts w:hint="eastAsia" w:eastAsia="宋体" w:cs="Times New Roman"/>
          <w:color w:val="000000" w:themeColor="text1"/>
          <w:kern w:val="2"/>
          <w:sz w:val="24"/>
          <w:szCs w:val="24"/>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#排气筒</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下方向</w:t>
      </w:r>
      <w:r>
        <w:rPr>
          <w:rFonts w:hint="eastAsia" w:eastAsia="宋体" w:cs="Times New Roman"/>
          <w:color w:val="000000" w:themeColor="text1"/>
          <w:kern w:val="2"/>
          <w:sz w:val="24"/>
          <w:szCs w:val="24"/>
          <w:lang w:val="en-US" w:eastAsia="zh-CN" w:bidi="ar-SA"/>
          <w14:textFill>
            <w14:solidFill>
              <w14:schemeClr w14:val="tx1"/>
            </w14:solidFill>
          </w14:textFill>
        </w:rPr>
        <w:t>432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米处</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颗粒物</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0.14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mg/m3，小于标准值</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0.9</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mg/m3</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，挥发性有机物出现了最大落地浓度</w:t>
      </w:r>
      <w:r>
        <w:rPr>
          <w:rFonts w:hint="eastAsia" w:eastAsia="宋体" w:cs="Times New Roman"/>
          <w:color w:val="000000" w:themeColor="text1"/>
          <w:kern w:val="2"/>
          <w:sz w:val="24"/>
          <w:szCs w:val="24"/>
          <w:lang w:val="en-US" w:eastAsia="zh-CN" w:bidi="ar-SA"/>
          <w14:textFill>
            <w14:solidFill>
              <w14:schemeClr w14:val="tx1"/>
            </w14:solidFill>
          </w14:textFill>
        </w:rPr>
        <w:t>0.06</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mg/m3，小于1.2mg/m3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对大气环境和人的影响较小，主要影响厂界及周边企业职工。</w:t>
      </w:r>
    </w:p>
    <w:bookmarkEnd w:id="194"/>
    <w:p w14:paraId="41CA6F08">
      <w:pPr>
        <w:pStyle w:val="1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eastAsia="宋体" w:cs="Times New Roman"/>
          <w:sz w:val="24"/>
          <w:szCs w:val="24"/>
        </w:rPr>
      </w:pPr>
      <w:bookmarkStart w:id="195" w:name="_Toc2754"/>
      <w:bookmarkStart w:id="196" w:name="_Toc32454"/>
      <w:bookmarkStart w:id="197" w:name="_Toc30419"/>
      <w:r>
        <w:rPr>
          <w:rFonts w:hint="eastAsia" w:ascii="Times New Roman" w:hAnsi="Times New Roman" w:eastAsia="宋体" w:cs="Times New Roman"/>
          <w:sz w:val="24"/>
          <w:szCs w:val="24"/>
        </w:rPr>
        <w:t>5现有环境风险防控和应急措施差距分析</w:t>
      </w:r>
      <w:bookmarkEnd w:id="150"/>
      <w:bookmarkEnd w:id="195"/>
      <w:bookmarkEnd w:id="196"/>
      <w:bookmarkEnd w:id="197"/>
    </w:p>
    <w:p w14:paraId="67EBA356">
      <w:pPr>
        <w:pStyle w:val="3"/>
        <w:adjustRightInd w:val="0"/>
        <w:snapToGrid w:val="0"/>
        <w:spacing w:line="500" w:lineRule="exact"/>
        <w:ind w:firstLine="420" w:firstLineChars="200"/>
        <w:jc w:val="left"/>
        <w:rPr>
          <w:rFonts w:hint="eastAsia" w:ascii="宋体" w:hAnsi="宋体" w:eastAsia="宋体" w:cs="宋体"/>
        </w:rPr>
      </w:pPr>
      <w:bookmarkStart w:id="198" w:name="_Toc2496"/>
      <w:bookmarkStart w:id="199" w:name="_Toc27239"/>
      <w:bookmarkStart w:id="200" w:name="_Toc7007"/>
      <w:bookmarkStart w:id="201" w:name="_Toc402776217"/>
      <w:bookmarkStart w:id="202" w:name="_Toc353379550"/>
      <w:r>
        <w:rPr>
          <w:rFonts w:hint="eastAsia" w:ascii="Times New Roman" w:hAnsi="Times New Roman" w:eastAsia="宋体" w:cs="Times New Roman"/>
          <w:b w:val="0"/>
          <w:bCs w:val="0"/>
          <w:kern w:val="0"/>
          <w:sz w:val="21"/>
          <w:szCs w:val="21"/>
          <w:lang w:val="en-US" w:eastAsia="zh-CN" w:bidi="ar-SA"/>
        </w:rPr>
        <w:t>公司在环境风险防控和应急方面做了大量工作，基本建立起了一套较为完整的风险防控和应急系统，但与国家的相关标准和要求仍然存在着差距，通过寻找公司现有环境风险防控和应急措施方面存在的差距，通过整改和补充，可以进一步完善公司风险防控和应急体系，健全相关制度和程序，不断提高公司防范和应对突发环境事件的能力，可以从以下几个方面进行对比，寻找差距</w:t>
      </w:r>
      <w:r>
        <w:rPr>
          <w:rFonts w:hint="eastAsia" w:eastAsia="宋体" w:cs="Times New Roman"/>
          <w:b w:val="0"/>
          <w:bCs w:val="0"/>
          <w:kern w:val="0"/>
          <w:sz w:val="21"/>
          <w:szCs w:val="21"/>
          <w:lang w:val="en-US" w:eastAsia="zh-CN" w:bidi="ar-SA"/>
        </w:rPr>
        <w:t>。</w:t>
      </w:r>
    </w:p>
    <w:p w14:paraId="23CCC704">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5.1环境风险管理制度</w:t>
      </w:r>
      <w:bookmarkEnd w:id="198"/>
      <w:bookmarkEnd w:id="199"/>
      <w:bookmarkEnd w:id="200"/>
      <w:bookmarkEnd w:id="201"/>
    </w:p>
    <w:p w14:paraId="5C7B83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203" w:name="_Toc402776219"/>
      <w:r>
        <w:rPr>
          <w:rFonts w:hint="default" w:ascii="Times New Roman" w:hAnsi="Times New Roman" w:eastAsia="宋体" w:cs="Times New Roman"/>
        </w:rPr>
        <w:t>公司现有环境风险管理制度差距分析见表5-1。</w:t>
      </w:r>
    </w:p>
    <w:p w14:paraId="13F9DFBD">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表5-1环境风险管理制度差距分析</w:t>
      </w:r>
    </w:p>
    <w:tbl>
      <w:tblPr>
        <w:tblStyle w:val="37"/>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21"/>
        <w:gridCol w:w="2462"/>
        <w:gridCol w:w="4075"/>
        <w:gridCol w:w="1829"/>
      </w:tblGrid>
      <w:tr w14:paraId="17592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397" w:type="pct"/>
            <w:tcBorders>
              <w:tl2br w:val="nil"/>
              <w:tr2bl w:val="nil"/>
            </w:tcBorders>
            <w:vAlign w:val="center"/>
          </w:tcPr>
          <w:p w14:paraId="26BFE7FB">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序号</w:t>
            </w:r>
          </w:p>
        </w:tc>
        <w:tc>
          <w:tcPr>
            <w:tcW w:w="1354" w:type="pct"/>
            <w:tcBorders>
              <w:tl2br w:val="nil"/>
              <w:tr2bl w:val="nil"/>
            </w:tcBorders>
            <w:vAlign w:val="center"/>
          </w:tcPr>
          <w:p w14:paraId="67F83A9D">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项目</w:t>
            </w:r>
          </w:p>
        </w:tc>
        <w:tc>
          <w:tcPr>
            <w:tcW w:w="2241" w:type="pct"/>
            <w:tcBorders>
              <w:tl2br w:val="nil"/>
              <w:tr2bl w:val="nil"/>
            </w:tcBorders>
            <w:vAlign w:val="center"/>
          </w:tcPr>
          <w:p w14:paraId="1D989DF5">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实际情况</w:t>
            </w:r>
          </w:p>
        </w:tc>
        <w:tc>
          <w:tcPr>
            <w:tcW w:w="1006" w:type="pct"/>
            <w:tcBorders>
              <w:tl2br w:val="nil"/>
              <w:tr2bl w:val="nil"/>
            </w:tcBorders>
            <w:vAlign w:val="center"/>
          </w:tcPr>
          <w:p w14:paraId="70830B4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存在问题</w:t>
            </w:r>
          </w:p>
        </w:tc>
      </w:tr>
      <w:tr w14:paraId="3DBFE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397" w:type="pct"/>
            <w:tcBorders>
              <w:tl2br w:val="nil"/>
              <w:tr2bl w:val="nil"/>
            </w:tcBorders>
            <w:vAlign w:val="center"/>
          </w:tcPr>
          <w:p w14:paraId="0AC1D003">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1</w:t>
            </w:r>
          </w:p>
        </w:tc>
        <w:tc>
          <w:tcPr>
            <w:tcW w:w="1354" w:type="pct"/>
            <w:tcBorders>
              <w:tl2br w:val="nil"/>
              <w:tr2bl w:val="nil"/>
            </w:tcBorders>
            <w:vAlign w:val="center"/>
          </w:tcPr>
          <w:p w14:paraId="3BF2A34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环境风险防控和应急措施制度是否建立，环境风险防控重点岗位的责任人或责任机构是否明确，定期巡检和维护责任制度是否落实。</w:t>
            </w:r>
          </w:p>
        </w:tc>
        <w:tc>
          <w:tcPr>
            <w:tcW w:w="2241" w:type="pct"/>
            <w:tcBorders>
              <w:tl2br w:val="nil"/>
              <w:tr2bl w:val="nil"/>
            </w:tcBorders>
            <w:shd w:val="clear" w:color="auto" w:fill="auto"/>
            <w:vAlign w:val="center"/>
          </w:tcPr>
          <w:p w14:paraId="2D037A31">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公司已建立了环境风险防控和应急措施制度</w:t>
            </w:r>
            <w:r>
              <w:rPr>
                <w:rFonts w:hint="default" w:ascii="Times New Roman" w:hAnsi="Times New Roman" w:eastAsia="宋体" w:cs="Times New Roman"/>
                <w:sz w:val="21"/>
                <w:lang w:eastAsia="zh-CN"/>
              </w:rPr>
              <w:t>、</w:t>
            </w:r>
            <w:r>
              <w:rPr>
                <w:rFonts w:hint="default" w:ascii="Times New Roman" w:hAnsi="Times New Roman" w:eastAsia="宋体" w:cs="Times New Roman"/>
                <w:sz w:val="21"/>
              </w:rPr>
              <w:t>环境应急资源维护更新制度、污染防治设施运行管理制度，重点风险防控岗位由专人负责，见表5-</w:t>
            </w:r>
            <w:r>
              <w:rPr>
                <w:rFonts w:hint="default" w:ascii="Times New Roman" w:hAnsi="Times New Roman" w:eastAsia="宋体" w:cs="Times New Roman"/>
                <w:sz w:val="21"/>
                <w:lang w:val="en-US" w:eastAsia="zh-CN"/>
              </w:rPr>
              <w:t>2、5-3</w:t>
            </w:r>
            <w:r>
              <w:rPr>
                <w:rFonts w:hint="default" w:ascii="Times New Roman" w:hAnsi="Times New Roman" w:eastAsia="宋体" w:cs="Times New Roman"/>
                <w:sz w:val="21"/>
              </w:rPr>
              <w:t>。</w:t>
            </w:r>
          </w:p>
        </w:tc>
        <w:tc>
          <w:tcPr>
            <w:tcW w:w="1006" w:type="pct"/>
            <w:tcBorders>
              <w:tl2br w:val="nil"/>
              <w:tr2bl w:val="nil"/>
            </w:tcBorders>
            <w:vAlign w:val="center"/>
          </w:tcPr>
          <w:p w14:paraId="7BEED91D">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r w14:paraId="15749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1F2C962F">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2</w:t>
            </w:r>
          </w:p>
        </w:tc>
        <w:tc>
          <w:tcPr>
            <w:tcW w:w="1354" w:type="pct"/>
            <w:tcBorders>
              <w:tl2br w:val="nil"/>
              <w:tr2bl w:val="nil"/>
            </w:tcBorders>
            <w:vAlign w:val="center"/>
          </w:tcPr>
          <w:p w14:paraId="31D57735">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环评及批复文件的各项环境风险防控和应急措施要求是否落实。</w:t>
            </w:r>
          </w:p>
        </w:tc>
        <w:tc>
          <w:tcPr>
            <w:tcW w:w="2241" w:type="pct"/>
            <w:tcBorders>
              <w:tl2br w:val="nil"/>
              <w:tr2bl w:val="nil"/>
            </w:tcBorders>
            <w:shd w:val="clear" w:color="auto" w:fill="auto"/>
            <w:vAlign w:val="center"/>
          </w:tcPr>
          <w:p w14:paraId="1819D991">
            <w:pPr>
              <w:pStyle w:val="116"/>
              <w:adjustRightInd w:val="0"/>
              <w:spacing w:line="240" w:lineRule="auto"/>
              <w:jc w:val="both"/>
              <w:rPr>
                <w:rFonts w:hint="default" w:ascii="Times New Roman" w:hAnsi="Times New Roman" w:eastAsia="宋体" w:cs="Times New Roman"/>
                <w:sz w:val="21"/>
              </w:rPr>
            </w:pPr>
            <w:r>
              <w:rPr>
                <w:rFonts w:hint="default" w:ascii="Times New Roman" w:hAnsi="Times New Roman" w:eastAsia="宋体" w:cs="Times New Roman"/>
                <w:sz w:val="21"/>
              </w:rPr>
              <w:t>公司</w:t>
            </w:r>
            <w:r>
              <w:rPr>
                <w:rFonts w:hint="default" w:ascii="Times New Roman" w:hAnsi="Times New Roman" w:eastAsia="宋体" w:cs="Times New Roman"/>
                <w:sz w:val="21"/>
                <w:lang w:eastAsia="zh-CN"/>
              </w:rPr>
              <w:t>建设项目</w:t>
            </w:r>
            <w:r>
              <w:rPr>
                <w:rFonts w:hint="eastAsia" w:eastAsia="宋体" w:cs="Times New Roman"/>
                <w:sz w:val="21"/>
                <w:lang w:val="en-US" w:eastAsia="zh-CN"/>
              </w:rPr>
              <w:t>环评</w:t>
            </w:r>
            <w:r>
              <w:rPr>
                <w:rFonts w:hint="default" w:ascii="Times New Roman" w:hAnsi="Times New Roman" w:eastAsia="宋体" w:cs="Times New Roman"/>
                <w:sz w:val="21"/>
              </w:rPr>
              <w:t>及</w:t>
            </w:r>
            <w:r>
              <w:rPr>
                <w:rFonts w:hint="eastAsia" w:eastAsia="宋体" w:cs="Times New Roman"/>
                <w:sz w:val="21"/>
                <w:lang w:val="en-US" w:eastAsia="zh-CN"/>
              </w:rPr>
              <w:t>环评批复</w:t>
            </w:r>
            <w:r>
              <w:rPr>
                <w:rFonts w:hint="default" w:ascii="Times New Roman" w:hAnsi="Times New Roman" w:eastAsia="宋体" w:cs="Times New Roman"/>
                <w:sz w:val="21"/>
              </w:rPr>
              <w:t>的各项环境风险防控和应急措施均已落实。</w:t>
            </w:r>
          </w:p>
        </w:tc>
        <w:tc>
          <w:tcPr>
            <w:tcW w:w="1006" w:type="pct"/>
            <w:tcBorders>
              <w:tl2br w:val="nil"/>
              <w:tr2bl w:val="nil"/>
            </w:tcBorders>
            <w:vAlign w:val="center"/>
          </w:tcPr>
          <w:p w14:paraId="171B49F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1872AF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6BD2B57B">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3</w:t>
            </w:r>
          </w:p>
        </w:tc>
        <w:tc>
          <w:tcPr>
            <w:tcW w:w="1354" w:type="pct"/>
            <w:tcBorders>
              <w:tl2br w:val="nil"/>
              <w:tr2bl w:val="nil"/>
            </w:tcBorders>
            <w:vAlign w:val="center"/>
          </w:tcPr>
          <w:p w14:paraId="7E0D9DD9">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是否经常对职工开展环境风险和环境应急管理宣传和培训。</w:t>
            </w:r>
          </w:p>
        </w:tc>
        <w:tc>
          <w:tcPr>
            <w:tcW w:w="2241" w:type="pct"/>
            <w:tcBorders>
              <w:tl2br w:val="nil"/>
              <w:tr2bl w:val="nil"/>
            </w:tcBorders>
            <w:vAlign w:val="center"/>
          </w:tcPr>
          <w:p w14:paraId="37C0FBE8">
            <w:pPr>
              <w:pStyle w:val="116"/>
              <w:adjustRightInd w:val="0"/>
              <w:spacing w:line="240" w:lineRule="auto"/>
              <w:rPr>
                <w:rFonts w:hint="default" w:ascii="Times New Roman" w:hAnsi="Times New Roman" w:eastAsia="宋体" w:cs="Times New Roman"/>
                <w:sz w:val="21"/>
              </w:rPr>
            </w:pPr>
            <w:r>
              <w:rPr>
                <w:rFonts w:hint="eastAsia" w:eastAsia="宋体" w:cs="Times New Roman"/>
                <w:sz w:val="21"/>
                <w:lang w:val="en-US" w:eastAsia="zh-CN"/>
              </w:rPr>
              <w:t>未张贴应急处置卡</w:t>
            </w:r>
            <w:r>
              <w:rPr>
                <w:rFonts w:hint="default" w:ascii="Times New Roman" w:hAnsi="Times New Roman" w:eastAsia="宋体" w:cs="Times New Roman"/>
                <w:sz w:val="21"/>
              </w:rPr>
              <w:t>，</w:t>
            </w:r>
            <w:r>
              <w:rPr>
                <w:rFonts w:hint="eastAsia" w:eastAsia="宋体" w:cs="Times New Roman"/>
                <w:sz w:val="21"/>
                <w:lang w:val="en-US" w:eastAsia="zh-CN"/>
              </w:rPr>
              <w:t>但已对</w:t>
            </w:r>
            <w:r>
              <w:rPr>
                <w:rFonts w:hint="default" w:ascii="Times New Roman" w:hAnsi="Times New Roman" w:eastAsia="宋体" w:cs="Times New Roman"/>
                <w:sz w:val="21"/>
              </w:rPr>
              <w:t>对员工进行宣讲及培训。</w:t>
            </w:r>
          </w:p>
        </w:tc>
        <w:tc>
          <w:tcPr>
            <w:tcW w:w="1006" w:type="pct"/>
            <w:tcBorders>
              <w:tl2br w:val="nil"/>
              <w:tr2bl w:val="nil"/>
            </w:tcBorders>
            <w:vAlign w:val="center"/>
          </w:tcPr>
          <w:p w14:paraId="22772C47">
            <w:pPr>
              <w:pStyle w:val="116"/>
              <w:adjustRightInd w:val="0"/>
              <w:spacing w:line="240" w:lineRule="auto"/>
              <w:rPr>
                <w:rFonts w:hint="default" w:ascii="Times New Roman" w:hAnsi="Times New Roman" w:eastAsia="宋体" w:cs="Times New Roman"/>
                <w:sz w:val="21"/>
                <w:lang w:val="en-US" w:eastAsia="zh-CN"/>
              </w:rPr>
            </w:pPr>
            <w:r>
              <w:rPr>
                <w:rFonts w:hint="eastAsia" w:eastAsia="宋体" w:cs="Times New Roman"/>
                <w:sz w:val="21"/>
                <w:lang w:val="en-US" w:eastAsia="zh-CN"/>
              </w:rPr>
              <w:t>未张贴应急处置卡</w:t>
            </w:r>
          </w:p>
        </w:tc>
      </w:tr>
      <w:tr w14:paraId="3365E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97" w:type="pct"/>
            <w:tcBorders>
              <w:tl2br w:val="nil"/>
              <w:tr2bl w:val="nil"/>
            </w:tcBorders>
            <w:vAlign w:val="center"/>
          </w:tcPr>
          <w:p w14:paraId="05E7A2E2">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4</w:t>
            </w:r>
          </w:p>
        </w:tc>
        <w:tc>
          <w:tcPr>
            <w:tcW w:w="1354" w:type="pct"/>
            <w:tcBorders>
              <w:tl2br w:val="nil"/>
              <w:tr2bl w:val="nil"/>
            </w:tcBorders>
            <w:vAlign w:val="center"/>
          </w:tcPr>
          <w:p w14:paraId="73572569">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是否建立突发环境事件信息报告制度，并有效执行。</w:t>
            </w:r>
          </w:p>
        </w:tc>
        <w:tc>
          <w:tcPr>
            <w:tcW w:w="2241" w:type="pct"/>
            <w:tcBorders>
              <w:tl2br w:val="nil"/>
              <w:tr2bl w:val="nil"/>
            </w:tcBorders>
            <w:vAlign w:val="center"/>
          </w:tcPr>
          <w:p w14:paraId="4129A2DA">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公司建立了有效的突发环境事件信息报告制度，并确保有效执行。</w:t>
            </w:r>
          </w:p>
        </w:tc>
        <w:tc>
          <w:tcPr>
            <w:tcW w:w="1006" w:type="pct"/>
            <w:tcBorders>
              <w:tl2br w:val="nil"/>
              <w:tr2bl w:val="nil"/>
            </w:tcBorders>
            <w:vAlign w:val="center"/>
          </w:tcPr>
          <w:p w14:paraId="4EDE520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bl>
    <w:p w14:paraId="730AFC6A">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公司已建立了环境风险防控和应急措施制度，重点风险防控岗位由专人负责；公司环境风险防控相关制度见表5-2；关键装置/重点部位岗位责任情况见表5-3。</w:t>
      </w:r>
    </w:p>
    <w:p w14:paraId="7A45B8E2">
      <w:pPr>
        <w:adjustRightInd w:val="0"/>
        <w:snapToGrid w:val="0"/>
        <w:spacing w:line="500" w:lineRule="exact"/>
        <w:jc w:val="center"/>
        <w:rPr>
          <w:rFonts w:hint="default" w:ascii="Times New Roman" w:hAnsi="Times New Roman" w:eastAsia="宋体" w:cs="Times New Roman"/>
          <w:b/>
          <w:lang w:val="en-US" w:eastAsia="zh-CN"/>
        </w:rPr>
      </w:pPr>
      <w:r>
        <w:rPr>
          <w:rFonts w:hint="default" w:ascii="Times New Roman" w:hAnsi="Times New Roman" w:eastAsia="宋体" w:cs="Times New Roman"/>
          <w:b/>
        </w:rPr>
        <w:t>表5-2环境风险防控</w:t>
      </w:r>
      <w:r>
        <w:rPr>
          <w:rFonts w:hint="default" w:ascii="Times New Roman" w:hAnsi="Times New Roman" w:eastAsia="宋体" w:cs="Times New Roman"/>
          <w:b/>
          <w:lang w:val="en-US" w:eastAsia="zh-CN"/>
        </w:rPr>
        <w:t>相关制度一览表</w:t>
      </w:r>
    </w:p>
    <w:tbl>
      <w:tblPr>
        <w:tblStyle w:val="37"/>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14:paraId="19031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32" w:hRule="atLeast"/>
          <w:jc w:val="center"/>
        </w:trPr>
        <w:tc>
          <w:tcPr>
            <w:tcW w:w="529" w:type="pct"/>
            <w:tcBorders>
              <w:tl2br w:val="nil"/>
              <w:tr2bl w:val="nil"/>
            </w:tcBorders>
            <w:tcMar>
              <w:left w:w="0" w:type="dxa"/>
              <w:right w:w="0" w:type="dxa"/>
            </w:tcMar>
            <w:vAlign w:val="center"/>
          </w:tcPr>
          <w:p w14:paraId="56F9F7AD">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序号</w:t>
            </w:r>
          </w:p>
        </w:tc>
        <w:tc>
          <w:tcPr>
            <w:tcW w:w="4470" w:type="pct"/>
            <w:tcBorders>
              <w:tl2br w:val="nil"/>
              <w:tr2bl w:val="nil"/>
            </w:tcBorders>
            <w:tcMar>
              <w:left w:w="0" w:type="dxa"/>
              <w:right w:w="0" w:type="dxa"/>
            </w:tcMar>
            <w:vAlign w:val="center"/>
          </w:tcPr>
          <w:p w14:paraId="48BD9887">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文件名称</w:t>
            </w:r>
          </w:p>
        </w:tc>
      </w:tr>
      <w:tr w14:paraId="79264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63811CB9">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4470" w:type="pct"/>
            <w:tcBorders>
              <w:tl2br w:val="nil"/>
              <w:tr2bl w:val="nil"/>
            </w:tcBorders>
            <w:tcMar>
              <w:left w:w="0" w:type="dxa"/>
              <w:right w:w="0" w:type="dxa"/>
            </w:tcMar>
            <w:vAlign w:val="center"/>
          </w:tcPr>
          <w:p w14:paraId="5296225E">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环境风险防控和应急措施制度</w:t>
            </w:r>
          </w:p>
        </w:tc>
      </w:tr>
      <w:tr w14:paraId="1A651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48E9EB1B">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4470" w:type="pct"/>
            <w:tcBorders>
              <w:tl2br w:val="nil"/>
              <w:tr2bl w:val="nil"/>
            </w:tcBorders>
            <w:tcMar>
              <w:left w:w="0" w:type="dxa"/>
              <w:right w:w="0" w:type="dxa"/>
            </w:tcMar>
            <w:vAlign w:val="center"/>
          </w:tcPr>
          <w:p w14:paraId="107A4DC6">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环境应急资源维护更新制度</w:t>
            </w:r>
          </w:p>
        </w:tc>
      </w:tr>
      <w:tr w14:paraId="62C2C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14:paraId="0B11406E">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4470" w:type="pct"/>
            <w:tcBorders>
              <w:tl2br w:val="nil"/>
              <w:tr2bl w:val="nil"/>
            </w:tcBorders>
            <w:tcMar>
              <w:left w:w="0" w:type="dxa"/>
              <w:right w:w="0" w:type="dxa"/>
            </w:tcMar>
            <w:vAlign w:val="center"/>
          </w:tcPr>
          <w:p w14:paraId="5F99A2DB">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污染防治设施运行管理制度</w:t>
            </w:r>
          </w:p>
        </w:tc>
      </w:tr>
    </w:tbl>
    <w:p w14:paraId="789C9BAD">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表5-3</w:t>
      </w:r>
      <w:r>
        <w:rPr>
          <w:rFonts w:hint="default" w:ascii="Times New Roman" w:hAnsi="Times New Roman" w:eastAsia="宋体" w:cs="Times New Roman"/>
          <w:b/>
          <w:highlight w:val="none"/>
        </w:rPr>
        <w:t>环境风险防控重点岗位责任一览表</w:t>
      </w:r>
    </w:p>
    <w:tbl>
      <w:tblPr>
        <w:tblStyle w:val="37"/>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14:paraId="16D1A8D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14:paraId="08F24B7F">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14:paraId="65359B7D">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14:paraId="7FEDD65E">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highlight w:val="none"/>
              </w:rPr>
              <w:t>部门负责人</w:t>
            </w:r>
          </w:p>
        </w:tc>
        <w:tc>
          <w:tcPr>
            <w:tcW w:w="2917" w:type="dxa"/>
            <w:tcBorders>
              <w:tl2br w:val="nil"/>
              <w:tr2bl w:val="nil"/>
            </w:tcBorders>
            <w:vAlign w:val="center"/>
          </w:tcPr>
          <w:p w14:paraId="5A95CDEB">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管理要求</w:t>
            </w:r>
          </w:p>
        </w:tc>
      </w:tr>
      <w:tr w14:paraId="4C3671C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10084B55">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生产车间</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油漆仓库、原料仓库</w:t>
            </w:r>
          </w:p>
        </w:tc>
        <w:tc>
          <w:tcPr>
            <w:tcW w:w="1378" w:type="dxa"/>
            <w:tcBorders>
              <w:tl2br w:val="nil"/>
              <w:tr2bl w:val="nil"/>
            </w:tcBorders>
            <w:vAlign w:val="center"/>
          </w:tcPr>
          <w:p w14:paraId="71F67B5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3EDA2F6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eastAsia="宋体" w:cs="Times New Roman"/>
                <w:b w:val="0"/>
                <w:bCs w:val="0"/>
                <w:color w:val="000000"/>
                <w:sz w:val="21"/>
                <w:szCs w:val="21"/>
                <w:lang w:val="en-US" w:eastAsia="zh-CN"/>
              </w:rPr>
              <w:t>段益飞</w:t>
            </w:r>
          </w:p>
        </w:tc>
        <w:tc>
          <w:tcPr>
            <w:tcW w:w="2917" w:type="dxa"/>
            <w:vMerge w:val="restart"/>
            <w:tcBorders>
              <w:tl2br w:val="nil"/>
              <w:tr2bl w:val="nil"/>
            </w:tcBorders>
            <w:vAlign w:val="center"/>
          </w:tcPr>
          <w:p w14:paraId="44FDE405">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14:paraId="59B1F695">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5068B946">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危废仓库</w:t>
            </w:r>
          </w:p>
        </w:tc>
        <w:tc>
          <w:tcPr>
            <w:tcW w:w="1378" w:type="dxa"/>
            <w:tcBorders>
              <w:tl2br w:val="nil"/>
              <w:tr2bl w:val="nil"/>
            </w:tcBorders>
            <w:vAlign w:val="center"/>
          </w:tcPr>
          <w:p w14:paraId="2E4406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2E505D3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eastAsia="宋体" w:cs="Times New Roman"/>
                <w:b w:val="0"/>
                <w:bCs w:val="0"/>
                <w:color w:val="000000"/>
                <w:sz w:val="21"/>
                <w:szCs w:val="21"/>
                <w:lang w:val="en-US" w:eastAsia="zh-CN"/>
              </w:rPr>
              <w:t>段益飞</w:t>
            </w:r>
          </w:p>
        </w:tc>
        <w:tc>
          <w:tcPr>
            <w:tcW w:w="2917" w:type="dxa"/>
            <w:vMerge w:val="continue"/>
            <w:tcBorders>
              <w:tl2br w:val="nil"/>
              <w:tr2bl w:val="nil"/>
            </w:tcBorders>
            <w:vAlign w:val="center"/>
          </w:tcPr>
          <w:p w14:paraId="0143988E">
            <w:pPr>
              <w:widowControl/>
              <w:adjustRightInd w:val="0"/>
              <w:snapToGrid w:val="0"/>
              <w:jc w:val="center"/>
              <w:rPr>
                <w:rFonts w:ascii="宋体" w:hAnsi="宋体" w:eastAsia="宋体" w:cs="宋体"/>
                <w:kern w:val="0"/>
                <w:sz w:val="21"/>
                <w:szCs w:val="21"/>
              </w:rPr>
            </w:pPr>
          </w:p>
        </w:tc>
      </w:tr>
      <w:tr w14:paraId="227BFA9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1E738838">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气处理设施</w:t>
            </w:r>
          </w:p>
        </w:tc>
        <w:tc>
          <w:tcPr>
            <w:tcW w:w="1378" w:type="dxa"/>
            <w:tcBorders>
              <w:tl2br w:val="nil"/>
              <w:tr2bl w:val="nil"/>
            </w:tcBorders>
            <w:vAlign w:val="center"/>
          </w:tcPr>
          <w:p w14:paraId="3884D21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6C56D0B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kern w:val="2"/>
                <w:sz w:val="21"/>
                <w:szCs w:val="21"/>
                <w:lang w:val="en-US" w:eastAsia="zh-CN" w:bidi="ar-SA"/>
              </w:rPr>
            </w:pPr>
            <w:r>
              <w:rPr>
                <w:rFonts w:hint="eastAsia" w:eastAsia="宋体" w:cs="Times New Roman"/>
                <w:b w:val="0"/>
                <w:bCs w:val="0"/>
                <w:color w:val="000000"/>
                <w:sz w:val="21"/>
                <w:szCs w:val="21"/>
                <w:lang w:val="en-US" w:eastAsia="zh-CN"/>
              </w:rPr>
              <w:t>段益飞</w:t>
            </w:r>
          </w:p>
        </w:tc>
        <w:tc>
          <w:tcPr>
            <w:tcW w:w="2917" w:type="dxa"/>
            <w:vMerge w:val="continue"/>
            <w:tcBorders>
              <w:tl2br w:val="nil"/>
              <w:tr2bl w:val="nil"/>
            </w:tcBorders>
            <w:vAlign w:val="center"/>
          </w:tcPr>
          <w:p w14:paraId="6E4DAAD2">
            <w:pPr>
              <w:widowControl/>
              <w:adjustRightInd w:val="0"/>
              <w:snapToGrid w:val="0"/>
              <w:jc w:val="center"/>
              <w:rPr>
                <w:rFonts w:ascii="宋体" w:hAnsi="宋体" w:eastAsia="宋体" w:cs="宋体"/>
                <w:kern w:val="0"/>
                <w:sz w:val="21"/>
                <w:szCs w:val="21"/>
              </w:rPr>
            </w:pPr>
          </w:p>
        </w:tc>
      </w:tr>
      <w:tr w14:paraId="6424E16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38BD678D">
            <w:pPr>
              <w:widowControl/>
              <w:adjustRightInd w:val="0"/>
              <w:snapToGrid w:val="0"/>
              <w:jc w:val="center"/>
              <w:rPr>
                <w:rFonts w:hint="default" w:ascii="宋体" w:hAnsi="宋体" w:eastAsia="宋体" w:cs="宋体"/>
                <w:kern w:val="0"/>
                <w:sz w:val="21"/>
                <w:szCs w:val="21"/>
                <w:lang w:val="en-US" w:eastAsia="zh-CN"/>
              </w:rPr>
            </w:pPr>
            <w:bookmarkStart w:id="204" w:name="_Toc4920"/>
            <w:bookmarkStart w:id="205" w:name="_Toc402776218"/>
            <w:bookmarkStart w:id="206" w:name="_Toc510092964"/>
            <w:bookmarkStart w:id="207" w:name="_Toc496887136"/>
            <w:r>
              <w:rPr>
                <w:rFonts w:hint="eastAsia" w:ascii="宋体" w:hAnsi="宋体" w:eastAsia="宋体" w:cs="宋体"/>
                <w:kern w:val="0"/>
                <w:sz w:val="21"/>
                <w:szCs w:val="21"/>
                <w:lang w:val="en-US" w:eastAsia="zh-CN"/>
              </w:rPr>
              <w:t>污水处理设施</w:t>
            </w:r>
          </w:p>
        </w:tc>
        <w:tc>
          <w:tcPr>
            <w:tcW w:w="1378" w:type="dxa"/>
            <w:tcBorders>
              <w:tl2br w:val="nil"/>
              <w:tr2bl w:val="nil"/>
            </w:tcBorders>
            <w:vAlign w:val="center"/>
          </w:tcPr>
          <w:p w14:paraId="6244710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3121CA5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eastAsia="宋体" w:cs="Times New Roman"/>
                <w:b w:val="0"/>
                <w:bCs w:val="0"/>
                <w:color w:val="000000"/>
                <w:sz w:val="21"/>
                <w:szCs w:val="21"/>
                <w:lang w:val="en-US" w:eastAsia="zh-CN"/>
              </w:rPr>
              <w:t>段益飞</w:t>
            </w:r>
          </w:p>
        </w:tc>
        <w:tc>
          <w:tcPr>
            <w:tcW w:w="2917" w:type="dxa"/>
            <w:vMerge w:val="continue"/>
            <w:tcBorders>
              <w:tl2br w:val="nil"/>
              <w:tr2bl w:val="nil"/>
            </w:tcBorders>
            <w:vAlign w:val="center"/>
          </w:tcPr>
          <w:p w14:paraId="49F295CD">
            <w:pPr>
              <w:widowControl/>
              <w:adjustRightInd w:val="0"/>
              <w:snapToGrid w:val="0"/>
              <w:jc w:val="center"/>
              <w:rPr>
                <w:rFonts w:ascii="宋体" w:hAnsi="宋体" w:eastAsia="宋体" w:cs="宋体"/>
                <w:kern w:val="0"/>
                <w:sz w:val="21"/>
                <w:szCs w:val="21"/>
              </w:rPr>
            </w:pPr>
          </w:p>
        </w:tc>
      </w:tr>
      <w:tr w14:paraId="6827948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3772FB21">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雨水排口</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应急池</w:t>
            </w:r>
          </w:p>
        </w:tc>
        <w:tc>
          <w:tcPr>
            <w:tcW w:w="1378" w:type="dxa"/>
            <w:tcBorders>
              <w:tl2br w:val="nil"/>
              <w:tr2bl w:val="nil"/>
            </w:tcBorders>
            <w:vAlign w:val="center"/>
          </w:tcPr>
          <w:p w14:paraId="1F8F81E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租赁厂区</w:t>
            </w:r>
          </w:p>
        </w:tc>
        <w:tc>
          <w:tcPr>
            <w:tcW w:w="1721" w:type="dxa"/>
            <w:tcBorders>
              <w:tl2br w:val="nil"/>
              <w:tr2bl w:val="nil"/>
            </w:tcBorders>
            <w:vAlign w:val="center"/>
          </w:tcPr>
          <w:p w14:paraId="63BCD7C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eastAsia="宋体" w:cs="Times New Roman"/>
                <w:b w:val="0"/>
                <w:bCs w:val="0"/>
                <w:color w:val="000000"/>
                <w:sz w:val="21"/>
                <w:szCs w:val="21"/>
                <w:lang w:val="en-US" w:eastAsia="zh-CN"/>
              </w:rPr>
              <w:t>段益飞</w:t>
            </w:r>
          </w:p>
        </w:tc>
        <w:tc>
          <w:tcPr>
            <w:tcW w:w="2917" w:type="dxa"/>
            <w:vMerge w:val="continue"/>
            <w:tcBorders>
              <w:tl2br w:val="nil"/>
              <w:tr2bl w:val="nil"/>
            </w:tcBorders>
            <w:vAlign w:val="center"/>
          </w:tcPr>
          <w:p w14:paraId="24AB650D">
            <w:pPr>
              <w:widowControl/>
              <w:adjustRightInd w:val="0"/>
              <w:snapToGrid w:val="0"/>
              <w:jc w:val="center"/>
              <w:rPr>
                <w:rFonts w:ascii="宋体" w:hAnsi="宋体" w:eastAsia="宋体" w:cs="宋体"/>
                <w:kern w:val="0"/>
                <w:sz w:val="21"/>
                <w:szCs w:val="21"/>
              </w:rPr>
            </w:pPr>
          </w:p>
        </w:tc>
      </w:tr>
    </w:tbl>
    <w:p w14:paraId="61042EDC">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08" w:name="_Toc24558"/>
      <w:bookmarkStart w:id="209" w:name="_Toc10025"/>
      <w:r>
        <w:rPr>
          <w:rFonts w:hint="eastAsia" w:ascii="Times New Roman" w:hAnsi="Times New Roman" w:eastAsia="宋体" w:cs="Times New Roman"/>
          <w:color w:val="000000" w:themeColor="text1"/>
          <w:sz w:val="24"/>
          <w:szCs w:val="24"/>
          <w14:textFill>
            <w14:solidFill>
              <w14:schemeClr w14:val="tx1"/>
            </w14:solidFill>
          </w14:textFill>
        </w:rPr>
        <w:t>5.2环境风险防控与应急措施</w:t>
      </w:r>
      <w:bookmarkEnd w:id="204"/>
      <w:bookmarkEnd w:id="205"/>
      <w:bookmarkEnd w:id="206"/>
      <w:bookmarkEnd w:id="207"/>
      <w:bookmarkEnd w:id="208"/>
      <w:bookmarkEnd w:id="209"/>
    </w:p>
    <w:p w14:paraId="16564A5C">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企业环境风险防范与应急措施情况见表5-4。</w:t>
      </w:r>
    </w:p>
    <w:p w14:paraId="6B360771">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表5-4环境风险防控与应急措施差距分析对比表</w:t>
      </w:r>
    </w:p>
    <w:tbl>
      <w:tblPr>
        <w:tblStyle w:val="37"/>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0"/>
        <w:gridCol w:w="4096"/>
        <w:gridCol w:w="2427"/>
        <w:gridCol w:w="2094"/>
      </w:tblGrid>
      <w:tr w14:paraId="54F40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tblHeader/>
        </w:trPr>
        <w:tc>
          <w:tcPr>
            <w:tcW w:w="259" w:type="pct"/>
            <w:tcBorders>
              <w:tl2br w:val="nil"/>
              <w:tr2bl w:val="nil"/>
            </w:tcBorders>
            <w:vAlign w:val="center"/>
          </w:tcPr>
          <w:p w14:paraId="61FB073B">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253" w:type="pct"/>
            <w:tcBorders>
              <w:tl2br w:val="nil"/>
              <w:tr2bl w:val="nil"/>
            </w:tcBorders>
            <w:vAlign w:val="center"/>
          </w:tcPr>
          <w:p w14:paraId="74F50127">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环境风险防控与应急措施要求</w:t>
            </w:r>
          </w:p>
        </w:tc>
        <w:tc>
          <w:tcPr>
            <w:tcW w:w="1335" w:type="pct"/>
            <w:tcBorders>
              <w:tl2br w:val="nil"/>
              <w:tr2bl w:val="nil"/>
            </w:tcBorders>
            <w:vAlign w:val="center"/>
          </w:tcPr>
          <w:p w14:paraId="20F6298C">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1152" w:type="pct"/>
            <w:tcBorders>
              <w:tl2br w:val="nil"/>
              <w:tr2bl w:val="nil"/>
            </w:tcBorders>
            <w:vAlign w:val="center"/>
          </w:tcPr>
          <w:p w14:paraId="123A8848">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14:paraId="643AA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59" w:type="pct"/>
            <w:tcBorders>
              <w:tl2br w:val="nil"/>
              <w:tr2bl w:val="nil"/>
            </w:tcBorders>
            <w:vAlign w:val="center"/>
          </w:tcPr>
          <w:p w14:paraId="1991EB0A">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253" w:type="pct"/>
            <w:tcBorders>
              <w:tl2br w:val="nil"/>
              <w:tr2bl w:val="nil"/>
            </w:tcBorders>
            <w:vAlign w:val="center"/>
          </w:tcPr>
          <w:p w14:paraId="18DC241E">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335" w:type="pct"/>
            <w:tcBorders>
              <w:tl2br w:val="nil"/>
              <w:tr2bl w:val="nil"/>
            </w:tcBorders>
            <w:vAlign w:val="center"/>
          </w:tcPr>
          <w:p w14:paraId="3C33E026">
            <w:pPr>
              <w:adjustRightInd w:val="0"/>
              <w:snapToGrid w:val="0"/>
              <w:spacing w:line="32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公司废气</w:t>
            </w:r>
            <w:r>
              <w:rPr>
                <w:rFonts w:hint="default" w:ascii="Times New Roman" w:hAnsi="Times New Roman" w:eastAsia="宋体" w:cs="Times New Roman"/>
                <w:sz w:val="21"/>
                <w:szCs w:val="21"/>
              </w:rPr>
              <w:t>排放口</w:t>
            </w:r>
            <w:r>
              <w:rPr>
                <w:rFonts w:hint="default" w:ascii="Times New Roman" w:hAnsi="Times New Roman" w:eastAsia="宋体" w:cs="Times New Roman"/>
                <w:sz w:val="21"/>
                <w:szCs w:val="21"/>
                <w:lang w:val="en-US" w:eastAsia="zh-CN"/>
              </w:rPr>
              <w:t>设置采样孔，虽已</w:t>
            </w:r>
            <w:r>
              <w:rPr>
                <w:rFonts w:hint="default" w:ascii="Times New Roman" w:hAnsi="Times New Roman" w:eastAsia="宋体" w:cs="Times New Roman"/>
                <w:sz w:val="21"/>
                <w:szCs w:val="21"/>
              </w:rPr>
              <w:t>配备专人负责巡回检查废气处理装置的运转情况，</w:t>
            </w:r>
            <w:r>
              <w:rPr>
                <w:rFonts w:hint="default" w:ascii="Times New Roman" w:hAnsi="Times New Roman" w:eastAsia="宋体" w:cs="Times New Roman"/>
                <w:sz w:val="21"/>
                <w:szCs w:val="21"/>
                <w:lang w:val="en-US" w:eastAsia="zh-CN"/>
              </w:rPr>
              <w:t>但无监督核查机制，无法确保责任人是否履职</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公司实行“雨污分流”制，雨水收集后经厂区雨水管网排入市政雨水管网。</w:t>
            </w:r>
          </w:p>
        </w:tc>
        <w:tc>
          <w:tcPr>
            <w:tcW w:w="1152" w:type="pct"/>
            <w:tcBorders>
              <w:tl2br w:val="nil"/>
              <w:tr2bl w:val="nil"/>
            </w:tcBorders>
            <w:vAlign w:val="center"/>
          </w:tcPr>
          <w:p w14:paraId="44C203B3">
            <w:pPr>
              <w:adjustRightInd w:val="0"/>
              <w:snapToGrid w:val="0"/>
              <w:spacing w:line="3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配备专人巡查，并由</w:t>
            </w:r>
            <w:r>
              <w:rPr>
                <w:rFonts w:hint="eastAsia" w:eastAsia="宋体" w:cs="Times New Roman"/>
                <w:sz w:val="21"/>
                <w:szCs w:val="21"/>
                <w:lang w:val="en-US" w:eastAsia="zh-CN"/>
              </w:rPr>
              <w:t>安环</w:t>
            </w:r>
            <w:r>
              <w:rPr>
                <w:rFonts w:hint="default" w:ascii="Times New Roman" w:hAnsi="Times New Roman" w:eastAsia="宋体" w:cs="Times New Roman"/>
                <w:sz w:val="21"/>
                <w:szCs w:val="21"/>
                <w:lang w:val="en-US" w:eastAsia="zh-CN"/>
              </w:rPr>
              <w:t>部门进行监督检查。</w:t>
            </w:r>
          </w:p>
        </w:tc>
      </w:tr>
      <w:tr w14:paraId="793C1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59" w:type="pct"/>
            <w:tcBorders>
              <w:tl2br w:val="nil"/>
              <w:tr2bl w:val="nil"/>
            </w:tcBorders>
            <w:vAlign w:val="center"/>
          </w:tcPr>
          <w:p w14:paraId="329465FA">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253" w:type="pct"/>
            <w:tcBorders>
              <w:tl2br w:val="nil"/>
              <w:tr2bl w:val="nil"/>
            </w:tcBorders>
            <w:vAlign w:val="center"/>
          </w:tcPr>
          <w:p w14:paraId="23D660E1">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335" w:type="pct"/>
            <w:tcBorders>
              <w:tl2br w:val="nil"/>
              <w:tr2bl w:val="nil"/>
            </w:tcBorders>
            <w:vAlign w:val="center"/>
          </w:tcPr>
          <w:p w14:paraId="42632A04">
            <w:pPr>
              <w:adjustRightInd w:val="0"/>
              <w:snapToGrid w:val="0"/>
              <w:spacing w:line="240" w:lineRule="auto"/>
              <w:rPr>
                <w:rFonts w:hint="default" w:ascii="Times New Roman" w:hAnsi="Times New Roman" w:eastAsia="宋体" w:cs="Times New Roman"/>
                <w:sz w:val="21"/>
                <w:szCs w:val="21"/>
              </w:rPr>
            </w:pPr>
            <w:r>
              <w:rPr>
                <w:rFonts w:hint="eastAsia" w:eastAsia="宋体" w:cs="Times New Roman"/>
                <w:sz w:val="21"/>
                <w:szCs w:val="21"/>
                <w:lang w:val="en-US"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危废仓库设置导流沟</w:t>
            </w:r>
            <w:r>
              <w:rPr>
                <w:rFonts w:hint="default" w:ascii="Times New Roman" w:hAnsi="Times New Roman" w:eastAsia="宋体" w:cs="Times New Roman"/>
                <w:sz w:val="21"/>
                <w:szCs w:val="21"/>
                <w:lang w:val="en-US" w:eastAsia="zh-CN"/>
              </w:rPr>
              <w:t>和收集槽</w:t>
            </w:r>
            <w:r>
              <w:rPr>
                <w:rFonts w:hint="default" w:ascii="Times New Roman" w:hAnsi="Times New Roman" w:eastAsia="宋体" w:cs="Times New Roman"/>
                <w:sz w:val="21"/>
                <w:szCs w:val="21"/>
              </w:rPr>
              <w:t>；</w:t>
            </w:r>
          </w:p>
          <w:p w14:paraId="0583EFE5">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本公司消防尾水全部排入</w:t>
            </w:r>
            <w:r>
              <w:rPr>
                <w:rFonts w:hint="eastAsia" w:eastAsia="宋体" w:cs="Times New Roman"/>
                <w:sz w:val="21"/>
                <w:szCs w:val="21"/>
                <w:lang w:val="en-US" w:eastAsia="zh-CN"/>
              </w:rPr>
              <w:t>租赁厂区的</w:t>
            </w:r>
            <w:r>
              <w:rPr>
                <w:rFonts w:hint="default" w:ascii="Times New Roman" w:hAnsi="Times New Roman" w:eastAsia="宋体" w:cs="Times New Roman"/>
                <w:sz w:val="21"/>
                <w:szCs w:val="21"/>
              </w:rPr>
              <w:t>事故应急池</w:t>
            </w:r>
            <w:r>
              <w:rPr>
                <w:rFonts w:hint="default" w:ascii="Times New Roman" w:hAnsi="Times New Roman" w:eastAsia="宋体" w:cs="Times New Roman"/>
                <w:sz w:val="21"/>
                <w:szCs w:val="21"/>
                <w:highlight w:val="none"/>
                <w:lang w:eastAsia="zh-CN"/>
              </w:rPr>
              <w:t>（</w:t>
            </w:r>
            <w:r>
              <w:rPr>
                <w:rFonts w:hint="eastAsia" w:eastAsia="宋体" w:cs="Times New Roman"/>
                <w:sz w:val="21"/>
                <w:szCs w:val="21"/>
                <w:highlight w:val="none"/>
                <w:lang w:val="en-US" w:eastAsia="zh-CN"/>
              </w:rPr>
              <w:t>300m</w:t>
            </w:r>
            <w:r>
              <w:rPr>
                <w:rFonts w:hint="eastAsia" w:eastAsia="宋体" w:cs="Times New Roman"/>
                <w:sz w:val="21"/>
                <w:szCs w:val="21"/>
                <w:highlight w:val="none"/>
                <w:vertAlign w:val="superscript"/>
                <w:lang w:val="en-US" w:eastAsia="zh-CN"/>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rPr>
              <w:t>，</w:t>
            </w:r>
            <w:r>
              <w:rPr>
                <w:rFonts w:hint="eastAsia" w:eastAsia="宋体" w:cs="Times New Roman"/>
                <w:sz w:val="21"/>
                <w:szCs w:val="21"/>
                <w:lang w:val="en-US" w:eastAsia="zh-CN"/>
              </w:rPr>
              <w:t>应急事故</w:t>
            </w:r>
            <w:r>
              <w:rPr>
                <w:rFonts w:hint="default" w:ascii="Times New Roman" w:hAnsi="Times New Roman" w:eastAsia="宋体" w:cs="Times New Roman"/>
                <w:sz w:val="21"/>
                <w:szCs w:val="21"/>
              </w:rPr>
              <w:t>池位于</w:t>
            </w:r>
            <w:r>
              <w:rPr>
                <w:rFonts w:hint="eastAsia" w:eastAsia="宋体" w:cs="Times New Roman"/>
                <w:sz w:val="21"/>
                <w:szCs w:val="21"/>
                <w:lang w:val="en-US" w:eastAsia="zh-CN"/>
              </w:rPr>
              <w:t>雨</w:t>
            </w:r>
            <w:r>
              <w:rPr>
                <w:rFonts w:hint="default" w:ascii="Times New Roman" w:hAnsi="Times New Roman" w:eastAsia="宋体" w:cs="Times New Roman"/>
                <w:sz w:val="21"/>
                <w:szCs w:val="21"/>
              </w:rPr>
              <w:t>水收集管道的末端，能保证事故状态下顺利收集泄漏物，并已设置抽水设备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可将泄漏物运送至污水处理厂处理</w:t>
            </w:r>
            <w:r>
              <w:rPr>
                <w:rFonts w:hint="default" w:ascii="Times New Roman" w:hAnsi="Times New Roman" w:eastAsia="宋体" w:cs="Times New Roman"/>
                <w:sz w:val="21"/>
                <w:szCs w:val="21"/>
              </w:rPr>
              <w:t>。</w:t>
            </w:r>
          </w:p>
        </w:tc>
        <w:tc>
          <w:tcPr>
            <w:tcW w:w="1152" w:type="pct"/>
            <w:tcBorders>
              <w:tl2br w:val="nil"/>
              <w:tr2bl w:val="nil"/>
            </w:tcBorders>
            <w:vAlign w:val="center"/>
          </w:tcPr>
          <w:p w14:paraId="2E8C0D17">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上述措施合理有效，但未能定岗定员，</w:t>
            </w:r>
            <w:r>
              <w:rPr>
                <w:rFonts w:hint="default" w:ascii="Times New Roman" w:hAnsi="Times New Roman" w:eastAsia="宋体" w:cs="Times New Roman"/>
                <w:sz w:val="21"/>
                <w:szCs w:val="21"/>
                <w:lang w:val="en-US" w:eastAsia="zh-CN"/>
              </w:rPr>
              <w:t>需</w:t>
            </w:r>
            <w:r>
              <w:rPr>
                <w:rFonts w:hint="default" w:ascii="Times New Roman" w:hAnsi="Times New Roman" w:eastAsia="宋体" w:cs="Times New Roman"/>
                <w:sz w:val="21"/>
                <w:szCs w:val="21"/>
              </w:rPr>
              <w:t>安排专门人员并严格执行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方可</w:t>
            </w:r>
            <w:r>
              <w:rPr>
                <w:rFonts w:hint="default" w:ascii="Times New Roman" w:hAnsi="Times New Roman" w:eastAsia="宋体" w:cs="Times New Roman"/>
                <w:sz w:val="21"/>
                <w:szCs w:val="21"/>
              </w:rPr>
              <w:t>有效控制事故排放。</w:t>
            </w:r>
          </w:p>
        </w:tc>
      </w:tr>
      <w:tr w14:paraId="749A5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59" w:type="pct"/>
            <w:tcBorders>
              <w:tl2br w:val="nil"/>
              <w:tr2bl w:val="nil"/>
            </w:tcBorders>
            <w:vAlign w:val="center"/>
          </w:tcPr>
          <w:p w14:paraId="71496AF4">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253" w:type="pct"/>
            <w:tcBorders>
              <w:tl2br w:val="nil"/>
              <w:tr2bl w:val="nil"/>
            </w:tcBorders>
            <w:vAlign w:val="center"/>
          </w:tcPr>
          <w:p w14:paraId="1169375E">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335" w:type="pct"/>
            <w:tcBorders>
              <w:tl2br w:val="nil"/>
              <w:tr2bl w:val="nil"/>
            </w:tcBorders>
            <w:vAlign w:val="center"/>
          </w:tcPr>
          <w:p w14:paraId="73E8621B">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c>
          <w:tcPr>
            <w:tcW w:w="1152" w:type="pct"/>
            <w:tcBorders>
              <w:tl2br w:val="nil"/>
              <w:tr2bl w:val="nil"/>
            </w:tcBorders>
            <w:vAlign w:val="center"/>
          </w:tcPr>
          <w:p w14:paraId="276BE2DC">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r>
    </w:tbl>
    <w:p w14:paraId="0ED65692">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10" w:name="_Toc16479"/>
      <w:bookmarkStart w:id="211" w:name="_Toc14196"/>
      <w:bookmarkStart w:id="212" w:name="_Toc24990"/>
      <w:r>
        <w:rPr>
          <w:rFonts w:hint="eastAsia" w:ascii="Times New Roman" w:hAnsi="Times New Roman" w:eastAsia="宋体" w:cs="Times New Roman"/>
          <w:color w:val="000000" w:themeColor="text1"/>
          <w:sz w:val="24"/>
          <w:szCs w:val="24"/>
          <w14:textFill>
            <w14:solidFill>
              <w14:schemeClr w14:val="tx1"/>
            </w14:solidFill>
          </w14:textFill>
        </w:rPr>
        <w:t>5.3环境应急资源</w:t>
      </w:r>
      <w:bookmarkEnd w:id="210"/>
      <w:bookmarkEnd w:id="211"/>
      <w:bookmarkEnd w:id="212"/>
    </w:p>
    <w:p w14:paraId="27CF859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Cs w:val="28"/>
          <w14:textFill>
            <w14:solidFill>
              <w14:schemeClr w14:val="tx1"/>
            </w14:solidFill>
          </w14:textFill>
        </w:rPr>
      </w:pPr>
      <w:r>
        <w:rPr>
          <w:rFonts w:hint="default" w:ascii="Times New Roman" w:hAnsi="Times New Roman" w:eastAsia="宋体" w:cs="Times New Roman"/>
          <w:color w:val="000000" w:themeColor="text1"/>
          <w:szCs w:val="28"/>
          <w14:textFill>
            <w14:solidFill>
              <w14:schemeClr w14:val="tx1"/>
            </w14:solidFill>
          </w14:textFill>
        </w:rPr>
        <w:t>公司环境应急资源见表5-5。</w:t>
      </w:r>
    </w:p>
    <w:p w14:paraId="3762FC39">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表5-5公司环境应急资源情况</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14:paraId="033AAF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44A18A5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886" w:type="pct"/>
            <w:tcBorders>
              <w:tl2br w:val="nil"/>
              <w:tr2bl w:val="nil"/>
            </w:tcBorders>
            <w:vAlign w:val="center"/>
          </w:tcPr>
          <w:p w14:paraId="0411EA4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环境应急资源</w:t>
            </w:r>
          </w:p>
        </w:tc>
        <w:tc>
          <w:tcPr>
            <w:tcW w:w="2041" w:type="pct"/>
            <w:tcBorders>
              <w:tl2br w:val="nil"/>
              <w:tr2bl w:val="nil"/>
            </w:tcBorders>
            <w:vAlign w:val="center"/>
          </w:tcPr>
          <w:p w14:paraId="3DB5212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838" w:type="pct"/>
            <w:tcBorders>
              <w:tl2br w:val="nil"/>
              <w:tr2bl w:val="nil"/>
            </w:tcBorders>
            <w:vAlign w:val="center"/>
          </w:tcPr>
          <w:p w14:paraId="7951352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14:paraId="77E12B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3953B2F8">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86" w:type="pct"/>
            <w:tcBorders>
              <w:tl2br w:val="nil"/>
              <w:tr2bl w:val="nil"/>
            </w:tcBorders>
            <w:vAlign w:val="center"/>
          </w:tcPr>
          <w:p w14:paraId="3538D503">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是否配备必要的应急物资和应急装备（包括应急监测）</w:t>
            </w:r>
          </w:p>
        </w:tc>
        <w:tc>
          <w:tcPr>
            <w:tcW w:w="2041" w:type="pct"/>
            <w:tcBorders>
              <w:tl2br w:val="nil"/>
              <w:tr2bl w:val="nil"/>
            </w:tcBorders>
            <w:vAlign w:val="center"/>
          </w:tcPr>
          <w:p w14:paraId="74E6097C">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已配备大部分的应急物资和应急装备</w:t>
            </w:r>
            <w:r>
              <w:rPr>
                <w:rFonts w:hint="eastAsia" w:eastAsia="宋体" w:cs="Times New Roman"/>
                <w:sz w:val="21"/>
                <w:szCs w:val="21"/>
                <w:lang w:eastAsia="zh-CN"/>
              </w:rPr>
              <w:t>，</w:t>
            </w:r>
            <w:r>
              <w:rPr>
                <w:rFonts w:hint="default" w:ascii="Times New Roman" w:hAnsi="Times New Roman" w:eastAsia="宋体" w:cs="Times New Roman"/>
                <w:sz w:val="21"/>
                <w:szCs w:val="21"/>
                <w:lang w:val="en-US" w:eastAsia="zh-CN"/>
              </w:rPr>
              <w:t>应急监测委托专业的监测队伍进行</w:t>
            </w:r>
          </w:p>
        </w:tc>
        <w:tc>
          <w:tcPr>
            <w:tcW w:w="838" w:type="pct"/>
            <w:tcBorders>
              <w:tl2br w:val="nil"/>
              <w:tr2bl w:val="nil"/>
            </w:tcBorders>
            <w:vAlign w:val="center"/>
          </w:tcPr>
          <w:p w14:paraId="643240B6">
            <w:pPr>
              <w:tabs>
                <w:tab w:val="left" w:pos="432"/>
              </w:tabs>
              <w:adjustRightInd w:val="0"/>
              <w:snapToGrid w:val="0"/>
              <w:jc w:val="center"/>
              <w:rPr>
                <w:rFonts w:hint="eastAsia" w:ascii="Times New Roman" w:hAnsi="Times New Roman" w:eastAsia="宋体" w:cs="Times New Roman"/>
                <w:sz w:val="21"/>
                <w:szCs w:val="21"/>
                <w:lang w:eastAsia="zh-CN"/>
              </w:rPr>
            </w:pPr>
            <w:r>
              <w:rPr>
                <w:rFonts w:hint="eastAsia" w:eastAsia="宋体" w:cs="Times New Roman"/>
                <w:sz w:val="21"/>
                <w:szCs w:val="21"/>
                <w:lang w:val="en-US" w:eastAsia="zh-CN"/>
              </w:rPr>
              <w:t>/</w:t>
            </w:r>
          </w:p>
        </w:tc>
      </w:tr>
      <w:tr w14:paraId="25CEE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085795A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886" w:type="pct"/>
            <w:tcBorders>
              <w:tl2br w:val="nil"/>
              <w:tr2bl w:val="nil"/>
            </w:tcBorders>
            <w:vAlign w:val="center"/>
          </w:tcPr>
          <w:p w14:paraId="7A78BBC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是否已设专职或兼职人员组成的应急救援队伍</w:t>
            </w:r>
          </w:p>
        </w:tc>
        <w:tc>
          <w:tcPr>
            <w:tcW w:w="2041" w:type="pct"/>
            <w:tcBorders>
              <w:tl2br w:val="nil"/>
              <w:tr2bl w:val="nil"/>
            </w:tcBorders>
            <w:vAlign w:val="center"/>
          </w:tcPr>
          <w:p w14:paraId="33135C7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已设置专门的应急救援队伍，由不同部门人员兼职。</w:t>
            </w:r>
          </w:p>
        </w:tc>
        <w:tc>
          <w:tcPr>
            <w:tcW w:w="838" w:type="pct"/>
            <w:tcBorders>
              <w:tl2br w:val="nil"/>
              <w:tr2bl w:val="nil"/>
            </w:tcBorders>
            <w:vAlign w:val="center"/>
          </w:tcPr>
          <w:p w14:paraId="5B9C20B1">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5A394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6801A4A6">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886" w:type="pct"/>
            <w:tcBorders>
              <w:tl2br w:val="nil"/>
              <w:tr2bl w:val="nil"/>
            </w:tcBorders>
            <w:vAlign w:val="center"/>
          </w:tcPr>
          <w:p w14:paraId="32517B94">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14:paraId="4197B648">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与</w:t>
            </w:r>
            <w:r>
              <w:rPr>
                <w:rFonts w:hint="eastAsia" w:eastAsia="宋体" w:cs="Times New Roman"/>
                <w:color w:val="000000" w:themeColor="text1"/>
                <w:sz w:val="21"/>
                <w:szCs w:val="21"/>
                <w:highlight w:val="none"/>
                <w:lang w:val="en-US" w:eastAsia="zh-CN"/>
                <w14:textFill>
                  <w14:solidFill>
                    <w14:schemeClr w14:val="tx1"/>
                  </w14:solidFill>
                </w14:textFill>
              </w:rPr>
              <w:t>缘木居家具海安有限公司</w:t>
            </w:r>
            <w:r>
              <w:rPr>
                <w:rFonts w:hint="default" w:ascii="Times New Roman" w:hAnsi="Times New Roman" w:eastAsia="宋体" w:cs="Times New Roman"/>
                <w:color w:val="000000" w:themeColor="text1"/>
                <w:sz w:val="21"/>
                <w:szCs w:val="21"/>
                <w:highlight w:val="none"/>
                <w14:textFill>
                  <w14:solidFill>
                    <w14:schemeClr w14:val="tx1"/>
                  </w14:solidFill>
                </w14:textFill>
              </w:rPr>
              <w:t>签订互救协议。</w:t>
            </w:r>
          </w:p>
        </w:tc>
        <w:tc>
          <w:tcPr>
            <w:tcW w:w="838" w:type="pct"/>
            <w:tcBorders>
              <w:tl2br w:val="nil"/>
              <w:tr2bl w:val="nil"/>
            </w:tcBorders>
            <w:vAlign w:val="center"/>
          </w:tcPr>
          <w:p w14:paraId="24750685">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36544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40B41714">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886" w:type="pct"/>
            <w:tcBorders>
              <w:tl2br w:val="nil"/>
              <w:tr2bl w:val="nil"/>
            </w:tcBorders>
            <w:vAlign w:val="center"/>
          </w:tcPr>
          <w:p w14:paraId="4C6BA3E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是否签订突发环境事件应急监测协议</w:t>
            </w:r>
          </w:p>
        </w:tc>
        <w:tc>
          <w:tcPr>
            <w:tcW w:w="2041" w:type="pct"/>
            <w:tcBorders>
              <w:tl2br w:val="nil"/>
              <w:tr2bl w:val="nil"/>
            </w:tcBorders>
            <w:vAlign w:val="center"/>
          </w:tcPr>
          <w:p w14:paraId="562FC445">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w:t>
            </w:r>
            <w:r>
              <w:rPr>
                <w:rFonts w:hint="eastAsia" w:eastAsia="宋体" w:cs="Times New Roman"/>
                <w:sz w:val="21"/>
                <w:szCs w:val="21"/>
                <w:lang w:eastAsia="zh-CN"/>
              </w:rPr>
              <w:t>江苏裕和检测技术有限公司</w:t>
            </w:r>
            <w:r>
              <w:rPr>
                <w:rFonts w:hint="default" w:ascii="Times New Roman" w:hAnsi="Times New Roman" w:eastAsia="宋体" w:cs="Times New Roman"/>
                <w:sz w:val="21"/>
                <w:szCs w:val="21"/>
              </w:rPr>
              <w:t>签订应急监测协议。</w:t>
            </w:r>
          </w:p>
        </w:tc>
        <w:tc>
          <w:tcPr>
            <w:tcW w:w="838" w:type="pct"/>
            <w:tcBorders>
              <w:tl2br w:val="nil"/>
              <w:tr2bl w:val="nil"/>
            </w:tcBorders>
            <w:vAlign w:val="center"/>
          </w:tcPr>
          <w:p w14:paraId="6A6C004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bookmarkEnd w:id="202"/>
      <w:bookmarkEnd w:id="203"/>
    </w:tbl>
    <w:p w14:paraId="437E7143">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13" w:name="_Toc402776220"/>
      <w:bookmarkStart w:id="214" w:name="_Toc19935"/>
      <w:bookmarkStart w:id="215" w:name="_Toc496887138"/>
      <w:bookmarkStart w:id="216" w:name="_Toc14351"/>
      <w:bookmarkStart w:id="217" w:name="_Toc7855"/>
      <w:bookmarkStart w:id="218" w:name="_Toc510092966"/>
      <w:bookmarkStart w:id="219" w:name="_Toc353379551"/>
      <w:bookmarkStart w:id="220" w:name="_Toc402776225"/>
      <w:r>
        <w:rPr>
          <w:rFonts w:hint="eastAsia" w:ascii="Times New Roman" w:hAnsi="Times New Roman" w:eastAsia="宋体" w:cs="Times New Roman"/>
          <w:color w:val="000000" w:themeColor="text1"/>
          <w:sz w:val="24"/>
          <w:szCs w:val="24"/>
          <w14:textFill>
            <w14:solidFill>
              <w14:schemeClr w14:val="tx1"/>
            </w14:solidFill>
          </w14:textFill>
        </w:rPr>
        <w:t>5.4历史经验教训总结</w:t>
      </w:r>
      <w:bookmarkEnd w:id="213"/>
      <w:bookmarkEnd w:id="214"/>
      <w:bookmarkEnd w:id="215"/>
      <w:bookmarkEnd w:id="216"/>
      <w:bookmarkEnd w:id="217"/>
      <w:bookmarkEnd w:id="218"/>
    </w:p>
    <w:p w14:paraId="5D4E8B2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sz w:val="24"/>
          <w:szCs w:val="24"/>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14:paraId="53B386A0">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21" w:name="_Toc9941"/>
      <w:bookmarkStart w:id="222" w:name="_Toc496887139"/>
      <w:bookmarkStart w:id="223" w:name="_Toc510092967"/>
      <w:bookmarkStart w:id="224" w:name="_Toc402776221"/>
      <w:bookmarkStart w:id="225" w:name="_Toc23361"/>
      <w:bookmarkStart w:id="226" w:name="_Toc29208"/>
      <w:r>
        <w:rPr>
          <w:rFonts w:hint="eastAsia" w:ascii="宋体" w:hAnsi="宋体" w:eastAsia="宋体" w:cs="宋体"/>
          <w:b w:val="0"/>
          <w:bCs w:val="0"/>
          <w:kern w:val="2"/>
          <w:sz w:val="24"/>
          <w:szCs w:val="28"/>
          <w:lang w:val="en-US" w:eastAsia="zh-CN" w:bidi="ar-SA"/>
        </w:rPr>
        <w:t>1、建立各项管理制度，责任制及操作规程。加强员工的思想、道德教育，提高员工的责任心和主观能动性：完善并严格遵守相关的操作规程，加强岗位培训，落实岗位责任制；加强现场监督、检查，杜绝“三违”现象，防止人为原因造成事故；加强设备管理，特别是对特种设备、压力管道加强检查。2、划定危险源监控区域，配备相关的监控设施，危险源区域设专人管理。对罐体、输送管道、管件、法兰等以及与之相关的设备进行重点安全监督，进行经常检查、定期检修，防止跑冒滴漏。3、所有特种设备均应定期进行检查、检测，对于老化、破损、超过使用寿命、强度达不到使用要求的设备、零件均应立即淘汰、更换。3、加强员工岗位操作技能及安全生产教育培训。4、锅炉区有监控设施，建立健全锅炉区管理制度及使用规章制度。5、在生产现场配备各种防尘11罩、防青面具、防护手套、护日镜、空气呼吸器、防护衣等个人防护用品，为作业人员提供符合国家规定的劳动防护用品，建立并完善劳保用品发放制度及台帐，并监督相关人员正确使用。6、在有环境危险因素的位置设有明显的警示标示牌，并列出危险特性及紧急情况时的处置办法，告知从业人员及相关人员在紧急情况下应采取的应急措施。</w:t>
      </w:r>
      <w:r>
        <w:rPr>
          <w:rFonts w:hint="eastAsia" w:ascii="Times New Roman" w:hAnsi="Times New Roman" w:eastAsia="宋体" w:cs="Times New Roman"/>
          <w:color w:val="000000" w:themeColor="text1"/>
          <w:sz w:val="24"/>
          <w:szCs w:val="24"/>
          <w14:textFill>
            <w14:solidFill>
              <w14:schemeClr w14:val="tx1"/>
            </w14:solidFill>
          </w14:textFill>
        </w:rPr>
        <w:t>5.5需要整改的短期、中期和长期项目内容</w:t>
      </w:r>
      <w:bookmarkEnd w:id="221"/>
      <w:bookmarkEnd w:id="222"/>
      <w:bookmarkEnd w:id="223"/>
      <w:bookmarkEnd w:id="224"/>
      <w:bookmarkEnd w:id="225"/>
      <w:bookmarkEnd w:id="226"/>
    </w:p>
    <w:p w14:paraId="5516DD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14:paraId="72DB593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通过本次对公司的检查，发现公司存在的事故隐患及需要整改的内容见表5-6。</w:t>
      </w:r>
    </w:p>
    <w:p w14:paraId="4587F5E7">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表5-6</w:t>
      </w:r>
      <w:r>
        <w:rPr>
          <w:rFonts w:hint="default" w:ascii="Times New Roman" w:hAnsi="Times New Roman" w:eastAsia="宋体" w:cs="Times New Roman"/>
          <w:b/>
          <w:highlight w:val="none"/>
        </w:rPr>
        <w:t>存在的事故隐患及需整改内容表</w:t>
      </w:r>
    </w:p>
    <w:tbl>
      <w:tblPr>
        <w:tblStyle w:val="37"/>
        <w:tblW w:w="51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0" w:type="dxa"/>
          <w:bottom w:w="0" w:type="dxa"/>
          <w:right w:w="0" w:type="dxa"/>
        </w:tblCellMar>
      </w:tblPr>
      <w:tblGrid>
        <w:gridCol w:w="679"/>
        <w:gridCol w:w="7695"/>
        <w:gridCol w:w="977"/>
      </w:tblGrid>
      <w:tr w14:paraId="2DDE49FF">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57" w:hRule="atLeast"/>
          <w:tblHeader/>
          <w:jc w:val="center"/>
        </w:trPr>
        <w:tc>
          <w:tcPr>
            <w:tcW w:w="363" w:type="pct"/>
            <w:tcBorders>
              <w:tl2br w:val="nil"/>
              <w:tr2bl w:val="nil"/>
            </w:tcBorders>
            <w:vAlign w:val="center"/>
          </w:tcPr>
          <w:p w14:paraId="01779DB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113" w:type="pct"/>
            <w:tcBorders>
              <w:tl2br w:val="nil"/>
              <w:tr2bl w:val="nil"/>
            </w:tcBorders>
            <w:vAlign w:val="center"/>
          </w:tcPr>
          <w:p w14:paraId="0BF7A9B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存在问题</w:t>
            </w:r>
          </w:p>
        </w:tc>
        <w:tc>
          <w:tcPr>
            <w:tcW w:w="522" w:type="pct"/>
            <w:tcBorders>
              <w:tl2br w:val="nil"/>
              <w:tr2bl w:val="nil"/>
            </w:tcBorders>
            <w:vAlign w:val="center"/>
          </w:tcPr>
          <w:p w14:paraId="1730A4F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整改期限</w:t>
            </w:r>
          </w:p>
        </w:tc>
      </w:tr>
      <w:tr w14:paraId="01086D8C">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6E0560DE">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w:t>
            </w:r>
          </w:p>
        </w:tc>
        <w:tc>
          <w:tcPr>
            <w:tcW w:w="4113" w:type="pct"/>
            <w:tcBorders>
              <w:tl2br w:val="nil"/>
              <w:tr2bl w:val="nil"/>
            </w:tcBorders>
            <w:vAlign w:val="center"/>
          </w:tcPr>
          <w:p w14:paraId="4A232242">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油漆仓库无导流沟</w:t>
            </w:r>
          </w:p>
        </w:tc>
        <w:tc>
          <w:tcPr>
            <w:tcW w:w="522" w:type="pct"/>
            <w:tcBorders>
              <w:tl2br w:val="nil"/>
              <w:tr2bl w:val="nil"/>
            </w:tcBorders>
            <w:vAlign w:val="center"/>
          </w:tcPr>
          <w:p w14:paraId="156FEC78">
            <w:pPr>
              <w:tabs>
                <w:tab w:val="left" w:pos="432"/>
              </w:tabs>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短期</w:t>
            </w:r>
          </w:p>
        </w:tc>
      </w:tr>
      <w:tr w14:paraId="6227A6F0">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7BD69445">
            <w:pPr>
              <w:tabs>
                <w:tab w:val="left" w:pos="432"/>
              </w:tabs>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4113" w:type="pct"/>
            <w:tcBorders>
              <w:tl2br w:val="nil"/>
              <w:tr2bl w:val="nil"/>
            </w:tcBorders>
            <w:vAlign w:val="center"/>
          </w:tcPr>
          <w:p w14:paraId="774921B6">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风险单元巡查定岗定责，并确定监督检查机制</w:t>
            </w:r>
          </w:p>
        </w:tc>
        <w:tc>
          <w:tcPr>
            <w:tcW w:w="522" w:type="pct"/>
            <w:tcBorders>
              <w:tl2br w:val="nil"/>
              <w:tr2bl w:val="nil"/>
            </w:tcBorders>
            <w:vAlign w:val="center"/>
          </w:tcPr>
          <w:p w14:paraId="244AD1E2">
            <w:pPr>
              <w:tabs>
                <w:tab w:val="left" w:pos="432"/>
              </w:tabs>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短期</w:t>
            </w:r>
          </w:p>
        </w:tc>
      </w:tr>
      <w:tr w14:paraId="348CA0C9">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61D21570">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3</w:t>
            </w:r>
          </w:p>
        </w:tc>
        <w:tc>
          <w:tcPr>
            <w:tcW w:w="4113" w:type="pct"/>
            <w:tcBorders>
              <w:tl2br w:val="nil"/>
              <w:tr2bl w:val="nil"/>
            </w:tcBorders>
            <w:vAlign w:val="center"/>
          </w:tcPr>
          <w:p w14:paraId="05F817CB">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对职工进行环境风险和环境应急管理方面“一案三制”的培训</w:t>
            </w:r>
          </w:p>
        </w:tc>
        <w:tc>
          <w:tcPr>
            <w:tcW w:w="522" w:type="pct"/>
            <w:tcBorders>
              <w:tl2br w:val="nil"/>
              <w:tr2bl w:val="nil"/>
            </w:tcBorders>
            <w:vAlign w:val="center"/>
          </w:tcPr>
          <w:p w14:paraId="7809C730">
            <w:pPr>
              <w:tabs>
                <w:tab w:val="left" w:pos="432"/>
              </w:tabs>
              <w:adjustRightInd w:val="0"/>
              <w:snapToGrid w:val="0"/>
              <w:jc w:val="center"/>
              <w:rPr>
                <w:rFonts w:hint="default" w:ascii="Times New Roman" w:hAnsi="Times New Roman" w:eastAsia="宋体" w:cs="Times New Roman"/>
                <w:sz w:val="21"/>
                <w:szCs w:val="21"/>
              </w:rPr>
            </w:pPr>
            <w:r>
              <w:rPr>
                <w:rFonts w:hint="eastAsia" w:eastAsia="宋体" w:cs="Times New Roman"/>
                <w:sz w:val="21"/>
                <w:szCs w:val="21"/>
                <w:lang w:val="en-US" w:eastAsia="zh-CN"/>
              </w:rPr>
              <w:t>中</w:t>
            </w:r>
            <w:r>
              <w:rPr>
                <w:rFonts w:hint="default" w:ascii="Times New Roman" w:hAnsi="Times New Roman" w:eastAsia="宋体" w:cs="Times New Roman"/>
                <w:sz w:val="21"/>
                <w:szCs w:val="21"/>
              </w:rPr>
              <w:t>期</w:t>
            </w:r>
          </w:p>
        </w:tc>
      </w:tr>
      <w:tr w14:paraId="71EF8E19">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3" w:type="pct"/>
            <w:tcBorders>
              <w:tl2br w:val="nil"/>
              <w:tr2bl w:val="nil"/>
            </w:tcBorders>
            <w:vAlign w:val="center"/>
          </w:tcPr>
          <w:p w14:paraId="1CD1A7C9">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4</w:t>
            </w:r>
          </w:p>
        </w:tc>
        <w:tc>
          <w:tcPr>
            <w:tcW w:w="4113" w:type="pct"/>
            <w:tcBorders>
              <w:tl2br w:val="nil"/>
              <w:tr2bl w:val="nil"/>
            </w:tcBorders>
            <w:vAlign w:val="center"/>
          </w:tcPr>
          <w:p w14:paraId="419BEA98">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522" w:type="pct"/>
            <w:tcBorders>
              <w:tl2br w:val="nil"/>
              <w:tr2bl w:val="nil"/>
            </w:tcBorders>
            <w:vAlign w:val="center"/>
          </w:tcPr>
          <w:p w14:paraId="1BB2D4A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长期</w:t>
            </w:r>
          </w:p>
        </w:tc>
      </w:tr>
    </w:tbl>
    <w:p w14:paraId="16F4BFF9">
      <w:pPr>
        <w:tabs>
          <w:tab w:val="left" w:pos="296"/>
        </w:tabs>
        <w:adjustRightInd w:val="0"/>
        <w:spacing w:line="360" w:lineRule="auto"/>
        <w:outlineLvl w:val="0"/>
        <w:rPr>
          <w:rFonts w:ascii="宋体" w:hAnsi="宋体" w:eastAsia="宋体" w:cs="宋体"/>
          <w:b/>
        </w:rPr>
        <w:sectPr>
          <w:footerReference r:id="rId10"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bookmarkStart w:id="227" w:name="_Toc402776222"/>
    </w:p>
    <w:p w14:paraId="7CC3B6B8">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000000" w:themeColor="text1"/>
          <w:sz w:val="24"/>
          <w:szCs w:val="24"/>
          <w14:textFill>
            <w14:solidFill>
              <w14:schemeClr w14:val="tx1"/>
            </w14:solidFill>
          </w14:textFill>
        </w:rPr>
      </w:pPr>
      <w:bookmarkStart w:id="228" w:name="_Toc496887140"/>
      <w:bookmarkStart w:id="229" w:name="_Toc510092968"/>
      <w:bookmarkStart w:id="230" w:name="_Toc21425"/>
      <w:bookmarkStart w:id="231" w:name="_Toc31696"/>
      <w:bookmarkStart w:id="232" w:name="_Toc594"/>
      <w:r>
        <w:rPr>
          <w:rFonts w:hint="eastAsia" w:ascii="Times New Roman" w:hAnsi="Times New Roman" w:eastAsia="宋体" w:cs="Times New Roman"/>
          <w:color w:val="000000" w:themeColor="text1"/>
          <w:sz w:val="24"/>
          <w:szCs w:val="24"/>
          <w14:textFill>
            <w14:solidFill>
              <w14:schemeClr w14:val="tx1"/>
            </w14:solidFill>
          </w14:textFill>
        </w:rPr>
        <w:t>6完善环境风险防控和应急措施的实施计划</w:t>
      </w:r>
      <w:bookmarkEnd w:id="227"/>
      <w:bookmarkEnd w:id="228"/>
      <w:bookmarkEnd w:id="229"/>
      <w:bookmarkEnd w:id="230"/>
      <w:bookmarkEnd w:id="231"/>
      <w:bookmarkEnd w:id="232"/>
    </w:p>
    <w:p w14:paraId="26BE53EF">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33" w:name="_Toc15485"/>
      <w:bookmarkStart w:id="234" w:name="_Toc510092969"/>
      <w:bookmarkStart w:id="235" w:name="_Toc30219"/>
      <w:bookmarkStart w:id="236" w:name="_Toc17059"/>
      <w:r>
        <w:rPr>
          <w:rFonts w:hint="eastAsia" w:ascii="Times New Roman" w:hAnsi="Times New Roman" w:eastAsia="宋体" w:cs="Times New Roman"/>
          <w:color w:val="000000" w:themeColor="text1"/>
          <w:sz w:val="24"/>
          <w:szCs w:val="24"/>
          <w14:textFill>
            <w14:solidFill>
              <w14:schemeClr w14:val="tx1"/>
            </w14:solidFill>
          </w14:textFill>
        </w:rPr>
        <w:t>6.1短期整改内容及实施计划</w:t>
      </w:r>
      <w:bookmarkEnd w:id="233"/>
      <w:bookmarkEnd w:id="234"/>
      <w:bookmarkEnd w:id="235"/>
      <w:bookmarkEnd w:id="236"/>
    </w:p>
    <w:p w14:paraId="43E686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公司列入短期整改内容及实施计划见表6-1。</w:t>
      </w:r>
    </w:p>
    <w:p w14:paraId="4C8B1FDD">
      <w:pPr>
        <w:adjustRightInd w:val="0"/>
        <w:snapToGrid w:val="0"/>
        <w:spacing w:line="500" w:lineRule="exact"/>
        <w:ind w:firstLine="482" w:firstLineChars="200"/>
        <w:jc w:val="center"/>
        <w:rPr>
          <w:rFonts w:hint="default" w:ascii="Times New Roman" w:hAnsi="Times New Roman" w:eastAsia="宋体" w:cs="Times New Roman"/>
        </w:rPr>
      </w:pPr>
      <w:r>
        <w:rPr>
          <w:rFonts w:hint="default" w:ascii="Times New Roman" w:hAnsi="Times New Roman" w:eastAsia="宋体" w:cs="Times New Roman"/>
          <w:b/>
          <w:bCs/>
        </w:rPr>
        <w:t>表6-1短</w:t>
      </w:r>
      <w:r>
        <w:rPr>
          <w:rFonts w:hint="default" w:ascii="Times New Roman" w:hAnsi="Times New Roman" w:eastAsia="宋体" w:cs="Times New Roman"/>
          <w:b/>
          <w:bCs/>
          <w:highlight w:val="none"/>
        </w:rPr>
        <w:t>期整改内容</w:t>
      </w:r>
      <w:r>
        <w:rPr>
          <w:rFonts w:hint="default" w:ascii="Times New Roman" w:hAnsi="Times New Roman" w:eastAsia="宋体" w:cs="Times New Roman"/>
          <w:b/>
          <w:bCs/>
        </w:rPr>
        <w:t>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14:paraId="086C3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14:paraId="23B23D9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606" w:type="pct"/>
            <w:tcBorders>
              <w:tl2br w:val="nil"/>
              <w:tr2bl w:val="nil"/>
            </w:tcBorders>
            <w:vAlign w:val="center"/>
          </w:tcPr>
          <w:p w14:paraId="342213A2">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849" w:type="pct"/>
            <w:tcBorders>
              <w:tl2br w:val="nil"/>
              <w:tr2bl w:val="nil"/>
            </w:tcBorders>
            <w:vAlign w:val="center"/>
          </w:tcPr>
          <w:p w14:paraId="7393DBC9">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786" w:type="pct"/>
            <w:tcBorders>
              <w:tl2br w:val="nil"/>
              <w:tr2bl w:val="nil"/>
            </w:tcBorders>
            <w:vAlign w:val="center"/>
          </w:tcPr>
          <w:p w14:paraId="2AD6604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443" w:type="pct"/>
            <w:tcBorders>
              <w:tl2br w:val="nil"/>
              <w:tr2bl w:val="nil"/>
            </w:tcBorders>
            <w:vAlign w:val="center"/>
          </w:tcPr>
          <w:p w14:paraId="19FB53E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14:paraId="2678C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0278CBCD">
            <w:pPr>
              <w:adjustRightInd w:val="0"/>
              <w:snapToGrid w:val="0"/>
              <w:jc w:val="center"/>
              <w:rPr>
                <w:rFonts w:hint="default" w:eastAsia="宋体" w:cs="Times New Roman"/>
                <w:sz w:val="21"/>
                <w:szCs w:val="21"/>
                <w:lang w:val="en-US" w:eastAsia="zh-CN"/>
              </w:rPr>
            </w:pPr>
            <w:bookmarkStart w:id="237" w:name="_Toc402776224"/>
            <w:bookmarkStart w:id="238" w:name="_Toc510092970"/>
            <w:bookmarkStart w:id="239" w:name="_Toc24534"/>
            <w:r>
              <w:rPr>
                <w:rFonts w:hint="eastAsia" w:eastAsia="宋体" w:cs="Times New Roman"/>
                <w:sz w:val="21"/>
                <w:szCs w:val="21"/>
                <w:lang w:val="en-US" w:eastAsia="zh-CN"/>
              </w:rPr>
              <w:t>1</w:t>
            </w:r>
          </w:p>
        </w:tc>
        <w:tc>
          <w:tcPr>
            <w:tcW w:w="1606" w:type="pct"/>
            <w:tcBorders>
              <w:tl2br w:val="nil"/>
              <w:tr2bl w:val="nil"/>
            </w:tcBorders>
            <w:vAlign w:val="center"/>
          </w:tcPr>
          <w:p w14:paraId="6D05FFCE">
            <w:pPr>
              <w:tabs>
                <w:tab w:val="left" w:pos="432"/>
              </w:tabs>
              <w:adjustRightInd w:val="0"/>
              <w:snapToGrid w:val="0"/>
              <w:jc w:val="center"/>
              <w:rPr>
                <w:rFonts w:hint="eastAsia" w:eastAsia="宋体" w:cs="Times New Roman"/>
                <w:sz w:val="21"/>
                <w:szCs w:val="21"/>
                <w:lang w:val="en-US" w:eastAsia="zh-CN"/>
              </w:rPr>
            </w:pPr>
            <w:r>
              <w:rPr>
                <w:rFonts w:hint="eastAsia" w:eastAsia="宋体" w:cs="Times New Roman"/>
                <w:sz w:val="21"/>
                <w:szCs w:val="21"/>
                <w:lang w:val="en-US" w:eastAsia="zh-CN"/>
              </w:rPr>
              <w:t>油漆仓库无导流沟</w:t>
            </w:r>
          </w:p>
        </w:tc>
        <w:tc>
          <w:tcPr>
            <w:tcW w:w="1849" w:type="pct"/>
            <w:tcBorders>
              <w:tl2br w:val="nil"/>
              <w:tr2bl w:val="nil"/>
            </w:tcBorders>
            <w:vAlign w:val="center"/>
          </w:tcPr>
          <w:p w14:paraId="50527E45">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油漆仓库设置导流沟</w:t>
            </w:r>
          </w:p>
        </w:tc>
        <w:tc>
          <w:tcPr>
            <w:tcW w:w="786" w:type="pct"/>
            <w:tcBorders>
              <w:tl2br w:val="nil"/>
              <w:tr2bl w:val="nil"/>
            </w:tcBorders>
            <w:vAlign w:val="center"/>
          </w:tcPr>
          <w:p w14:paraId="6F90B8EF">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2025年4月</w:t>
            </w:r>
          </w:p>
        </w:tc>
        <w:tc>
          <w:tcPr>
            <w:tcW w:w="443" w:type="pct"/>
            <w:tcBorders>
              <w:tl2br w:val="nil"/>
              <w:tr2bl w:val="nil"/>
            </w:tcBorders>
            <w:vAlign w:val="center"/>
          </w:tcPr>
          <w:p w14:paraId="47A9E326">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曹伟强</w:t>
            </w:r>
          </w:p>
        </w:tc>
      </w:tr>
      <w:tr w14:paraId="431846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79EFEFD2">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2</w:t>
            </w:r>
          </w:p>
        </w:tc>
        <w:tc>
          <w:tcPr>
            <w:tcW w:w="1606" w:type="pct"/>
            <w:tcBorders>
              <w:tl2br w:val="nil"/>
              <w:tr2bl w:val="nil"/>
            </w:tcBorders>
            <w:vAlign w:val="center"/>
          </w:tcPr>
          <w:p w14:paraId="0D08D1E1">
            <w:pPr>
              <w:tabs>
                <w:tab w:val="left" w:pos="432"/>
              </w:tabs>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风险单元巡查定岗定责，并确定监督检查机制</w:t>
            </w:r>
          </w:p>
        </w:tc>
        <w:tc>
          <w:tcPr>
            <w:tcW w:w="1849" w:type="pct"/>
            <w:tcBorders>
              <w:tl2br w:val="nil"/>
              <w:tr2bl w:val="nil"/>
            </w:tcBorders>
            <w:vAlign w:val="center"/>
          </w:tcPr>
          <w:p w14:paraId="768271A0">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编制监督检查制度并落实至责任人</w:t>
            </w:r>
          </w:p>
        </w:tc>
        <w:tc>
          <w:tcPr>
            <w:tcW w:w="786" w:type="pct"/>
            <w:tcBorders>
              <w:tl2br w:val="nil"/>
              <w:tr2bl w:val="nil"/>
            </w:tcBorders>
            <w:vAlign w:val="center"/>
          </w:tcPr>
          <w:p w14:paraId="1E266724">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2025年4月</w:t>
            </w:r>
          </w:p>
        </w:tc>
        <w:tc>
          <w:tcPr>
            <w:tcW w:w="443" w:type="pct"/>
            <w:tcBorders>
              <w:tl2br w:val="nil"/>
              <w:tr2bl w:val="nil"/>
            </w:tcBorders>
            <w:vAlign w:val="center"/>
          </w:tcPr>
          <w:p w14:paraId="299ADA8A">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曹伟强</w:t>
            </w:r>
          </w:p>
        </w:tc>
      </w:tr>
    </w:tbl>
    <w:p w14:paraId="182A3876">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40" w:name="_Toc28359"/>
      <w:bookmarkStart w:id="241" w:name="_Toc25535"/>
      <w:r>
        <w:rPr>
          <w:rFonts w:hint="eastAsia" w:ascii="Times New Roman" w:hAnsi="Times New Roman" w:eastAsia="宋体" w:cs="Times New Roman"/>
          <w:color w:val="000000" w:themeColor="text1"/>
          <w:sz w:val="24"/>
          <w:szCs w:val="24"/>
          <w14:textFill>
            <w14:solidFill>
              <w14:schemeClr w14:val="tx1"/>
            </w14:solidFill>
          </w14:textFill>
        </w:rPr>
        <w:t>6.2中、长期整改内容及实施计划</w:t>
      </w:r>
      <w:bookmarkEnd w:id="237"/>
      <w:bookmarkEnd w:id="238"/>
      <w:bookmarkEnd w:id="239"/>
      <w:bookmarkEnd w:id="240"/>
      <w:bookmarkEnd w:id="241"/>
    </w:p>
    <w:p w14:paraId="455E7B9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公司列入中、长期整改内容及实施计划见表6-2。</w:t>
      </w:r>
    </w:p>
    <w:p w14:paraId="578CF89B">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表6-2中、长期整改内容及实施计划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14:paraId="430302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417" w:type="pct"/>
            <w:tcBorders>
              <w:tl2br w:val="nil"/>
              <w:tr2bl w:val="nil"/>
            </w:tcBorders>
            <w:vAlign w:val="center"/>
          </w:tcPr>
          <w:p w14:paraId="7318FFE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368" w:type="pct"/>
            <w:tcBorders>
              <w:tl2br w:val="nil"/>
              <w:tr2bl w:val="nil"/>
            </w:tcBorders>
            <w:vAlign w:val="center"/>
          </w:tcPr>
          <w:p w14:paraId="701E07FC">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792" w:type="pct"/>
            <w:tcBorders>
              <w:tl2br w:val="nil"/>
              <w:tr2bl w:val="nil"/>
            </w:tcBorders>
            <w:vAlign w:val="center"/>
          </w:tcPr>
          <w:p w14:paraId="1782A3AF">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850" w:type="pct"/>
            <w:tcBorders>
              <w:tl2br w:val="nil"/>
              <w:tr2bl w:val="nil"/>
            </w:tcBorders>
            <w:vAlign w:val="center"/>
          </w:tcPr>
          <w:p w14:paraId="09E18803">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570" w:type="pct"/>
            <w:tcBorders>
              <w:tl2br w:val="nil"/>
              <w:tr2bl w:val="nil"/>
            </w:tcBorders>
            <w:vAlign w:val="center"/>
          </w:tcPr>
          <w:p w14:paraId="4E57B847">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14:paraId="68FA1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4BFDA749">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1</w:t>
            </w:r>
          </w:p>
        </w:tc>
        <w:tc>
          <w:tcPr>
            <w:tcW w:w="1368" w:type="pct"/>
            <w:tcBorders>
              <w:tl2br w:val="nil"/>
              <w:tr2bl w:val="nil"/>
            </w:tcBorders>
            <w:vAlign w:val="center"/>
          </w:tcPr>
          <w:p w14:paraId="4790677A">
            <w:pPr>
              <w:tabs>
                <w:tab w:val="left" w:pos="432"/>
              </w:tabs>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公司未开展应急法律法规的宣传工作，也</w:t>
            </w:r>
            <w:r>
              <w:rPr>
                <w:rFonts w:hint="default" w:ascii="Times New Roman" w:hAnsi="Times New Roman" w:eastAsia="宋体" w:cs="Times New Roman"/>
                <w:sz w:val="21"/>
                <w:szCs w:val="21"/>
                <w:highlight w:val="none"/>
                <w:lang w:val="en-US" w:eastAsia="zh-CN"/>
              </w:rPr>
              <w:t>未</w:t>
            </w:r>
            <w:r>
              <w:rPr>
                <w:rFonts w:hint="default" w:ascii="Times New Roman" w:hAnsi="Times New Roman" w:eastAsia="宋体" w:cs="Times New Roman"/>
                <w:sz w:val="21"/>
                <w:szCs w:val="21"/>
                <w:highlight w:val="none"/>
              </w:rPr>
              <w:t>对职工进行环境风险和环境应急管理方面“一案三制”的培训</w:t>
            </w:r>
          </w:p>
        </w:tc>
        <w:tc>
          <w:tcPr>
            <w:tcW w:w="1792" w:type="pct"/>
            <w:tcBorders>
              <w:tl2br w:val="nil"/>
              <w:tr2bl w:val="nil"/>
            </w:tcBorders>
            <w:vAlign w:val="center"/>
          </w:tcPr>
          <w:p w14:paraId="615DDAD4">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对员工加强应急预案宣传和培训并组织演练</w:t>
            </w:r>
          </w:p>
        </w:tc>
        <w:tc>
          <w:tcPr>
            <w:tcW w:w="850" w:type="pct"/>
            <w:tcBorders>
              <w:tl2br w:val="nil"/>
              <w:tr2bl w:val="nil"/>
            </w:tcBorders>
            <w:vAlign w:val="center"/>
          </w:tcPr>
          <w:p w14:paraId="0DA38E8C">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2025</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4</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14:paraId="454FE38A">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曹伟强</w:t>
            </w:r>
          </w:p>
        </w:tc>
      </w:tr>
      <w:tr w14:paraId="5224B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276F81E6">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1368" w:type="pct"/>
            <w:tcBorders>
              <w:tl2br w:val="nil"/>
              <w:tr2bl w:val="nil"/>
            </w:tcBorders>
            <w:vAlign w:val="center"/>
          </w:tcPr>
          <w:p w14:paraId="6866AB09">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1792" w:type="pct"/>
            <w:tcBorders>
              <w:tl2br w:val="nil"/>
              <w:tr2bl w:val="nil"/>
            </w:tcBorders>
            <w:vAlign w:val="center"/>
          </w:tcPr>
          <w:p w14:paraId="7F22DA35">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加强宣传工作，可印制宣传手册分发至周边敏感目标</w:t>
            </w:r>
          </w:p>
        </w:tc>
        <w:tc>
          <w:tcPr>
            <w:tcW w:w="850" w:type="pct"/>
            <w:tcBorders>
              <w:tl2br w:val="nil"/>
              <w:tr2bl w:val="nil"/>
            </w:tcBorders>
            <w:vAlign w:val="center"/>
          </w:tcPr>
          <w:p w14:paraId="5764BAA1">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4</w:t>
            </w:r>
            <w:r>
              <w:rPr>
                <w:rFonts w:hint="default" w:ascii="Times New Roman" w:hAnsi="Times New Roman" w:eastAsia="宋体" w:cs="Times New Roman"/>
                <w:sz w:val="21"/>
                <w:szCs w:val="21"/>
                <w:highlight w:val="none"/>
                <w:lang w:val="en-US" w:eastAsia="zh-CN"/>
              </w:rPr>
              <w:t>月</w:t>
            </w:r>
          </w:p>
        </w:tc>
        <w:tc>
          <w:tcPr>
            <w:tcW w:w="570" w:type="pct"/>
            <w:tcBorders>
              <w:tl2br w:val="nil"/>
              <w:tr2bl w:val="nil"/>
            </w:tcBorders>
            <w:vAlign w:val="center"/>
          </w:tcPr>
          <w:p w14:paraId="0AEA721C">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曹伟强</w:t>
            </w:r>
          </w:p>
        </w:tc>
      </w:tr>
    </w:tbl>
    <w:p w14:paraId="7A1EB40E">
      <w:pPr>
        <w:adjustRightInd w:val="0"/>
        <w:snapToGrid w:val="0"/>
        <w:spacing w:line="500" w:lineRule="exact"/>
        <w:ind w:firstLine="480" w:firstLineChars="200"/>
        <w:jc w:val="left"/>
        <w:rPr>
          <w:rFonts w:ascii="宋体" w:hAnsi="宋体" w:eastAsia="宋体" w:cs="宋体"/>
        </w:rPr>
      </w:pPr>
    </w:p>
    <w:p w14:paraId="65EE9415">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bookmarkEnd w:id="219"/>
    <w:bookmarkEnd w:id="220"/>
    <w:p w14:paraId="77FBBD26">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242" w:name="_Toc12711"/>
      <w:bookmarkStart w:id="243" w:name="_Toc24013"/>
      <w:bookmarkStart w:id="244" w:name="_Toc8571"/>
      <w:bookmarkStart w:id="245" w:name="_Toc535516085"/>
      <w:bookmarkStart w:id="246" w:name="_Toc353379552"/>
      <w:r>
        <w:rPr>
          <w:rFonts w:hint="eastAsia" w:ascii="Times New Roman" w:hAnsi="Times New Roman" w:eastAsia="宋体" w:cs="Times New Roman"/>
          <w:sz w:val="24"/>
          <w:szCs w:val="24"/>
        </w:rPr>
        <w:t>7企业突发环境事件风险等级</w:t>
      </w:r>
      <w:bookmarkEnd w:id="242"/>
      <w:bookmarkEnd w:id="243"/>
      <w:bookmarkEnd w:id="244"/>
      <w:bookmarkEnd w:id="245"/>
    </w:p>
    <w:p w14:paraId="3E685DCB">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47" w:name="_Toc535516086"/>
      <w:bookmarkStart w:id="248" w:name="_Toc510102127"/>
      <w:bookmarkStart w:id="249" w:name="_Toc534722043"/>
      <w:bookmarkStart w:id="250" w:name="_Toc31961"/>
      <w:bookmarkStart w:id="251" w:name="_Toc1190"/>
      <w:bookmarkStart w:id="252" w:name="_Toc8659"/>
      <w:bookmarkStart w:id="253" w:name="_Toc10459"/>
      <w:r>
        <w:rPr>
          <w:rFonts w:hint="eastAsia" w:ascii="Times New Roman" w:hAnsi="Times New Roman" w:eastAsia="宋体" w:cs="Times New Roman"/>
          <w:color w:val="000000" w:themeColor="text1"/>
          <w:sz w:val="24"/>
          <w:szCs w:val="24"/>
          <w14:textFill>
            <w14:solidFill>
              <w14:schemeClr w14:val="tx1"/>
            </w14:solidFill>
          </w14:textFill>
        </w:rPr>
        <w:t>7.1</w:t>
      </w:r>
      <w:bookmarkEnd w:id="247"/>
      <w:bookmarkEnd w:id="248"/>
      <w:bookmarkEnd w:id="249"/>
      <w:bookmarkEnd w:id="250"/>
      <w:bookmarkEnd w:id="251"/>
      <w:r>
        <w:rPr>
          <w:rFonts w:hint="eastAsia" w:ascii="Times New Roman" w:hAnsi="Times New Roman" w:eastAsia="宋体" w:cs="Times New Roman"/>
          <w:color w:val="000000" w:themeColor="text1"/>
          <w:sz w:val="24"/>
          <w:szCs w:val="24"/>
          <w14:textFill>
            <w14:solidFill>
              <w14:schemeClr w14:val="tx1"/>
            </w14:solidFill>
          </w14:textFill>
        </w:rPr>
        <w:t>企业突发大气环境事件风险等级</w:t>
      </w:r>
      <w:bookmarkEnd w:id="252"/>
      <w:bookmarkEnd w:id="253"/>
    </w:p>
    <w:p w14:paraId="75D6AA42">
      <w:pPr>
        <w:pStyle w:val="5"/>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254" w:name="_Toc3108"/>
      <w:bookmarkStart w:id="255" w:name="_Toc32695"/>
      <w:r>
        <w:rPr>
          <w:rFonts w:hint="eastAsia" w:ascii="Times New Roman" w:hAnsi="Times New Roman" w:eastAsia="宋体" w:cs="Times New Roman"/>
          <w:color w:val="000000" w:themeColor="text1"/>
          <w14:textFill>
            <w14:solidFill>
              <w14:schemeClr w14:val="tx1"/>
            </w14:solidFill>
          </w14:textFill>
        </w:rPr>
        <w:t>7.1.1</w:t>
      </w:r>
      <w:r>
        <w:rPr>
          <w:rFonts w:hint="eastAsia" w:ascii="Times New Roman" w:hAnsi="Times New Roman" w:eastAsia="宋体" w:cs="Times New Roman"/>
          <w:color w:val="000000" w:themeColor="text1"/>
          <w:lang w:val="en-US" w:eastAsia="zh-CN"/>
          <w14:textFill>
            <w14:solidFill>
              <w14:schemeClr w14:val="tx1"/>
            </w14:solidFill>
          </w14:textFill>
        </w:rPr>
        <w:t>涉气风险物质数量与临界值比值（Q）</w:t>
      </w:r>
      <w:bookmarkEnd w:id="254"/>
      <w:bookmarkEnd w:id="255"/>
    </w:p>
    <w:p w14:paraId="65397741">
      <w:pPr>
        <w:pStyle w:val="13"/>
        <w:spacing w:before="0" w:after="0" w:line="500" w:lineRule="exact"/>
        <w:ind w:left="0" w:right="0" w:firstLine="480" w:firstLineChars="200"/>
        <w:rPr>
          <w:rFonts w:hint="default" w:eastAsia="宋体"/>
        </w:rPr>
      </w:pPr>
      <w:r>
        <w:rPr>
          <w:rFonts w:hint="default" w:eastAsia="宋体"/>
        </w:rPr>
        <w:t>企业生产原料、成品、辅助生产物料、燃料、</w:t>
      </w:r>
      <w:r>
        <w:rPr>
          <w:rFonts w:hint="default" w:ascii="Times New Roman" w:hAnsi="Times New Roman" w:eastAsia="宋体"/>
        </w:rPr>
        <w:t>“</w:t>
      </w:r>
      <w:r>
        <w:rPr>
          <w:rFonts w:hint="default" w:eastAsia="宋体"/>
        </w:rPr>
        <w:t>三废</w:t>
      </w:r>
      <w:r>
        <w:rPr>
          <w:rFonts w:hint="default" w:ascii="Times New Roman" w:hAnsi="Times New Roman" w:eastAsia="宋体"/>
        </w:rPr>
        <w:t>”</w:t>
      </w:r>
      <w:r>
        <w:rPr>
          <w:rFonts w:hint="default" w:eastAsia="宋体"/>
        </w:rPr>
        <w:t>污染物等是否涉及大气</w:t>
      </w:r>
      <w:r>
        <w:rPr>
          <w:rFonts w:hint="default" w:eastAsia="宋体"/>
          <w:spacing w:val="-5"/>
        </w:rPr>
        <w:t>环境风险物质</w:t>
      </w:r>
      <w:r>
        <w:rPr>
          <w:rFonts w:hint="default" w:eastAsia="宋体"/>
        </w:rPr>
        <w:t>（</w:t>
      </w:r>
      <w:r>
        <w:rPr>
          <w:rFonts w:hint="default" w:eastAsia="宋体"/>
          <w:spacing w:val="-1"/>
        </w:rPr>
        <w:t>混合或稀释的风险物质按其组分比例折算成纯物质</w:t>
      </w:r>
      <w:r>
        <w:rPr>
          <w:rFonts w:hint="default" w:eastAsia="宋体"/>
          <w:spacing w:val="-31"/>
        </w:rPr>
        <w:t>）</w:t>
      </w:r>
      <w:r>
        <w:rPr>
          <w:rFonts w:hint="default" w:eastAsia="宋体"/>
          <w:spacing w:val="-8"/>
        </w:rPr>
        <w:t>，计算涉气</w:t>
      </w:r>
      <w:r>
        <w:rPr>
          <w:rFonts w:hint="default" w:eastAsia="宋体"/>
          <w:spacing w:val="-17"/>
        </w:rPr>
        <w:t>风险物质在厂界内的存在量</w:t>
      </w:r>
      <w:r>
        <w:rPr>
          <w:rFonts w:hint="default" w:eastAsia="宋体"/>
        </w:rPr>
        <w:t>（</w:t>
      </w:r>
      <w:r>
        <w:rPr>
          <w:rFonts w:hint="default" w:eastAsia="宋体"/>
          <w:spacing w:val="-10"/>
        </w:rPr>
        <w:t>如存在量呈动态变化，则按年度内最大存在量计算</w:t>
      </w:r>
      <w:r>
        <w:rPr>
          <w:rFonts w:hint="default" w:eastAsia="宋体"/>
          <w:spacing w:val="-16"/>
        </w:rPr>
        <w:t>）</w:t>
      </w:r>
      <w:r>
        <w:rPr>
          <w:rFonts w:hint="default" w:eastAsia="宋体"/>
          <w:spacing w:val="-3"/>
        </w:rPr>
        <w:t>与其在附录</w:t>
      </w:r>
      <w:r>
        <w:rPr>
          <w:rFonts w:hint="default" w:ascii="Times New Roman" w:hAnsi="Times New Roman" w:eastAsia="宋体"/>
        </w:rPr>
        <w:t>A</w:t>
      </w:r>
      <w:r>
        <w:rPr>
          <w:rFonts w:hint="default" w:eastAsia="宋体"/>
        </w:rPr>
        <w:t>中临界量的比值</w:t>
      </w:r>
      <w:r>
        <w:rPr>
          <w:rFonts w:hint="default" w:ascii="Times New Roman" w:hAnsi="Times New Roman" w:eastAsia="宋体"/>
        </w:rPr>
        <w:t>Q</w:t>
      </w:r>
      <w:r>
        <w:rPr>
          <w:rFonts w:hint="default" w:eastAsia="宋体"/>
        </w:rPr>
        <w:t>：</w:t>
      </w:r>
    </w:p>
    <w:p w14:paraId="5D69675D">
      <w:pPr>
        <w:pStyle w:val="13"/>
        <w:spacing w:before="0" w:after="0" w:line="500" w:lineRule="exact"/>
        <w:ind w:left="0" w:firstLine="480" w:firstLineChars="200"/>
        <w:rPr>
          <w:rFonts w:hint="default" w:eastAsia="宋体"/>
        </w:rPr>
      </w:pPr>
      <w:r>
        <w:rPr>
          <w:rFonts w:hint="default" w:ascii="Times New Roman" w:eastAsia="宋体"/>
        </w:rPr>
        <w:t>1</w:t>
      </w:r>
      <w:r>
        <w:rPr>
          <w:rFonts w:hint="default" w:eastAsia="宋体"/>
        </w:rPr>
        <w:t>、当企业只涉及一种化学物质时，该物质的总数量与其临界量比值，即为</w:t>
      </w:r>
      <w:r>
        <w:rPr>
          <w:rFonts w:hint="default" w:ascii="Times New Roman" w:eastAsia="宋体"/>
        </w:rPr>
        <w:t>Q</w:t>
      </w:r>
      <w:r>
        <w:rPr>
          <w:rFonts w:hint="default" w:eastAsia="宋体"/>
        </w:rPr>
        <w:t>。</w:t>
      </w:r>
    </w:p>
    <w:p w14:paraId="0E0587A8">
      <w:pPr>
        <w:pStyle w:val="13"/>
        <w:spacing w:before="0" w:after="0" w:line="500" w:lineRule="exact"/>
        <w:ind w:left="0" w:firstLine="480" w:firstLineChars="200"/>
        <w:rPr>
          <w:rFonts w:hint="default" w:eastAsia="宋体"/>
        </w:rPr>
      </w:pPr>
      <w:r>
        <w:rPr>
          <w:rFonts w:hint="default" w:ascii="Times New Roman" w:eastAsia="宋体"/>
        </w:rPr>
        <w:t>2</w:t>
      </w:r>
      <w:r>
        <w:rPr>
          <w:rFonts w:hint="default" w:eastAsia="宋体"/>
        </w:rPr>
        <w:t>、当企业存在多种化学物质时，则按式（</w:t>
      </w:r>
      <w:r>
        <w:rPr>
          <w:rFonts w:hint="default" w:ascii="Times New Roman" w:eastAsia="宋体"/>
        </w:rPr>
        <w:t>1</w:t>
      </w:r>
      <w:r>
        <w:rPr>
          <w:rFonts w:hint="default" w:eastAsia="宋体"/>
        </w:rPr>
        <w:t>）计算物质数量与其临界量比值（</w:t>
      </w:r>
      <w:r>
        <w:rPr>
          <w:rFonts w:hint="default" w:ascii="Times New Roman" w:eastAsia="宋体"/>
        </w:rPr>
        <w:t>Q</w:t>
      </w:r>
      <w:r>
        <w:rPr>
          <w:rFonts w:hint="default" w:eastAsia="宋体"/>
        </w:rPr>
        <w:t>）：</w:t>
      </w:r>
    </w:p>
    <w:p w14:paraId="321F61DA">
      <w:pPr>
        <w:pStyle w:val="13"/>
        <w:spacing w:before="0" w:after="0" w:line="500" w:lineRule="exact"/>
        <w:ind w:left="0" w:firstLine="480" w:firstLineChars="200"/>
        <w:rPr>
          <w:rFonts w:hint="default" w:eastAsia="宋体"/>
        </w:rPr>
      </w:pPr>
      <w:r>
        <w:rPr>
          <w:rFonts w:hint="eastAsia" w:ascii="宋体" w:hAnsi="宋体" w:eastAsia="宋体" w:cs="宋体"/>
        </w:rPr>
        <w:drawing>
          <wp:anchor distT="0" distB="0" distL="0" distR="0" simplePos="0" relativeHeight="251661312" behindDoc="0" locked="0" layoutInCell="1" allowOverlap="1">
            <wp:simplePos x="0" y="0"/>
            <wp:positionH relativeFrom="column">
              <wp:posOffset>1818640</wp:posOffset>
            </wp:positionH>
            <wp:positionV relativeFrom="paragraph">
              <wp:posOffset>165735</wp:posOffset>
            </wp:positionV>
            <wp:extent cx="2181225" cy="523875"/>
            <wp:effectExtent l="0" t="0" r="9525" b="9525"/>
            <wp:wrapTopAndBottom/>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noChangeArrowheads="1"/>
                    </pic:cNvPicPr>
                  </pic:nvPicPr>
                  <pic:blipFill>
                    <a:blip r:embed="rId22" cstate="print"/>
                    <a:srcRect/>
                    <a:stretch>
                      <a:fillRect/>
                    </a:stretch>
                  </pic:blipFill>
                  <pic:spPr>
                    <a:xfrm>
                      <a:off x="0" y="0"/>
                      <a:ext cx="2181225" cy="523875"/>
                    </a:xfrm>
                    <a:prstGeom prst="rect">
                      <a:avLst/>
                    </a:prstGeom>
                    <a:noFill/>
                    <a:ln w="9525">
                      <a:noFill/>
                      <a:miter lim="800000"/>
                      <a:headEnd/>
                      <a:tailEnd/>
                    </a:ln>
                  </pic:spPr>
                </pic:pic>
              </a:graphicData>
            </a:graphic>
          </wp:anchor>
        </w:drawing>
      </w:r>
      <w:r>
        <w:rPr>
          <w:rFonts w:hint="default" w:eastAsia="宋体"/>
        </w:rPr>
        <w:t>式中：</w:t>
      </w:r>
      <w:r>
        <w:rPr>
          <w:rFonts w:hint="default" w:ascii="Times New Roman" w:hAnsi="Times New Roman" w:eastAsia="宋体"/>
        </w:rPr>
        <w:t>w1</w:t>
      </w:r>
      <w:r>
        <w:rPr>
          <w:rFonts w:hint="default" w:eastAsia="宋体"/>
        </w:rPr>
        <w:t>，</w:t>
      </w:r>
      <w:r>
        <w:rPr>
          <w:rFonts w:hint="default" w:ascii="Times New Roman" w:hAnsi="Times New Roman" w:eastAsia="宋体"/>
        </w:rPr>
        <w:t>w2</w:t>
      </w:r>
      <w:r>
        <w:rPr>
          <w:rFonts w:hint="default" w:eastAsia="宋体"/>
        </w:rPr>
        <w:t>，</w:t>
      </w:r>
      <w:r>
        <w:rPr>
          <w:rFonts w:hint="default" w:ascii="Times New Roman" w:hAnsi="Times New Roman" w:eastAsia="宋体"/>
        </w:rPr>
        <w:t>……</w:t>
      </w:r>
      <w:r>
        <w:rPr>
          <w:rFonts w:hint="default" w:eastAsia="宋体"/>
        </w:rPr>
        <w:t>，</w:t>
      </w:r>
      <w:r>
        <w:rPr>
          <w:rFonts w:hint="default" w:ascii="Times New Roman" w:hAnsi="Times New Roman" w:eastAsia="宋体"/>
        </w:rPr>
        <w:t>wn—</w:t>
      </w:r>
      <w:r>
        <w:rPr>
          <w:rFonts w:hint="default" w:eastAsia="宋体"/>
        </w:rPr>
        <w:t>每种危险物质实际存在量（</w:t>
      </w:r>
      <w:r>
        <w:rPr>
          <w:rFonts w:hint="eastAsia" w:ascii="Times New Roman" w:hAnsi="Times New Roman" w:eastAsia="宋体" w:cs="Times New Roman"/>
          <w:lang w:val="en-US" w:eastAsia="zh-CN"/>
        </w:rPr>
        <w:t>t</w:t>
      </w:r>
      <w:r>
        <w:rPr>
          <w:rFonts w:hint="default" w:eastAsia="宋体"/>
        </w:rPr>
        <w:t>）；</w:t>
      </w:r>
    </w:p>
    <w:p w14:paraId="47BFF50E">
      <w:pPr>
        <w:pStyle w:val="13"/>
        <w:spacing w:before="0" w:after="0" w:line="500" w:lineRule="exact"/>
        <w:ind w:left="0" w:right="0" w:firstLine="480" w:firstLineChars="200"/>
        <w:rPr>
          <w:rFonts w:hint="default" w:eastAsia="宋体"/>
        </w:rPr>
      </w:pPr>
      <w:r>
        <w:rPr>
          <w:rFonts w:hint="default" w:ascii="Times New Roman" w:hAnsi="Times New Roman" w:eastAsia="宋体"/>
        </w:rPr>
        <w:t>W1</w:t>
      </w:r>
      <w:r>
        <w:rPr>
          <w:rFonts w:hint="default" w:eastAsia="宋体"/>
        </w:rPr>
        <w:t>，</w:t>
      </w:r>
      <w:r>
        <w:rPr>
          <w:rFonts w:hint="default" w:ascii="Times New Roman" w:hAnsi="Times New Roman" w:eastAsia="宋体"/>
        </w:rPr>
        <w:t>W</w:t>
      </w:r>
      <w:r>
        <w:rPr>
          <w:rFonts w:hint="eastAsia" w:eastAsia="宋体"/>
          <w:lang w:val="en-US" w:eastAsia="zh-CN"/>
        </w:rPr>
        <w:t>2</w:t>
      </w:r>
      <w:r>
        <w:rPr>
          <w:rFonts w:hint="default" w:eastAsia="宋体"/>
        </w:rPr>
        <w:t>，</w:t>
      </w:r>
      <w:r>
        <w:rPr>
          <w:rFonts w:hint="default" w:ascii="Times New Roman" w:hAnsi="Times New Roman" w:eastAsia="宋体"/>
        </w:rPr>
        <w:t>……</w:t>
      </w:r>
      <w:r>
        <w:rPr>
          <w:rFonts w:hint="default" w:eastAsia="宋体"/>
        </w:rPr>
        <w:t>，</w:t>
      </w:r>
      <w:r>
        <w:rPr>
          <w:rFonts w:hint="default" w:ascii="Times New Roman" w:hAnsi="Times New Roman" w:eastAsia="宋体"/>
        </w:rPr>
        <w:t>Wn—</w:t>
      </w:r>
      <w:r>
        <w:rPr>
          <w:rFonts w:hint="default" w:eastAsia="宋体"/>
        </w:rPr>
        <w:t>与各危险物质相对应的临界量（</w:t>
      </w:r>
      <w:r>
        <w:rPr>
          <w:rFonts w:hint="eastAsia" w:ascii="Times New Roman" w:hAnsi="Times New Roman" w:eastAsia="宋体" w:cs="Times New Roman"/>
          <w:lang w:eastAsia="zh-CN"/>
        </w:rPr>
        <w:t>t</w:t>
      </w:r>
      <w:r>
        <w:rPr>
          <w:rFonts w:hint="default" w:eastAsia="宋体"/>
        </w:rPr>
        <w:t>）</w:t>
      </w:r>
      <w:r>
        <w:rPr>
          <w:rFonts w:hint="default" w:eastAsia="宋体"/>
          <w:spacing w:val="-16"/>
        </w:rPr>
        <w:t>。</w:t>
      </w:r>
      <w:r>
        <w:rPr>
          <w:rFonts w:hint="default" w:eastAsia="宋体"/>
        </w:rPr>
        <w:t>按照数值大小，将</w:t>
      </w:r>
      <w:r>
        <w:rPr>
          <w:rFonts w:hint="default" w:ascii="Times New Roman" w:hAnsi="Times New Roman" w:eastAsia="宋体"/>
        </w:rPr>
        <w:t>Q</w:t>
      </w:r>
      <w:r>
        <w:rPr>
          <w:rFonts w:hint="default" w:eastAsia="宋体"/>
        </w:rPr>
        <w:t>划分为</w:t>
      </w:r>
      <w:r>
        <w:rPr>
          <w:rFonts w:hint="default" w:ascii="Times New Roman" w:hAnsi="Times New Roman" w:eastAsia="宋体"/>
        </w:rPr>
        <w:t>4</w:t>
      </w:r>
      <w:r>
        <w:rPr>
          <w:rFonts w:hint="default" w:eastAsia="宋体"/>
        </w:rPr>
        <w:t>个水平：</w:t>
      </w:r>
    </w:p>
    <w:p w14:paraId="3DA729C9">
      <w:pPr>
        <w:pStyle w:val="13"/>
        <w:spacing w:after="0" w:line="500" w:lineRule="exact"/>
        <w:ind w:left="0" w:firstLine="480" w:firstLineChars="200"/>
        <w:rPr>
          <w:rFonts w:hint="default" w:eastAsia="宋体"/>
        </w:rPr>
      </w:pPr>
      <w:r>
        <w:rPr>
          <w:rFonts w:hint="default" w:eastAsia="宋体"/>
        </w:rPr>
        <w:t>（</w:t>
      </w:r>
      <w:r>
        <w:rPr>
          <w:rFonts w:hint="default" w:ascii="Times New Roman" w:eastAsia="宋体"/>
        </w:rPr>
        <w:t>1</w:t>
      </w:r>
      <w:r>
        <w:rPr>
          <w:rFonts w:hint="default" w:eastAsia="宋体"/>
        </w:rPr>
        <w:t>）</w:t>
      </w:r>
      <w:r>
        <w:rPr>
          <w:rFonts w:hint="default" w:ascii="Times New Roman" w:eastAsia="宋体"/>
        </w:rPr>
        <w:t>Q</w:t>
      </w:r>
      <w:r>
        <w:rPr>
          <w:rFonts w:hint="default" w:eastAsia="宋体"/>
        </w:rPr>
        <w:t>＜</w:t>
      </w:r>
      <w:r>
        <w:rPr>
          <w:rFonts w:hint="default" w:ascii="Times New Roman" w:eastAsia="宋体"/>
        </w:rPr>
        <w:t>1</w:t>
      </w:r>
      <w:r>
        <w:rPr>
          <w:rFonts w:hint="default" w:eastAsia="宋体"/>
          <w:spacing w:val="-1"/>
        </w:rPr>
        <w:t>，以</w:t>
      </w:r>
      <w:r>
        <w:rPr>
          <w:rFonts w:hint="default" w:ascii="Times New Roman" w:eastAsia="宋体"/>
        </w:rPr>
        <w:t>Q0</w:t>
      </w:r>
      <w:r>
        <w:rPr>
          <w:rFonts w:hint="default" w:eastAsia="宋体"/>
        </w:rPr>
        <w:t>表示，企业直接评为一般环境风险等级；</w:t>
      </w:r>
    </w:p>
    <w:p w14:paraId="05BE79C8">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2</w:t>
      </w:r>
      <w:r>
        <w:rPr>
          <w:rFonts w:hint="default" w:eastAsia="宋体"/>
        </w:rPr>
        <w:t>）</w:t>
      </w:r>
      <w:r>
        <w:rPr>
          <w:rFonts w:hint="default" w:ascii="Times New Roman" w:hAnsi="Times New Roman" w:eastAsia="宋体"/>
        </w:rPr>
        <w:t>1≤Q</w:t>
      </w:r>
      <w:r>
        <w:rPr>
          <w:rFonts w:hint="default" w:eastAsia="宋体"/>
        </w:rPr>
        <w:t>＜</w:t>
      </w:r>
      <w:r>
        <w:rPr>
          <w:rFonts w:hint="default" w:ascii="Times New Roman" w:hAnsi="Times New Roman" w:eastAsia="宋体"/>
        </w:rPr>
        <w:t>10</w:t>
      </w:r>
      <w:r>
        <w:rPr>
          <w:rFonts w:hint="default" w:eastAsia="宋体"/>
          <w:spacing w:val="-1"/>
        </w:rPr>
        <w:t>，以</w:t>
      </w:r>
      <w:r>
        <w:rPr>
          <w:rFonts w:hint="default" w:ascii="Times New Roman" w:hAnsi="Times New Roman" w:eastAsia="宋体"/>
        </w:rPr>
        <w:t>Q1</w:t>
      </w:r>
      <w:r>
        <w:rPr>
          <w:rFonts w:hint="default" w:eastAsia="宋体"/>
        </w:rPr>
        <w:t>表示；</w:t>
      </w:r>
    </w:p>
    <w:p w14:paraId="2527802D">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3</w:t>
      </w:r>
      <w:r>
        <w:rPr>
          <w:rFonts w:hint="default" w:eastAsia="宋体"/>
        </w:rPr>
        <w:t>）</w:t>
      </w:r>
      <w:r>
        <w:rPr>
          <w:rFonts w:hint="default" w:ascii="Times New Roman" w:hAnsi="Times New Roman" w:eastAsia="宋体"/>
        </w:rPr>
        <w:t>10≤Q</w:t>
      </w:r>
      <w:r>
        <w:rPr>
          <w:rFonts w:hint="default" w:eastAsia="宋体"/>
        </w:rPr>
        <w:t>＜</w:t>
      </w:r>
      <w:r>
        <w:rPr>
          <w:rFonts w:hint="default" w:ascii="Times New Roman" w:hAnsi="Times New Roman" w:eastAsia="宋体"/>
        </w:rPr>
        <w:t>100</w:t>
      </w:r>
      <w:r>
        <w:rPr>
          <w:rFonts w:hint="default" w:eastAsia="宋体"/>
          <w:spacing w:val="-1"/>
        </w:rPr>
        <w:t>，以</w:t>
      </w:r>
      <w:r>
        <w:rPr>
          <w:rFonts w:hint="default" w:ascii="Times New Roman" w:hAnsi="Times New Roman" w:eastAsia="宋体"/>
        </w:rPr>
        <w:t>Q2</w:t>
      </w:r>
      <w:r>
        <w:rPr>
          <w:rFonts w:hint="default" w:eastAsia="宋体"/>
        </w:rPr>
        <w:t>表示；</w:t>
      </w:r>
    </w:p>
    <w:p w14:paraId="678FAF28">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4</w:t>
      </w:r>
      <w:r>
        <w:rPr>
          <w:rFonts w:hint="default" w:eastAsia="宋体"/>
        </w:rPr>
        <w:t>）</w:t>
      </w:r>
      <w:r>
        <w:rPr>
          <w:rFonts w:hint="default" w:ascii="Times New Roman" w:hAnsi="Times New Roman" w:eastAsia="宋体"/>
        </w:rPr>
        <w:t>Q≥100</w:t>
      </w:r>
      <w:r>
        <w:rPr>
          <w:rFonts w:hint="default" w:eastAsia="宋体"/>
          <w:spacing w:val="-1"/>
        </w:rPr>
        <w:t>，以</w:t>
      </w:r>
      <w:r>
        <w:rPr>
          <w:rFonts w:hint="default" w:ascii="Times New Roman" w:hAnsi="Times New Roman" w:eastAsia="宋体"/>
        </w:rPr>
        <w:t>Q3</w:t>
      </w:r>
      <w:r>
        <w:rPr>
          <w:rFonts w:hint="default" w:eastAsia="宋体"/>
        </w:rPr>
        <w:t>表示。</w:t>
      </w:r>
    </w:p>
    <w:p w14:paraId="174B38B5">
      <w:pPr>
        <w:pStyle w:val="4"/>
        <w:spacing w:line="500" w:lineRule="exact"/>
        <w:ind w:firstLine="480"/>
        <w:rPr>
          <w:rFonts w:hint="eastAsia"/>
        </w:rPr>
      </w:pPr>
      <w:r>
        <w:rPr>
          <w:rFonts w:hint="default" w:eastAsia="宋体"/>
          <w:sz w:val="24"/>
        </w:rPr>
        <w:t>公司涉气环境风险物质有</w:t>
      </w:r>
      <w:r>
        <w:rPr>
          <w:rFonts w:hint="eastAsia" w:eastAsia="宋体" w:cs="Times New Roman"/>
          <w:sz w:val="24"/>
          <w:lang w:val="en-US" w:eastAsia="zh-CN"/>
        </w:rPr>
        <w:t>水性漆、危废等</w:t>
      </w:r>
      <w:r>
        <w:rPr>
          <w:rFonts w:hint="default" w:eastAsia="宋体"/>
          <w:sz w:val="24"/>
        </w:rPr>
        <w:t>，计算情况见表</w:t>
      </w:r>
      <w:r>
        <w:rPr>
          <w:rFonts w:hint="default" w:ascii="Times New Roman" w:eastAsia="宋体"/>
          <w:sz w:val="24"/>
        </w:rPr>
        <w:t>7-1</w:t>
      </w:r>
      <w:r>
        <w:rPr>
          <w:rFonts w:hint="default" w:eastAsia="宋体"/>
          <w:sz w:val="24"/>
        </w:rPr>
        <w:t>。</w:t>
      </w:r>
    </w:p>
    <w:p w14:paraId="435F9E1D">
      <w:pPr>
        <w:adjustRightInd w:val="0"/>
        <w:snapToGrid w:val="0"/>
        <w:spacing w:line="500" w:lineRule="exact"/>
        <w:jc w:val="center"/>
        <w:rPr>
          <w:rFonts w:hint="default" w:ascii="Times New Roman" w:hAnsi="Times New Roman" w:eastAsia="宋体" w:cs="Times New Roman"/>
          <w:b/>
          <w:bCs/>
          <w:color w:val="FF0000"/>
        </w:rPr>
      </w:pPr>
      <w:r>
        <w:rPr>
          <w:rFonts w:hint="default" w:ascii="Times New Roman" w:hAnsi="Times New Roman" w:eastAsia="宋体" w:cs="Times New Roman"/>
          <w:b/>
          <w:bCs/>
          <w:color w:val="auto"/>
        </w:rPr>
        <w:t>表</w:t>
      </w:r>
      <w:r>
        <w:rPr>
          <w:rFonts w:hint="eastAsia" w:ascii="Times New Roman" w:hAnsi="Times New Roman" w:eastAsia="宋体" w:cs="Times New Roman"/>
          <w:b/>
          <w:bCs/>
          <w:color w:val="auto"/>
          <w:highlight w:val="none"/>
          <w:lang w:val="en-US" w:eastAsia="zh-CN"/>
        </w:rPr>
        <w:t>7-1</w:t>
      </w:r>
      <w:r>
        <w:rPr>
          <w:rFonts w:hint="default" w:ascii="Times New Roman" w:hAnsi="Times New Roman" w:eastAsia="宋体" w:cs="Times New Roman"/>
          <w:b/>
          <w:bCs/>
          <w:color w:val="auto"/>
          <w:highlight w:val="none"/>
        </w:rPr>
        <w:t>涉气环境风险物质Q值计</w:t>
      </w:r>
      <w:r>
        <w:rPr>
          <w:rFonts w:hint="default" w:ascii="Times New Roman" w:hAnsi="Times New Roman" w:eastAsia="宋体" w:cs="Times New Roman"/>
          <w:b/>
          <w:bCs/>
          <w:color w:val="auto"/>
        </w:rPr>
        <w:t>算表</w:t>
      </w:r>
    </w:p>
    <w:tbl>
      <w:tblPr>
        <w:tblStyle w:val="37"/>
        <w:tblW w:w="0" w:type="auto"/>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3D162C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14:paraId="2D48A042">
            <w:pPr>
              <w:pStyle w:val="140"/>
              <w:spacing w:before="0"/>
              <w:ind w:left="0" w:right="0"/>
              <w:rPr>
                <w:b/>
                <w:sz w:val="21"/>
              </w:rPr>
            </w:pPr>
            <w:r>
              <w:rPr>
                <w:b/>
                <w:sz w:val="21"/>
              </w:rPr>
              <w:t>环境风险</w:t>
            </w:r>
          </w:p>
          <w:p w14:paraId="3AB1A81C">
            <w:pPr>
              <w:pStyle w:val="140"/>
              <w:spacing w:before="0" w:line="240" w:lineRule="auto"/>
              <w:ind w:left="0" w:right="0"/>
              <w:rPr>
                <w:b/>
                <w:sz w:val="21"/>
              </w:rPr>
            </w:pPr>
            <w:r>
              <w:rPr>
                <w:b/>
                <w:sz w:val="21"/>
              </w:rPr>
              <w:t>单元</w:t>
            </w:r>
          </w:p>
        </w:tc>
        <w:tc>
          <w:tcPr>
            <w:tcW w:w="1984" w:type="dxa"/>
            <w:tcBorders>
              <w:tl2br w:val="nil"/>
              <w:tr2bl w:val="nil"/>
            </w:tcBorders>
            <w:vAlign w:val="center"/>
          </w:tcPr>
          <w:p w14:paraId="397DF422">
            <w:pPr>
              <w:pStyle w:val="140"/>
              <w:spacing w:before="0"/>
              <w:ind w:left="0" w:right="0"/>
              <w:rPr>
                <w:b/>
                <w:sz w:val="21"/>
              </w:rPr>
            </w:pPr>
            <w:r>
              <w:rPr>
                <w:b/>
                <w:sz w:val="21"/>
              </w:rPr>
              <w:t>风险物质名称</w:t>
            </w:r>
          </w:p>
        </w:tc>
        <w:tc>
          <w:tcPr>
            <w:tcW w:w="1437" w:type="dxa"/>
            <w:tcBorders>
              <w:tl2br w:val="nil"/>
              <w:tr2bl w:val="nil"/>
            </w:tcBorders>
            <w:vAlign w:val="center"/>
          </w:tcPr>
          <w:p w14:paraId="28A58D52">
            <w:pPr>
              <w:pStyle w:val="140"/>
              <w:spacing w:before="0"/>
              <w:ind w:left="0"/>
              <w:jc w:val="center"/>
              <w:rPr>
                <w:b/>
                <w:sz w:val="21"/>
              </w:rPr>
            </w:pPr>
            <w:r>
              <w:rPr>
                <w:b/>
                <w:sz w:val="21"/>
              </w:rPr>
              <w:t>最大存在总</w:t>
            </w:r>
          </w:p>
          <w:p w14:paraId="5AEA56AD">
            <w:pPr>
              <w:pStyle w:val="140"/>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2F5936BB">
            <w:pPr>
              <w:pStyle w:val="140"/>
              <w:spacing w:before="0"/>
              <w:ind w:left="0" w:right="0"/>
              <w:rPr>
                <w:rFonts w:ascii="Times New Roman" w:eastAsia="Times New Roman"/>
                <w:b/>
                <w:sz w:val="21"/>
              </w:rPr>
            </w:pPr>
            <w:r>
              <w:rPr>
                <w:b/>
                <w:sz w:val="21"/>
              </w:rPr>
              <w:t>临界量</w:t>
            </w:r>
            <w:r>
              <w:rPr>
                <w:rFonts w:ascii="Times New Roman" w:eastAsia="Times New Roman"/>
                <w:b/>
                <w:sz w:val="21"/>
              </w:rPr>
              <w:t>Qi</w:t>
            </w:r>
          </w:p>
          <w:p w14:paraId="20784D81">
            <w:pPr>
              <w:pStyle w:val="140"/>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0F42E65A">
            <w:pPr>
              <w:pStyle w:val="140"/>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1618280C">
            <w:pPr>
              <w:pStyle w:val="140"/>
              <w:spacing w:before="0"/>
              <w:ind w:left="0" w:right="0"/>
              <w:rPr>
                <w:b/>
                <w:sz w:val="21"/>
              </w:rPr>
            </w:pPr>
            <w:r>
              <w:rPr>
                <w:b/>
                <w:sz w:val="21"/>
              </w:rPr>
              <w:t>是否重要环境</w:t>
            </w:r>
          </w:p>
          <w:p w14:paraId="4B68638C">
            <w:pPr>
              <w:pStyle w:val="140"/>
              <w:spacing w:before="0" w:line="240" w:lineRule="auto"/>
              <w:ind w:left="0" w:right="0"/>
              <w:rPr>
                <w:b/>
                <w:sz w:val="21"/>
              </w:rPr>
            </w:pPr>
            <w:r>
              <w:rPr>
                <w:b/>
                <w:sz w:val="21"/>
              </w:rPr>
              <w:t>风险单元</w:t>
            </w:r>
          </w:p>
        </w:tc>
      </w:tr>
      <w:tr w14:paraId="0F6D40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77D54866">
            <w:pPr>
              <w:pStyle w:val="140"/>
              <w:spacing w:before="0"/>
              <w:ind w:left="0" w:right="0"/>
              <w:rPr>
                <w:rFonts w:hint="eastAsia"/>
                <w:sz w:val="21"/>
                <w:lang w:val="en-US" w:eastAsia="zh-CN"/>
              </w:rPr>
            </w:pPr>
            <w:r>
              <w:rPr>
                <w:rFonts w:hint="eastAsia" w:ascii="Times New Roman" w:hAnsi="Times New Roman" w:eastAsia="宋体" w:cs="Times New Roman"/>
                <w:sz w:val="21"/>
                <w:szCs w:val="21"/>
                <w:lang w:val="en-US" w:eastAsia="zh-CN"/>
              </w:rPr>
              <w:t>油漆仓库</w:t>
            </w:r>
          </w:p>
        </w:tc>
        <w:tc>
          <w:tcPr>
            <w:tcW w:w="1984" w:type="dxa"/>
            <w:tcBorders>
              <w:tl2br w:val="nil"/>
              <w:tr2bl w:val="nil"/>
            </w:tcBorders>
            <w:vAlign w:val="center"/>
          </w:tcPr>
          <w:p w14:paraId="1FE65426">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底漆</w:t>
            </w:r>
          </w:p>
        </w:tc>
        <w:tc>
          <w:tcPr>
            <w:tcW w:w="1437" w:type="dxa"/>
            <w:tcBorders>
              <w:tl2br w:val="nil"/>
              <w:tr2bl w:val="nil"/>
            </w:tcBorders>
            <w:vAlign w:val="center"/>
          </w:tcPr>
          <w:p w14:paraId="445754F0">
            <w:pPr>
              <w:pStyle w:val="140"/>
              <w:spacing w:before="0"/>
              <w:ind w:left="0" w:right="0"/>
              <w:rPr>
                <w:rFonts w:hint="default" w:ascii="Times New Roman"/>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437D354C">
            <w:pPr>
              <w:pStyle w:val="140"/>
              <w:spacing w:before="0"/>
              <w:ind w:left="0" w:right="0"/>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06B5E8D9">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0.02</w:t>
            </w:r>
          </w:p>
        </w:tc>
        <w:tc>
          <w:tcPr>
            <w:tcW w:w="1570" w:type="dxa"/>
            <w:vMerge w:val="restart"/>
            <w:tcBorders>
              <w:tl2br w:val="nil"/>
              <w:tr2bl w:val="nil"/>
            </w:tcBorders>
            <w:vAlign w:val="center"/>
          </w:tcPr>
          <w:p w14:paraId="5E6E4889">
            <w:pPr>
              <w:pStyle w:val="140"/>
              <w:ind w:left="0"/>
              <w:rPr>
                <w:rFonts w:hint="eastAsia" w:eastAsia="宋体"/>
                <w:w w:val="100"/>
                <w:sz w:val="21"/>
                <w:lang w:val="en-US" w:eastAsia="zh-CN"/>
              </w:rPr>
            </w:pPr>
            <w:r>
              <w:rPr>
                <w:rFonts w:hint="eastAsia"/>
                <w:w w:val="100"/>
                <w:sz w:val="21"/>
                <w:lang w:val="en-US" w:eastAsia="zh-CN"/>
              </w:rPr>
              <w:t>否</w:t>
            </w:r>
          </w:p>
        </w:tc>
      </w:tr>
      <w:tr w14:paraId="6031D9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5B5CAF7E">
            <w:pPr>
              <w:pStyle w:val="140"/>
              <w:spacing w:before="0"/>
              <w:ind w:left="0" w:right="0"/>
              <w:rPr>
                <w:rFonts w:hint="eastAsia"/>
                <w:sz w:val="21"/>
                <w:lang w:val="en-US" w:eastAsia="zh-CN"/>
              </w:rPr>
            </w:pPr>
          </w:p>
        </w:tc>
        <w:tc>
          <w:tcPr>
            <w:tcW w:w="1984" w:type="dxa"/>
            <w:tcBorders>
              <w:tl2br w:val="nil"/>
              <w:tr2bl w:val="nil"/>
            </w:tcBorders>
            <w:vAlign w:val="center"/>
          </w:tcPr>
          <w:p w14:paraId="308F8658">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面漆</w:t>
            </w:r>
          </w:p>
        </w:tc>
        <w:tc>
          <w:tcPr>
            <w:tcW w:w="1437" w:type="dxa"/>
            <w:tcBorders>
              <w:tl2br w:val="nil"/>
              <w:tr2bl w:val="nil"/>
            </w:tcBorders>
            <w:vAlign w:val="center"/>
          </w:tcPr>
          <w:p w14:paraId="332D96EF">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2C040E7C">
            <w:pPr>
              <w:pStyle w:val="140"/>
              <w:spacing w:before="0"/>
              <w:ind w:left="0" w:right="0"/>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07F10D28">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6FD17414">
            <w:pPr>
              <w:pStyle w:val="140"/>
              <w:ind w:left="0"/>
              <w:rPr>
                <w:rFonts w:hint="eastAsia"/>
                <w:w w:val="100"/>
                <w:sz w:val="21"/>
              </w:rPr>
            </w:pPr>
          </w:p>
        </w:tc>
      </w:tr>
      <w:tr w14:paraId="16BBA0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50E8DD28">
            <w:pPr>
              <w:pStyle w:val="140"/>
              <w:spacing w:before="0"/>
              <w:ind w:left="0" w:right="0"/>
              <w:rPr>
                <w:rFonts w:hint="eastAsia"/>
                <w:sz w:val="21"/>
                <w:lang w:val="en-US" w:eastAsia="zh-CN"/>
              </w:rPr>
            </w:pPr>
          </w:p>
        </w:tc>
        <w:tc>
          <w:tcPr>
            <w:tcW w:w="1984" w:type="dxa"/>
            <w:tcBorders>
              <w:tl2br w:val="nil"/>
              <w:tr2bl w:val="nil"/>
            </w:tcBorders>
            <w:vAlign w:val="center"/>
          </w:tcPr>
          <w:p w14:paraId="01A0FCFD">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白乳胶</w:t>
            </w:r>
          </w:p>
        </w:tc>
        <w:tc>
          <w:tcPr>
            <w:tcW w:w="1437" w:type="dxa"/>
            <w:tcBorders>
              <w:tl2br w:val="nil"/>
              <w:tr2bl w:val="nil"/>
            </w:tcBorders>
            <w:vAlign w:val="center"/>
          </w:tcPr>
          <w:p w14:paraId="1FB791F6">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12F81AF4">
            <w:pPr>
              <w:spacing w:before="0"/>
              <w:ind w:left="0" w:right="0"/>
              <w:jc w:val="center"/>
              <w:rPr>
                <w:rFonts w:hint="eastAsia"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2468456D">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4DD4F3C4">
            <w:pPr>
              <w:pStyle w:val="140"/>
              <w:ind w:left="0"/>
              <w:rPr>
                <w:rFonts w:hint="eastAsia"/>
                <w:w w:val="100"/>
                <w:sz w:val="21"/>
              </w:rPr>
            </w:pPr>
          </w:p>
        </w:tc>
      </w:tr>
      <w:tr w14:paraId="3E4247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09A3E2F0">
            <w:pPr>
              <w:pStyle w:val="140"/>
              <w:spacing w:before="0"/>
              <w:ind w:left="0" w:right="0"/>
              <w:rPr>
                <w:rFonts w:hint="eastAsia"/>
                <w:sz w:val="21"/>
                <w:lang w:val="en-US" w:eastAsia="zh-CN"/>
              </w:rPr>
            </w:pPr>
          </w:p>
        </w:tc>
        <w:tc>
          <w:tcPr>
            <w:tcW w:w="1984" w:type="dxa"/>
            <w:tcBorders>
              <w:tl2br w:val="nil"/>
              <w:tr2bl w:val="nil"/>
            </w:tcBorders>
            <w:vAlign w:val="center"/>
          </w:tcPr>
          <w:p w14:paraId="6F8E1043">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木蜡油</w:t>
            </w:r>
          </w:p>
        </w:tc>
        <w:tc>
          <w:tcPr>
            <w:tcW w:w="1437" w:type="dxa"/>
            <w:tcBorders>
              <w:tl2br w:val="nil"/>
              <w:tr2bl w:val="nil"/>
            </w:tcBorders>
            <w:vAlign w:val="center"/>
          </w:tcPr>
          <w:p w14:paraId="799B57AE">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53FE3C0B">
            <w:pPr>
              <w:spacing w:before="0"/>
              <w:ind w:left="0" w:right="0"/>
              <w:jc w:val="center"/>
              <w:rPr>
                <w:rFonts w:hint="eastAsia"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6EB267C7">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007551EE">
            <w:pPr>
              <w:pStyle w:val="140"/>
              <w:ind w:left="0"/>
              <w:rPr>
                <w:rFonts w:hint="eastAsia"/>
                <w:w w:val="100"/>
                <w:sz w:val="21"/>
              </w:rPr>
            </w:pPr>
          </w:p>
        </w:tc>
      </w:tr>
      <w:tr w14:paraId="2DBB10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4446012C">
            <w:pPr>
              <w:pStyle w:val="140"/>
              <w:spacing w:before="0"/>
              <w:ind w:left="0" w:right="0"/>
              <w:rPr>
                <w:rFonts w:hint="eastAsia"/>
                <w:sz w:val="21"/>
                <w:lang w:val="en-US" w:eastAsia="zh-CN"/>
              </w:rPr>
            </w:pPr>
          </w:p>
        </w:tc>
        <w:tc>
          <w:tcPr>
            <w:tcW w:w="1984" w:type="dxa"/>
            <w:tcBorders>
              <w:tl2br w:val="nil"/>
              <w:tr2bl w:val="nil"/>
            </w:tcBorders>
            <w:vAlign w:val="center"/>
          </w:tcPr>
          <w:p w14:paraId="620A6360">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固化剂</w:t>
            </w:r>
          </w:p>
        </w:tc>
        <w:tc>
          <w:tcPr>
            <w:tcW w:w="1437" w:type="dxa"/>
            <w:tcBorders>
              <w:tl2br w:val="nil"/>
              <w:tr2bl w:val="nil"/>
            </w:tcBorders>
            <w:vAlign w:val="center"/>
          </w:tcPr>
          <w:p w14:paraId="12965C3A">
            <w:pPr>
              <w:pStyle w:val="140"/>
              <w:spacing w:before="0"/>
              <w:ind w:left="0" w:right="0"/>
              <w:rPr>
                <w:rFonts w:hint="default" w:ascii="Times New Roman"/>
                <w:sz w:val="21"/>
                <w:lang w:val="en-US" w:eastAsia="zh-CN"/>
              </w:rPr>
            </w:pPr>
            <w:r>
              <w:rPr>
                <w:rFonts w:hint="eastAsia" w:ascii="Times New Roman"/>
                <w:sz w:val="21"/>
                <w:lang w:val="en-US" w:eastAsia="zh-CN"/>
              </w:rPr>
              <w:t>0.5</w:t>
            </w:r>
          </w:p>
        </w:tc>
        <w:tc>
          <w:tcPr>
            <w:tcW w:w="1300" w:type="dxa"/>
            <w:tcBorders>
              <w:tl2br w:val="nil"/>
              <w:tr2bl w:val="nil"/>
            </w:tcBorders>
            <w:vAlign w:val="center"/>
          </w:tcPr>
          <w:p w14:paraId="526BFDE2">
            <w:pPr>
              <w:spacing w:before="0"/>
              <w:ind w:left="0" w:right="0"/>
              <w:jc w:val="center"/>
              <w:rPr>
                <w:rFonts w:hint="eastAsia"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312BC31E">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389BD0C1">
            <w:pPr>
              <w:pStyle w:val="140"/>
              <w:ind w:left="0"/>
              <w:rPr>
                <w:rFonts w:hint="eastAsia"/>
                <w:w w:val="100"/>
                <w:sz w:val="21"/>
              </w:rPr>
            </w:pPr>
          </w:p>
        </w:tc>
      </w:tr>
      <w:tr w14:paraId="046E6C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0D8A3654">
            <w:pPr>
              <w:pStyle w:val="140"/>
              <w:spacing w:before="0"/>
              <w:ind w:left="0" w:right="0"/>
              <w:rPr>
                <w:rFonts w:hint="eastAsia"/>
                <w:sz w:val="21"/>
                <w:lang w:val="en-US" w:eastAsia="zh-CN"/>
              </w:rPr>
            </w:pPr>
          </w:p>
        </w:tc>
        <w:tc>
          <w:tcPr>
            <w:tcW w:w="1984" w:type="dxa"/>
            <w:tcBorders>
              <w:tl2br w:val="nil"/>
              <w:tr2bl w:val="nil"/>
            </w:tcBorders>
            <w:vAlign w:val="center"/>
          </w:tcPr>
          <w:p w14:paraId="20E6E7D9">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拼板胶</w:t>
            </w:r>
          </w:p>
        </w:tc>
        <w:tc>
          <w:tcPr>
            <w:tcW w:w="1437" w:type="dxa"/>
            <w:tcBorders>
              <w:tl2br w:val="nil"/>
              <w:tr2bl w:val="nil"/>
            </w:tcBorders>
            <w:vAlign w:val="center"/>
          </w:tcPr>
          <w:p w14:paraId="2A17AFF1">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41E3E318">
            <w:pPr>
              <w:spacing w:before="0"/>
              <w:ind w:left="0" w:right="0"/>
              <w:jc w:val="center"/>
              <w:rPr>
                <w:rFonts w:hint="default" w:ascii="Times New Roman"/>
                <w:sz w:val="21"/>
                <w:lang w:val="en-US" w:eastAsia="zh-CN"/>
              </w:rPr>
            </w:pPr>
            <w:r>
              <w:rPr>
                <w:rFonts w:hint="eastAsia"/>
                <w:sz w:val="21"/>
                <w:lang w:val="en-US" w:eastAsia="zh-CN"/>
              </w:rPr>
              <w:t>10</w:t>
            </w:r>
          </w:p>
        </w:tc>
        <w:tc>
          <w:tcPr>
            <w:tcW w:w="1232" w:type="dxa"/>
            <w:tcBorders>
              <w:tl2br w:val="nil"/>
              <w:tr2bl w:val="nil"/>
            </w:tcBorders>
            <w:vAlign w:val="center"/>
          </w:tcPr>
          <w:p w14:paraId="204AFD2D">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0.1</w:t>
            </w:r>
          </w:p>
        </w:tc>
        <w:tc>
          <w:tcPr>
            <w:tcW w:w="1570" w:type="dxa"/>
            <w:vMerge w:val="continue"/>
            <w:tcBorders>
              <w:tl2br w:val="nil"/>
              <w:tr2bl w:val="nil"/>
            </w:tcBorders>
            <w:vAlign w:val="center"/>
          </w:tcPr>
          <w:p w14:paraId="79D46B32">
            <w:pPr>
              <w:pStyle w:val="140"/>
              <w:ind w:left="0"/>
              <w:rPr>
                <w:rFonts w:hint="eastAsia"/>
                <w:w w:val="100"/>
                <w:sz w:val="21"/>
              </w:rPr>
            </w:pPr>
          </w:p>
        </w:tc>
      </w:tr>
      <w:tr w14:paraId="3DE0A7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3" w:hRule="atLeast"/>
        </w:trPr>
        <w:tc>
          <w:tcPr>
            <w:tcW w:w="5918" w:type="dxa"/>
            <w:gridSpan w:val="4"/>
            <w:tcBorders>
              <w:tl2br w:val="nil"/>
              <w:tr2bl w:val="nil"/>
            </w:tcBorders>
            <w:vAlign w:val="center"/>
          </w:tcPr>
          <w:p w14:paraId="2B8A7FF3">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08DA2D2E">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0.605</w:t>
            </w:r>
          </w:p>
        </w:tc>
        <w:tc>
          <w:tcPr>
            <w:tcW w:w="1570" w:type="dxa"/>
            <w:vMerge w:val="continue"/>
            <w:tcBorders>
              <w:tl2br w:val="nil"/>
              <w:tr2bl w:val="nil"/>
            </w:tcBorders>
            <w:vAlign w:val="center"/>
          </w:tcPr>
          <w:p w14:paraId="65533770">
            <w:pPr>
              <w:jc w:val="center"/>
              <w:rPr>
                <w:rFonts w:hint="eastAsia" w:ascii="宋体" w:hAnsi="宋体" w:eastAsia="宋体" w:cs="宋体"/>
                <w:sz w:val="21"/>
                <w:szCs w:val="24"/>
              </w:rPr>
            </w:pPr>
          </w:p>
        </w:tc>
      </w:tr>
      <w:tr w14:paraId="5A77E6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53" w:hRule="atLeast"/>
        </w:trPr>
        <w:tc>
          <w:tcPr>
            <w:tcW w:w="1197" w:type="dxa"/>
            <w:vMerge w:val="restart"/>
            <w:tcBorders>
              <w:tl2br w:val="nil"/>
              <w:tr2bl w:val="nil"/>
            </w:tcBorders>
            <w:vAlign w:val="center"/>
          </w:tcPr>
          <w:p w14:paraId="2608CA0D">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生产车间</w:t>
            </w:r>
          </w:p>
        </w:tc>
        <w:tc>
          <w:tcPr>
            <w:tcW w:w="1984" w:type="dxa"/>
            <w:tcBorders>
              <w:tl2br w:val="nil"/>
              <w:tr2bl w:val="nil"/>
            </w:tcBorders>
            <w:vAlign w:val="center"/>
          </w:tcPr>
          <w:p w14:paraId="2369F1A4">
            <w:pPr>
              <w:keepNext w:val="0"/>
              <w:keepLines w:val="0"/>
              <w:widowControl/>
              <w:suppressLineNumbers w:val="0"/>
              <w:jc w:val="center"/>
              <w:rPr>
                <w:rFonts w:hint="eastAsia"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底漆</w:t>
            </w:r>
          </w:p>
        </w:tc>
        <w:tc>
          <w:tcPr>
            <w:tcW w:w="1437" w:type="dxa"/>
            <w:tcBorders>
              <w:tl2br w:val="nil"/>
              <w:tr2bl w:val="nil"/>
            </w:tcBorders>
            <w:vAlign w:val="center"/>
          </w:tcPr>
          <w:p w14:paraId="4411A3CB">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52E8D111">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0250A083">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restart"/>
            <w:tcBorders>
              <w:tl2br w:val="nil"/>
              <w:tr2bl w:val="nil"/>
            </w:tcBorders>
            <w:vAlign w:val="center"/>
          </w:tcPr>
          <w:p w14:paraId="38B04541">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17CDC0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6BC7E12E">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236E1D4A">
            <w:pPr>
              <w:keepNext w:val="0"/>
              <w:keepLines w:val="0"/>
              <w:widowControl/>
              <w:suppressLineNumbers w:val="0"/>
              <w:jc w:val="center"/>
              <w:rPr>
                <w:rFonts w:hint="eastAsia"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面漆</w:t>
            </w:r>
          </w:p>
        </w:tc>
        <w:tc>
          <w:tcPr>
            <w:tcW w:w="1437" w:type="dxa"/>
            <w:tcBorders>
              <w:tl2br w:val="nil"/>
              <w:tr2bl w:val="nil"/>
            </w:tcBorders>
            <w:vAlign w:val="center"/>
          </w:tcPr>
          <w:p w14:paraId="0FF04E7E">
            <w:pPr>
              <w:spacing w:before="0"/>
              <w:ind w:left="0" w:right="0"/>
              <w:jc w:val="center"/>
              <w:rPr>
                <w:rFonts w:hint="default"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2786E9EB">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068F7442">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37178741">
            <w:pPr>
              <w:jc w:val="center"/>
              <w:rPr>
                <w:rFonts w:hint="eastAsia" w:ascii="宋体" w:hAnsi="宋体" w:eastAsia="宋体" w:cs="宋体"/>
                <w:sz w:val="21"/>
                <w:szCs w:val="24"/>
                <w:lang w:val="en-US" w:eastAsia="zh-CN"/>
              </w:rPr>
            </w:pPr>
          </w:p>
        </w:tc>
      </w:tr>
      <w:tr w14:paraId="5D8438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128E2960">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5B7E5599">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白乳胶</w:t>
            </w:r>
          </w:p>
        </w:tc>
        <w:tc>
          <w:tcPr>
            <w:tcW w:w="1437" w:type="dxa"/>
            <w:tcBorders>
              <w:tl2br w:val="nil"/>
              <w:tr2bl w:val="nil"/>
            </w:tcBorders>
            <w:vAlign w:val="center"/>
          </w:tcPr>
          <w:p w14:paraId="0F427424">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222CD1DB">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703E4772">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2E933689">
            <w:pPr>
              <w:jc w:val="center"/>
              <w:rPr>
                <w:rFonts w:hint="eastAsia" w:ascii="宋体" w:hAnsi="宋体" w:eastAsia="宋体" w:cs="宋体"/>
                <w:sz w:val="21"/>
                <w:szCs w:val="24"/>
                <w:lang w:val="en-US" w:eastAsia="zh-CN"/>
              </w:rPr>
            </w:pPr>
          </w:p>
        </w:tc>
      </w:tr>
      <w:tr w14:paraId="02CDDF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6A7F3BA4">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64630F0F">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木蜡油</w:t>
            </w:r>
          </w:p>
        </w:tc>
        <w:tc>
          <w:tcPr>
            <w:tcW w:w="1437" w:type="dxa"/>
            <w:tcBorders>
              <w:tl2br w:val="nil"/>
              <w:tr2bl w:val="nil"/>
            </w:tcBorders>
            <w:vAlign w:val="center"/>
          </w:tcPr>
          <w:p w14:paraId="2DE7794E">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487B4595">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2E28C4EF">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331F6D2E">
            <w:pPr>
              <w:jc w:val="center"/>
              <w:rPr>
                <w:rFonts w:hint="eastAsia" w:ascii="宋体" w:hAnsi="宋体" w:eastAsia="宋体" w:cs="宋体"/>
                <w:sz w:val="21"/>
                <w:szCs w:val="24"/>
                <w:lang w:val="en-US" w:eastAsia="zh-CN"/>
              </w:rPr>
            </w:pPr>
          </w:p>
        </w:tc>
      </w:tr>
      <w:tr w14:paraId="55470E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47FC64DF">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14EEFCCE">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固化剂</w:t>
            </w:r>
          </w:p>
        </w:tc>
        <w:tc>
          <w:tcPr>
            <w:tcW w:w="1437" w:type="dxa"/>
            <w:tcBorders>
              <w:tl2br w:val="nil"/>
              <w:tr2bl w:val="nil"/>
            </w:tcBorders>
            <w:vAlign w:val="center"/>
          </w:tcPr>
          <w:p w14:paraId="7F18C0D1">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1659EFA5">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618A68D3">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2A6EC789">
            <w:pPr>
              <w:jc w:val="center"/>
              <w:rPr>
                <w:rFonts w:hint="eastAsia" w:ascii="宋体" w:hAnsi="宋体" w:eastAsia="宋体" w:cs="宋体"/>
                <w:sz w:val="21"/>
                <w:szCs w:val="24"/>
                <w:lang w:val="en-US" w:eastAsia="zh-CN"/>
              </w:rPr>
            </w:pPr>
          </w:p>
        </w:tc>
      </w:tr>
      <w:tr w14:paraId="60A1BB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137E587B">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06F7E914">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拼板胶</w:t>
            </w:r>
          </w:p>
        </w:tc>
        <w:tc>
          <w:tcPr>
            <w:tcW w:w="1437" w:type="dxa"/>
            <w:tcBorders>
              <w:tl2br w:val="nil"/>
              <w:tr2bl w:val="nil"/>
            </w:tcBorders>
            <w:vAlign w:val="center"/>
          </w:tcPr>
          <w:p w14:paraId="2D4CCADB">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330944FD">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10</w:t>
            </w:r>
          </w:p>
        </w:tc>
        <w:tc>
          <w:tcPr>
            <w:tcW w:w="1232" w:type="dxa"/>
            <w:tcBorders>
              <w:tl2br w:val="nil"/>
              <w:tr2bl w:val="nil"/>
            </w:tcBorders>
            <w:vAlign w:val="center"/>
          </w:tcPr>
          <w:p w14:paraId="6D0DC554">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2D7E251B">
            <w:pPr>
              <w:jc w:val="center"/>
              <w:rPr>
                <w:rFonts w:hint="eastAsia" w:ascii="宋体" w:hAnsi="宋体" w:eastAsia="宋体" w:cs="宋体"/>
                <w:sz w:val="21"/>
                <w:szCs w:val="24"/>
                <w:lang w:val="en-US" w:eastAsia="zh-CN"/>
              </w:rPr>
            </w:pPr>
          </w:p>
        </w:tc>
      </w:tr>
      <w:tr w14:paraId="4ED229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150ED420">
            <w:pPr>
              <w:pStyle w:val="140"/>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14:paraId="27388976">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6CD1DC96">
            <w:pPr>
              <w:jc w:val="center"/>
              <w:rPr>
                <w:rFonts w:hint="eastAsia" w:ascii="宋体" w:hAnsi="宋体" w:eastAsia="宋体" w:cs="宋体"/>
                <w:sz w:val="21"/>
                <w:szCs w:val="24"/>
                <w:lang w:val="en-US" w:eastAsia="zh-CN"/>
              </w:rPr>
            </w:pPr>
          </w:p>
        </w:tc>
      </w:tr>
      <w:tr w14:paraId="6F0641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tcBorders>
              <w:tl2br w:val="nil"/>
              <w:tr2bl w:val="nil"/>
            </w:tcBorders>
            <w:vAlign w:val="center"/>
          </w:tcPr>
          <w:p w14:paraId="3ECF82CC">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污水处理设施</w:t>
            </w:r>
          </w:p>
        </w:tc>
        <w:tc>
          <w:tcPr>
            <w:tcW w:w="1984" w:type="dxa"/>
            <w:tcBorders>
              <w:tl2br w:val="nil"/>
              <w:tr2bl w:val="nil"/>
            </w:tcBorders>
            <w:vAlign w:val="center"/>
          </w:tcPr>
          <w:p w14:paraId="48E7D326">
            <w:pPr>
              <w:pStyle w:val="140"/>
              <w:spacing w:before="0"/>
              <w:ind w:left="0" w:right="0"/>
              <w:rPr>
                <w:rFonts w:hint="eastAsia" w:ascii="Times New Roman" w:hAnsi="Times New Roman" w:eastAsia="宋体"/>
                <w:b w:val="0"/>
                <w:bCs/>
                <w:sz w:val="21"/>
                <w:lang w:val="en-US" w:eastAsia="zh-CN"/>
              </w:rPr>
            </w:pPr>
            <w:r>
              <w:rPr>
                <w:rFonts w:hint="eastAsia" w:ascii="Times New Roman" w:hAnsi="Times New Roman"/>
                <w:b w:val="0"/>
                <w:bCs/>
                <w:sz w:val="21"/>
                <w:lang w:val="en-US" w:eastAsia="zh-CN"/>
              </w:rPr>
              <w:t>水帘废水</w:t>
            </w:r>
          </w:p>
        </w:tc>
        <w:tc>
          <w:tcPr>
            <w:tcW w:w="1437" w:type="dxa"/>
            <w:tcBorders>
              <w:tl2br w:val="nil"/>
              <w:tr2bl w:val="nil"/>
            </w:tcBorders>
            <w:vAlign w:val="center"/>
          </w:tcPr>
          <w:p w14:paraId="199185BE">
            <w:pPr>
              <w:pStyle w:val="140"/>
              <w:spacing w:before="0"/>
              <w:ind w:left="0" w:right="0"/>
              <w:rPr>
                <w:rFonts w:hint="default" w:ascii="Times New Roman" w:hAnsi="Times New Roman" w:eastAsia="宋体"/>
                <w:b w:val="0"/>
                <w:bCs/>
                <w:sz w:val="21"/>
                <w:lang w:val="en-US" w:eastAsia="zh-CN"/>
              </w:rPr>
            </w:pPr>
            <w:r>
              <w:rPr>
                <w:rFonts w:hint="eastAsia" w:ascii="Times New Roman" w:hAnsi="Times New Roman"/>
                <w:b w:val="0"/>
                <w:bCs/>
                <w:sz w:val="21"/>
                <w:lang w:val="en-US" w:eastAsia="zh-CN"/>
              </w:rPr>
              <w:t>4</w:t>
            </w:r>
          </w:p>
        </w:tc>
        <w:tc>
          <w:tcPr>
            <w:tcW w:w="1300" w:type="dxa"/>
            <w:tcBorders>
              <w:tl2br w:val="nil"/>
              <w:tr2bl w:val="nil"/>
            </w:tcBorders>
            <w:vAlign w:val="center"/>
          </w:tcPr>
          <w:p w14:paraId="46D438AE">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100</w:t>
            </w:r>
          </w:p>
        </w:tc>
        <w:tc>
          <w:tcPr>
            <w:tcW w:w="1232" w:type="dxa"/>
            <w:tcBorders>
              <w:tl2br w:val="nil"/>
              <w:tr2bl w:val="nil"/>
            </w:tcBorders>
            <w:vAlign w:val="center"/>
          </w:tcPr>
          <w:p w14:paraId="5144BE76">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0.04</w:t>
            </w:r>
          </w:p>
        </w:tc>
        <w:tc>
          <w:tcPr>
            <w:tcW w:w="1570" w:type="dxa"/>
            <w:vMerge w:val="restart"/>
            <w:tcBorders>
              <w:tl2br w:val="nil"/>
              <w:tr2bl w:val="nil"/>
            </w:tcBorders>
            <w:vAlign w:val="center"/>
          </w:tcPr>
          <w:p w14:paraId="58F9EB6D">
            <w:pPr>
              <w:jc w:val="cente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1D3378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3C6596E5">
            <w:pPr>
              <w:pStyle w:val="140"/>
              <w:spacing w:before="0"/>
              <w:ind w:left="0" w:leftChars="0" w:right="0" w:rightChars="0"/>
              <w:rPr>
                <w:rFonts w:ascii="Times New Roman" w:hAnsi="Times New Roman" w:eastAsia="宋体" w:cs="宋体"/>
                <w:b/>
                <w:kern w:val="2"/>
                <w:sz w:val="21"/>
                <w:szCs w:val="24"/>
                <w:lang w:val="en-US" w:eastAsia="zh-CN" w:bidi="ar-SA"/>
              </w:rPr>
            </w:pPr>
            <w:r>
              <w:rPr>
                <w:rFonts w:ascii="Times New Roman" w:hAnsi="Times New Roman"/>
                <w:b/>
                <w:sz w:val="21"/>
              </w:rPr>
              <w:t>ΣQi/qi</w:t>
            </w:r>
          </w:p>
        </w:tc>
        <w:tc>
          <w:tcPr>
            <w:tcW w:w="1232" w:type="dxa"/>
            <w:tcBorders>
              <w:tl2br w:val="nil"/>
              <w:tr2bl w:val="nil"/>
            </w:tcBorders>
            <w:vAlign w:val="center"/>
          </w:tcPr>
          <w:p w14:paraId="761BDB97">
            <w:pPr>
              <w:pStyle w:val="140"/>
              <w:spacing w:before="0"/>
              <w:ind w:right="0" w:rightChars="0"/>
              <w:jc w:val="center"/>
              <w:rPr>
                <w:rFonts w:hint="default" w:ascii="Times New Roman" w:hAnsi="宋体" w:eastAsia="宋体" w:cs="宋体"/>
                <w:kern w:val="2"/>
                <w:sz w:val="21"/>
                <w:szCs w:val="24"/>
                <w:lang w:val="en-US" w:eastAsia="zh-CN" w:bidi="ar-SA"/>
              </w:rPr>
            </w:pPr>
            <w:r>
              <w:rPr>
                <w:rFonts w:hint="eastAsia" w:ascii="Times New Roman"/>
                <w:w w:val="100"/>
                <w:sz w:val="21"/>
                <w:lang w:val="en-US" w:eastAsia="zh-CN"/>
              </w:rPr>
              <w:t>0.04</w:t>
            </w:r>
          </w:p>
        </w:tc>
        <w:tc>
          <w:tcPr>
            <w:tcW w:w="1570" w:type="dxa"/>
            <w:vMerge w:val="continue"/>
            <w:tcBorders>
              <w:tl2br w:val="nil"/>
              <w:tr2bl w:val="nil"/>
            </w:tcBorders>
            <w:vAlign w:val="center"/>
          </w:tcPr>
          <w:p w14:paraId="422007CC">
            <w:pPr>
              <w:jc w:val="center"/>
              <w:rPr>
                <w:rFonts w:hint="eastAsia" w:ascii="宋体" w:hAnsi="宋体" w:eastAsia="宋体" w:cs="宋体"/>
                <w:sz w:val="21"/>
                <w:szCs w:val="24"/>
              </w:rPr>
            </w:pPr>
          </w:p>
        </w:tc>
      </w:tr>
      <w:tr w14:paraId="31CD7F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073F8FFA">
            <w:pPr>
              <w:jc w:val="center"/>
              <w:rPr>
                <w:sz w:val="2"/>
                <w:szCs w:val="2"/>
              </w:rPr>
            </w:pPr>
            <w:r>
              <w:rPr>
                <w:rFonts w:hint="eastAsia" w:ascii="Times New Roman" w:eastAsia="宋体"/>
                <w:sz w:val="21"/>
                <w:lang w:val="en-US" w:eastAsia="zh-CN"/>
              </w:rPr>
              <w:t>危废仓库</w:t>
            </w:r>
          </w:p>
        </w:tc>
        <w:tc>
          <w:tcPr>
            <w:tcW w:w="1984" w:type="dxa"/>
            <w:tcBorders>
              <w:tl2br w:val="nil"/>
              <w:tr2bl w:val="nil"/>
            </w:tcBorders>
            <w:vAlign w:val="center"/>
          </w:tcPr>
          <w:p w14:paraId="004DD7CF">
            <w:pPr>
              <w:pStyle w:val="14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kern w:val="0"/>
                <w:sz w:val="21"/>
                <w:szCs w:val="21"/>
                <w:lang w:val="en-US" w:eastAsia="zh-CN" w:bidi="zh-CN"/>
              </w:rPr>
            </w:pPr>
            <w:r>
              <w:rPr>
                <w:rFonts w:hint="eastAsia" w:ascii="Times New Roman" w:hAnsi="Times New Roman" w:cs="Times New Roman"/>
                <w:kern w:val="2"/>
                <w:sz w:val="21"/>
                <w:szCs w:val="21"/>
                <w:lang w:val="en-US" w:eastAsia="zh-CN" w:bidi="ar-SA"/>
              </w:rPr>
              <w:t>废包装桶</w:t>
            </w:r>
          </w:p>
        </w:tc>
        <w:tc>
          <w:tcPr>
            <w:tcW w:w="1437" w:type="dxa"/>
            <w:tcBorders>
              <w:tl2br w:val="nil"/>
              <w:tr2bl w:val="nil"/>
            </w:tcBorders>
            <w:vAlign w:val="center"/>
          </w:tcPr>
          <w:p w14:paraId="37E9122A">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0.5</w:t>
            </w:r>
          </w:p>
        </w:tc>
        <w:tc>
          <w:tcPr>
            <w:tcW w:w="1300" w:type="dxa"/>
            <w:tcBorders>
              <w:tl2br w:val="nil"/>
              <w:tr2bl w:val="nil"/>
            </w:tcBorders>
            <w:vAlign w:val="center"/>
          </w:tcPr>
          <w:p w14:paraId="53CD3BC5">
            <w:pPr>
              <w:pStyle w:val="140"/>
              <w:spacing w:before="0"/>
              <w:ind w:left="0" w:right="0"/>
              <w:rPr>
                <w:rFonts w:hint="default" w:ascii="Times New Roman" w:eastAsia="宋体"/>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21E77929">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0.01</w:t>
            </w:r>
          </w:p>
        </w:tc>
        <w:tc>
          <w:tcPr>
            <w:tcW w:w="1570" w:type="dxa"/>
            <w:vMerge w:val="continue"/>
            <w:tcBorders>
              <w:tl2br w:val="nil"/>
              <w:tr2bl w:val="nil"/>
            </w:tcBorders>
            <w:vAlign w:val="center"/>
          </w:tcPr>
          <w:p w14:paraId="5DCAE1E0">
            <w:pPr>
              <w:jc w:val="center"/>
              <w:rPr>
                <w:sz w:val="2"/>
                <w:szCs w:val="2"/>
              </w:rPr>
            </w:pPr>
          </w:p>
        </w:tc>
      </w:tr>
      <w:tr w14:paraId="0E3FA1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764DDB93">
            <w:pPr>
              <w:jc w:val="center"/>
              <w:rPr>
                <w:sz w:val="2"/>
                <w:szCs w:val="2"/>
              </w:rPr>
            </w:pPr>
          </w:p>
        </w:tc>
        <w:tc>
          <w:tcPr>
            <w:tcW w:w="1984" w:type="dxa"/>
            <w:tcBorders>
              <w:tl2br w:val="nil"/>
              <w:tr2bl w:val="nil"/>
            </w:tcBorders>
            <w:vAlign w:val="center"/>
          </w:tcPr>
          <w:p w14:paraId="40BEE8AF">
            <w:pPr>
              <w:widowControl/>
              <w:jc w:val="center"/>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2"/>
                <w:sz w:val="21"/>
                <w:szCs w:val="21"/>
                <w:lang w:val="en-US" w:eastAsia="zh-CN" w:bidi="ar-SA"/>
              </w:rPr>
              <w:t>废活性炭</w:t>
            </w:r>
          </w:p>
        </w:tc>
        <w:tc>
          <w:tcPr>
            <w:tcW w:w="1437" w:type="dxa"/>
            <w:tcBorders>
              <w:tl2br w:val="nil"/>
              <w:tr2bl w:val="nil"/>
            </w:tcBorders>
            <w:vAlign w:val="center"/>
          </w:tcPr>
          <w:p w14:paraId="3F48C760">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4B5F935B">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1FDF3F87">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0.04</w:t>
            </w:r>
          </w:p>
        </w:tc>
        <w:tc>
          <w:tcPr>
            <w:tcW w:w="1570" w:type="dxa"/>
            <w:vMerge w:val="continue"/>
            <w:tcBorders>
              <w:tl2br w:val="nil"/>
              <w:tr2bl w:val="nil"/>
            </w:tcBorders>
            <w:vAlign w:val="center"/>
          </w:tcPr>
          <w:p w14:paraId="17E3F0EE">
            <w:pPr>
              <w:jc w:val="center"/>
              <w:rPr>
                <w:sz w:val="2"/>
                <w:szCs w:val="2"/>
              </w:rPr>
            </w:pPr>
          </w:p>
        </w:tc>
      </w:tr>
      <w:tr w14:paraId="4BF9E7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73942075">
            <w:pPr>
              <w:jc w:val="center"/>
              <w:rPr>
                <w:sz w:val="2"/>
                <w:szCs w:val="2"/>
              </w:rPr>
            </w:pPr>
          </w:p>
        </w:tc>
        <w:tc>
          <w:tcPr>
            <w:tcW w:w="1984" w:type="dxa"/>
            <w:tcBorders>
              <w:tl2br w:val="nil"/>
              <w:tr2bl w:val="nil"/>
            </w:tcBorders>
            <w:vAlign w:val="center"/>
          </w:tcPr>
          <w:p w14:paraId="5D7931C6">
            <w:pPr>
              <w:widowControl w:val="0"/>
              <w:spacing w:line="240" w:lineRule="auto"/>
              <w:ind w:left="0" w:leftChars="0" w:firstLine="0" w:firstLineChars="0"/>
              <w:jc w:val="center"/>
              <w:rPr>
                <w:rFonts w:hint="eastAsia" w:ascii="Times New Roman" w:hAnsi="Times New Roman" w:eastAsia="宋体" w:cs="Times New Roman"/>
                <w:kern w:val="0"/>
                <w:sz w:val="21"/>
                <w:szCs w:val="21"/>
                <w:lang w:val="en-US" w:eastAsia="zh-CN" w:bidi="zh-CN"/>
              </w:rPr>
            </w:pPr>
            <w:r>
              <w:rPr>
                <w:rFonts w:hint="default" w:ascii="宋体" w:hAnsi="宋体" w:eastAsia="宋体" w:cs="Times New Roman"/>
                <w:color w:val="000000"/>
                <w:kern w:val="0"/>
                <w:sz w:val="21"/>
                <w:szCs w:val="21"/>
                <w:lang w:val="en-US" w:eastAsia="zh-CN" w:bidi="ar-SA"/>
              </w:rPr>
              <w:t>漆渣</w:t>
            </w:r>
          </w:p>
        </w:tc>
        <w:tc>
          <w:tcPr>
            <w:tcW w:w="1437" w:type="dxa"/>
            <w:tcBorders>
              <w:tl2br w:val="nil"/>
              <w:tr2bl w:val="nil"/>
            </w:tcBorders>
            <w:vAlign w:val="center"/>
          </w:tcPr>
          <w:p w14:paraId="75AC3362">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4</w:t>
            </w:r>
          </w:p>
        </w:tc>
        <w:tc>
          <w:tcPr>
            <w:tcW w:w="1300" w:type="dxa"/>
            <w:tcBorders>
              <w:tl2br w:val="nil"/>
              <w:tr2bl w:val="nil"/>
            </w:tcBorders>
            <w:vAlign w:val="center"/>
          </w:tcPr>
          <w:p w14:paraId="79E79F68">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23A44889">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0.08</w:t>
            </w:r>
          </w:p>
        </w:tc>
        <w:tc>
          <w:tcPr>
            <w:tcW w:w="1570" w:type="dxa"/>
            <w:vMerge w:val="continue"/>
            <w:tcBorders>
              <w:tl2br w:val="nil"/>
              <w:tr2bl w:val="nil"/>
            </w:tcBorders>
            <w:vAlign w:val="center"/>
          </w:tcPr>
          <w:p w14:paraId="71A87426">
            <w:pPr>
              <w:jc w:val="center"/>
              <w:rPr>
                <w:sz w:val="2"/>
                <w:szCs w:val="2"/>
              </w:rPr>
            </w:pPr>
          </w:p>
        </w:tc>
      </w:tr>
      <w:tr w14:paraId="078943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41463235">
            <w:pPr>
              <w:jc w:val="center"/>
              <w:rPr>
                <w:sz w:val="2"/>
                <w:szCs w:val="2"/>
              </w:rPr>
            </w:pPr>
          </w:p>
        </w:tc>
        <w:tc>
          <w:tcPr>
            <w:tcW w:w="1984" w:type="dxa"/>
            <w:tcBorders>
              <w:tl2br w:val="nil"/>
              <w:tr2bl w:val="nil"/>
            </w:tcBorders>
            <w:vAlign w:val="center"/>
          </w:tcPr>
          <w:p w14:paraId="59776143">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废刷子</w:t>
            </w:r>
          </w:p>
        </w:tc>
        <w:tc>
          <w:tcPr>
            <w:tcW w:w="1437" w:type="dxa"/>
            <w:tcBorders>
              <w:tl2br w:val="nil"/>
              <w:tr2bl w:val="nil"/>
            </w:tcBorders>
            <w:vAlign w:val="center"/>
          </w:tcPr>
          <w:p w14:paraId="29C7B6E8">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2F90E17A">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713006B3">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0.002</w:t>
            </w:r>
          </w:p>
        </w:tc>
        <w:tc>
          <w:tcPr>
            <w:tcW w:w="1570" w:type="dxa"/>
            <w:vMerge w:val="continue"/>
            <w:tcBorders>
              <w:tl2br w:val="nil"/>
              <w:tr2bl w:val="nil"/>
            </w:tcBorders>
            <w:vAlign w:val="center"/>
          </w:tcPr>
          <w:p w14:paraId="1FFF223C">
            <w:pPr>
              <w:jc w:val="center"/>
              <w:rPr>
                <w:sz w:val="2"/>
                <w:szCs w:val="2"/>
              </w:rPr>
            </w:pPr>
          </w:p>
        </w:tc>
      </w:tr>
      <w:tr w14:paraId="6EC18C8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1C115A56">
            <w:pPr>
              <w:jc w:val="center"/>
              <w:rPr>
                <w:sz w:val="2"/>
                <w:szCs w:val="2"/>
              </w:rPr>
            </w:pPr>
          </w:p>
        </w:tc>
        <w:tc>
          <w:tcPr>
            <w:tcW w:w="1984" w:type="dxa"/>
            <w:tcBorders>
              <w:tl2br w:val="nil"/>
              <w:tr2bl w:val="nil"/>
            </w:tcBorders>
            <w:vAlign w:val="center"/>
          </w:tcPr>
          <w:p w14:paraId="75E8EC37">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胶渣</w:t>
            </w:r>
          </w:p>
        </w:tc>
        <w:tc>
          <w:tcPr>
            <w:tcW w:w="1437" w:type="dxa"/>
            <w:tcBorders>
              <w:tl2br w:val="nil"/>
              <w:tr2bl w:val="nil"/>
            </w:tcBorders>
            <w:vAlign w:val="center"/>
          </w:tcPr>
          <w:p w14:paraId="5620E638">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5BB7A0D2">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659C60E6">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0.002</w:t>
            </w:r>
          </w:p>
        </w:tc>
        <w:tc>
          <w:tcPr>
            <w:tcW w:w="1570" w:type="dxa"/>
            <w:vMerge w:val="continue"/>
            <w:tcBorders>
              <w:tl2br w:val="nil"/>
              <w:tr2bl w:val="nil"/>
            </w:tcBorders>
            <w:vAlign w:val="center"/>
          </w:tcPr>
          <w:p w14:paraId="102C8A28">
            <w:pPr>
              <w:jc w:val="center"/>
              <w:rPr>
                <w:sz w:val="2"/>
                <w:szCs w:val="2"/>
              </w:rPr>
            </w:pPr>
          </w:p>
        </w:tc>
      </w:tr>
      <w:tr w14:paraId="6B83E4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54278FC1">
            <w:pPr>
              <w:jc w:val="center"/>
              <w:rPr>
                <w:sz w:val="2"/>
                <w:szCs w:val="2"/>
              </w:rPr>
            </w:pPr>
          </w:p>
        </w:tc>
        <w:tc>
          <w:tcPr>
            <w:tcW w:w="1984" w:type="dxa"/>
            <w:tcBorders>
              <w:tl2br w:val="nil"/>
              <w:tr2bl w:val="nil"/>
            </w:tcBorders>
            <w:vAlign w:val="center"/>
          </w:tcPr>
          <w:p w14:paraId="32A886CE">
            <w:pPr>
              <w:widowControl w:val="0"/>
              <w:spacing w:line="240" w:lineRule="auto"/>
              <w:ind w:left="0" w:leftChars="0"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废过滤棉</w:t>
            </w:r>
          </w:p>
        </w:tc>
        <w:tc>
          <w:tcPr>
            <w:tcW w:w="1437" w:type="dxa"/>
            <w:tcBorders>
              <w:tl2br w:val="nil"/>
              <w:tr2bl w:val="nil"/>
            </w:tcBorders>
            <w:vAlign w:val="center"/>
          </w:tcPr>
          <w:p w14:paraId="50C1C2BA">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348D6D7F">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19A6CD77">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0.002</w:t>
            </w:r>
          </w:p>
        </w:tc>
        <w:tc>
          <w:tcPr>
            <w:tcW w:w="1570" w:type="dxa"/>
            <w:vMerge w:val="continue"/>
            <w:tcBorders>
              <w:tl2br w:val="nil"/>
              <w:tr2bl w:val="nil"/>
            </w:tcBorders>
            <w:vAlign w:val="center"/>
          </w:tcPr>
          <w:p w14:paraId="5F13B1A3">
            <w:pPr>
              <w:jc w:val="center"/>
              <w:rPr>
                <w:sz w:val="2"/>
                <w:szCs w:val="2"/>
              </w:rPr>
            </w:pPr>
          </w:p>
        </w:tc>
      </w:tr>
      <w:tr w14:paraId="0D8C9C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7FD9A103">
            <w:pPr>
              <w:jc w:val="center"/>
              <w:rPr>
                <w:sz w:val="2"/>
                <w:szCs w:val="2"/>
              </w:rPr>
            </w:pPr>
          </w:p>
        </w:tc>
        <w:tc>
          <w:tcPr>
            <w:tcW w:w="1984" w:type="dxa"/>
            <w:tcBorders>
              <w:tl2br w:val="nil"/>
              <w:tr2bl w:val="nil"/>
            </w:tcBorders>
            <w:vAlign w:val="center"/>
          </w:tcPr>
          <w:p w14:paraId="2958C11B">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含油废水</w:t>
            </w:r>
          </w:p>
        </w:tc>
        <w:tc>
          <w:tcPr>
            <w:tcW w:w="1437" w:type="dxa"/>
            <w:tcBorders>
              <w:tl2br w:val="nil"/>
              <w:tr2bl w:val="nil"/>
            </w:tcBorders>
            <w:vAlign w:val="center"/>
          </w:tcPr>
          <w:p w14:paraId="70CE1E85">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0.015</w:t>
            </w:r>
          </w:p>
        </w:tc>
        <w:tc>
          <w:tcPr>
            <w:tcW w:w="1300" w:type="dxa"/>
            <w:tcBorders>
              <w:tl2br w:val="nil"/>
              <w:tr2bl w:val="nil"/>
            </w:tcBorders>
            <w:vAlign w:val="center"/>
          </w:tcPr>
          <w:p w14:paraId="56C4D262">
            <w:pPr>
              <w:spacing w:before="0"/>
              <w:ind w:left="0" w:right="0"/>
              <w:jc w:val="center"/>
              <w:rPr>
                <w:rFonts w:hint="default" w:ascii="Times New Roman"/>
                <w:sz w:val="21"/>
                <w:lang w:val="en-US" w:eastAsia="zh-CN"/>
              </w:rPr>
            </w:pPr>
            <w:r>
              <w:rPr>
                <w:rFonts w:hint="eastAsia"/>
                <w:sz w:val="21"/>
                <w:lang w:val="en-US" w:eastAsia="zh-CN"/>
              </w:rPr>
              <w:t>50</w:t>
            </w:r>
          </w:p>
        </w:tc>
        <w:tc>
          <w:tcPr>
            <w:tcW w:w="1232" w:type="dxa"/>
            <w:tcBorders>
              <w:tl2br w:val="nil"/>
              <w:tr2bl w:val="nil"/>
            </w:tcBorders>
            <w:vAlign w:val="center"/>
          </w:tcPr>
          <w:p w14:paraId="095572E2">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0.0003</w:t>
            </w:r>
          </w:p>
        </w:tc>
        <w:tc>
          <w:tcPr>
            <w:tcW w:w="1570" w:type="dxa"/>
            <w:vMerge w:val="continue"/>
            <w:tcBorders>
              <w:tl2br w:val="nil"/>
              <w:tr2bl w:val="nil"/>
            </w:tcBorders>
            <w:vAlign w:val="center"/>
          </w:tcPr>
          <w:p w14:paraId="287696C9">
            <w:pPr>
              <w:jc w:val="center"/>
              <w:rPr>
                <w:sz w:val="2"/>
                <w:szCs w:val="2"/>
              </w:rPr>
            </w:pPr>
          </w:p>
        </w:tc>
      </w:tr>
      <w:tr w14:paraId="026E0F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49085074">
            <w:pPr>
              <w:jc w:val="center"/>
              <w:rPr>
                <w:sz w:val="2"/>
                <w:szCs w:val="2"/>
              </w:rPr>
            </w:pPr>
          </w:p>
        </w:tc>
        <w:tc>
          <w:tcPr>
            <w:tcW w:w="1984" w:type="dxa"/>
            <w:tcBorders>
              <w:tl2br w:val="nil"/>
              <w:tr2bl w:val="nil"/>
            </w:tcBorders>
            <w:vAlign w:val="center"/>
          </w:tcPr>
          <w:p w14:paraId="1A65520D">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废劳保用品</w:t>
            </w:r>
          </w:p>
        </w:tc>
        <w:tc>
          <w:tcPr>
            <w:tcW w:w="1437" w:type="dxa"/>
            <w:tcBorders>
              <w:tl2br w:val="nil"/>
              <w:tr2bl w:val="nil"/>
            </w:tcBorders>
            <w:vAlign w:val="center"/>
          </w:tcPr>
          <w:p w14:paraId="652B1A05">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0.07</w:t>
            </w:r>
          </w:p>
        </w:tc>
        <w:tc>
          <w:tcPr>
            <w:tcW w:w="1300" w:type="dxa"/>
            <w:tcBorders>
              <w:tl2br w:val="nil"/>
              <w:tr2bl w:val="nil"/>
            </w:tcBorders>
            <w:vAlign w:val="center"/>
          </w:tcPr>
          <w:p w14:paraId="103B891C">
            <w:pPr>
              <w:spacing w:before="0"/>
              <w:ind w:left="0" w:right="0"/>
              <w:jc w:val="center"/>
              <w:rPr>
                <w:rFonts w:hint="default" w:ascii="Times New Roman"/>
                <w:sz w:val="21"/>
                <w:lang w:val="en-US" w:eastAsia="zh-CN"/>
              </w:rPr>
            </w:pPr>
            <w:r>
              <w:rPr>
                <w:rFonts w:hint="eastAsia"/>
                <w:sz w:val="21"/>
                <w:lang w:val="en-US" w:eastAsia="zh-CN"/>
              </w:rPr>
              <w:t>50</w:t>
            </w:r>
          </w:p>
        </w:tc>
        <w:tc>
          <w:tcPr>
            <w:tcW w:w="1232" w:type="dxa"/>
            <w:tcBorders>
              <w:tl2br w:val="nil"/>
              <w:tr2bl w:val="nil"/>
            </w:tcBorders>
            <w:vAlign w:val="center"/>
          </w:tcPr>
          <w:p w14:paraId="1EA19332">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0.00014</w:t>
            </w:r>
          </w:p>
        </w:tc>
        <w:tc>
          <w:tcPr>
            <w:tcW w:w="1570" w:type="dxa"/>
            <w:vMerge w:val="continue"/>
            <w:tcBorders>
              <w:tl2br w:val="nil"/>
              <w:tr2bl w:val="nil"/>
            </w:tcBorders>
            <w:vAlign w:val="center"/>
          </w:tcPr>
          <w:p w14:paraId="6C144E28">
            <w:pPr>
              <w:jc w:val="center"/>
              <w:rPr>
                <w:sz w:val="2"/>
                <w:szCs w:val="2"/>
              </w:rPr>
            </w:pPr>
          </w:p>
        </w:tc>
      </w:tr>
      <w:tr w14:paraId="392209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918" w:type="dxa"/>
            <w:gridSpan w:val="4"/>
            <w:tcBorders>
              <w:tl2br w:val="nil"/>
              <w:tr2bl w:val="nil"/>
            </w:tcBorders>
            <w:vAlign w:val="center"/>
          </w:tcPr>
          <w:p w14:paraId="2B3E4379">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36EB1C8F">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0.79144</w:t>
            </w:r>
          </w:p>
        </w:tc>
        <w:tc>
          <w:tcPr>
            <w:tcW w:w="1570" w:type="dxa"/>
            <w:vMerge w:val="continue"/>
            <w:tcBorders>
              <w:tl2br w:val="nil"/>
              <w:tr2bl w:val="nil"/>
            </w:tcBorders>
            <w:vAlign w:val="center"/>
          </w:tcPr>
          <w:p w14:paraId="65AD7401">
            <w:pPr>
              <w:jc w:val="center"/>
              <w:rPr>
                <w:sz w:val="2"/>
                <w:szCs w:val="2"/>
              </w:rPr>
            </w:pPr>
          </w:p>
        </w:tc>
      </w:tr>
    </w:tbl>
    <w:p w14:paraId="15C4888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根据上述计算，公司涉气风险物质数量与临界量比值为</w:t>
      </w:r>
      <w:r>
        <w:rPr>
          <w:rFonts w:hint="eastAsia" w:eastAsia="宋体" w:cs="Times New Roman"/>
          <w:lang w:val="en-US" w:eastAsia="zh-CN"/>
        </w:rPr>
        <w:t>Q</w:t>
      </w:r>
      <w:r>
        <w:rPr>
          <w:rFonts w:hint="eastAsia" w:eastAsia="宋体" w:cs="Times New Roman"/>
          <w:highlight w:val="none"/>
          <w:lang w:val="en-US" w:eastAsia="zh-CN"/>
        </w:rPr>
        <w:t>=0.7205</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eastAsia="宋体"/>
          <w:spacing w:val="0"/>
        </w:rPr>
        <w:t>企业存在环境风险的</w:t>
      </w:r>
      <w:r>
        <w:rPr>
          <w:rFonts w:hint="eastAsia" w:eastAsia="宋体"/>
          <w:spacing w:val="0"/>
          <w:lang w:val="en-US" w:eastAsia="zh-CN"/>
        </w:rPr>
        <w:t>油漆仓库、</w:t>
      </w:r>
      <w:r>
        <w:rPr>
          <w:rFonts w:hint="eastAsia" w:eastAsia="宋体" w:cs="Times New Roman"/>
          <w:spacing w:val="0"/>
          <w:lang w:val="en-US" w:eastAsia="zh-CN"/>
        </w:rPr>
        <w:t>生产车间</w:t>
      </w:r>
      <w:r>
        <w:rPr>
          <w:rFonts w:eastAsia="宋体"/>
          <w:spacing w:val="0"/>
        </w:rPr>
        <w:t>、</w:t>
      </w:r>
      <w:r>
        <w:rPr>
          <w:rFonts w:hint="eastAsia" w:eastAsia="宋体"/>
          <w:spacing w:val="0"/>
          <w:lang w:val="en-US" w:eastAsia="zh-CN"/>
        </w:rPr>
        <w:t>污水处理站、</w:t>
      </w:r>
      <w:r>
        <w:rPr>
          <w:rFonts w:eastAsia="宋体"/>
          <w:spacing w:val="0"/>
        </w:rPr>
        <w:t>危废仓库</w:t>
      </w:r>
      <w:r>
        <w:rPr>
          <w:rFonts w:ascii="Times New Roman" w:eastAsia="宋体"/>
        </w:rPr>
        <w:t>Q</w:t>
      </w:r>
      <w:r>
        <w:rPr>
          <w:rFonts w:eastAsia="宋体"/>
          <w:spacing w:val="0"/>
        </w:rPr>
        <w:t>值均小于</w:t>
      </w:r>
      <w:r>
        <w:rPr>
          <w:rFonts w:ascii="Times New Roman" w:eastAsia="宋体"/>
        </w:rPr>
        <w:t>1</w:t>
      </w:r>
      <w:r>
        <w:rPr>
          <w:rFonts w:eastAsia="宋体"/>
        </w:rPr>
        <w:t>，企业不存在重要环境风险单元</w:t>
      </w:r>
      <w:r>
        <w:rPr>
          <w:rFonts w:hint="eastAsia" w:eastAsia="宋体"/>
          <w:lang w:eastAsia="zh-CN"/>
        </w:rPr>
        <w:t>，</w:t>
      </w:r>
      <w:r>
        <w:rPr>
          <w:rFonts w:hint="default" w:ascii="Times New Roman" w:hAnsi="Times New Roman" w:eastAsia="宋体" w:cs="Times New Roman"/>
        </w:rPr>
        <w:t>直接评为一般环境风险等级Q0。</w:t>
      </w:r>
    </w:p>
    <w:p w14:paraId="063CD210">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56" w:name="_Toc4575"/>
      <w:bookmarkStart w:id="257" w:name="_Toc818"/>
      <w:bookmarkStart w:id="258" w:name="_TOC_250020"/>
      <w:r>
        <w:rPr>
          <w:rFonts w:hint="eastAsia" w:ascii="Times New Roman" w:hAnsi="Times New Roman" w:eastAsia="宋体" w:cs="Times New Roman"/>
          <w:color w:val="000000" w:themeColor="text1"/>
          <w14:textFill>
            <w14:solidFill>
              <w14:schemeClr w14:val="tx1"/>
            </w14:solidFill>
          </w14:textFill>
        </w:rPr>
        <w:t>7.1.</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生产工艺过程与大气环境风险控制水平（M）评估</w:t>
      </w:r>
      <w:bookmarkEnd w:id="256"/>
      <w:bookmarkEnd w:id="257"/>
    </w:p>
    <w:bookmarkEnd w:id="258"/>
    <w:p w14:paraId="71B96014">
      <w:pPr>
        <w:pStyle w:val="13"/>
        <w:spacing w:before="0" w:after="0" w:line="500" w:lineRule="exact"/>
        <w:ind w:left="0" w:right="0" w:firstLine="480" w:firstLineChars="200"/>
        <w:rPr>
          <w:rFonts w:hint="default" w:eastAsia="宋体"/>
        </w:rPr>
      </w:pPr>
      <w:r>
        <w:rPr>
          <w:rFonts w:hint="default" w:eastAsia="宋体"/>
        </w:rPr>
        <w:t>采用评分法对企业生产工艺过程、大气环境风险防控措施及突发大气环境事</w:t>
      </w:r>
      <w:r>
        <w:rPr>
          <w:rFonts w:hint="default" w:eastAsia="宋体"/>
          <w:spacing w:val="-8"/>
        </w:rPr>
        <w:t>件发生情况进行评估，将各项指标分值累加，确定企业生产工艺过程与大气环境</w:t>
      </w:r>
      <w:r>
        <w:rPr>
          <w:rFonts w:hint="default" w:eastAsia="宋体"/>
        </w:rPr>
        <w:t>风险控制水平（</w:t>
      </w:r>
      <w:r>
        <w:rPr>
          <w:rFonts w:hint="default" w:ascii="Times New Roman" w:eastAsia="宋体"/>
        </w:rPr>
        <w:t>M</w:t>
      </w:r>
      <w:r>
        <w:rPr>
          <w:rFonts w:hint="default" w:eastAsia="宋体"/>
        </w:rPr>
        <w:t>）。</w:t>
      </w:r>
    </w:p>
    <w:p w14:paraId="447A1778">
      <w:pPr>
        <w:pStyle w:val="153"/>
        <w:numPr>
          <w:ilvl w:val="-1"/>
          <w:numId w:val="0"/>
        </w:numPr>
        <w:tabs>
          <w:tab w:val="left" w:pos="1379"/>
        </w:tabs>
        <w:spacing w:before="0" w:after="0" w:line="500" w:lineRule="exact"/>
        <w:ind w:left="480" w:leftChars="200" w:right="0" w:firstLine="0" w:firstLineChars="0"/>
        <w:jc w:val="both"/>
        <w:rPr>
          <w:rFonts w:hint="default" w:eastAsia="宋体"/>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lang w:eastAsia="zh-CN"/>
        </w:rPr>
        <w:t>）</w:t>
      </w:r>
      <w:r>
        <w:rPr>
          <w:rFonts w:hint="default" w:eastAsia="宋体"/>
          <w:sz w:val="24"/>
        </w:rPr>
        <w:t>生产工艺过程含有风险工艺和设备情况</w:t>
      </w:r>
    </w:p>
    <w:p w14:paraId="5D9B082C">
      <w:pPr>
        <w:pStyle w:val="13"/>
        <w:spacing w:before="0" w:after="0" w:line="500" w:lineRule="exact"/>
        <w:ind w:left="0" w:firstLine="480" w:firstLineChars="200"/>
        <w:rPr>
          <w:rFonts w:hint="default" w:eastAsia="宋体"/>
        </w:rPr>
      </w:pPr>
      <w:r>
        <w:rPr>
          <w:rFonts w:hint="default" w:eastAsia="宋体"/>
        </w:rPr>
        <w:t>从上文章节</w:t>
      </w:r>
      <w:r>
        <w:rPr>
          <w:rFonts w:hint="default" w:ascii="Times New Roman" w:eastAsia="宋体"/>
        </w:rPr>
        <w:t>3.5.</w:t>
      </w:r>
      <w:r>
        <w:rPr>
          <w:rFonts w:hint="eastAsia" w:ascii="Times New Roman" w:hAnsi="Times New Roman" w:eastAsia="宋体" w:cs="Times New Roman"/>
          <w:lang w:eastAsia="zh-CN"/>
        </w:rPr>
        <w:t>3</w:t>
      </w:r>
      <w:r>
        <w:rPr>
          <w:rFonts w:hint="default" w:eastAsia="宋体"/>
        </w:rPr>
        <w:t>可知，企业生产工艺过程评分为</w:t>
      </w:r>
      <w:r>
        <w:rPr>
          <w:rFonts w:hint="eastAsia" w:eastAsia="宋体" w:cs="Times New Roman"/>
          <w:lang w:val="en-US" w:eastAsia="zh-CN"/>
        </w:rPr>
        <w:t>5</w:t>
      </w:r>
      <w:r>
        <w:rPr>
          <w:rFonts w:hint="default" w:eastAsia="宋体"/>
        </w:rPr>
        <w:t>分。</w:t>
      </w:r>
    </w:p>
    <w:p w14:paraId="0CCFAC84">
      <w:pPr>
        <w:pStyle w:val="153"/>
        <w:numPr>
          <w:ilvl w:val="-1"/>
          <w:numId w:val="0"/>
        </w:numPr>
        <w:tabs>
          <w:tab w:val="left" w:pos="1379"/>
        </w:tabs>
        <w:spacing w:before="0" w:after="0" w:line="500" w:lineRule="exact"/>
        <w:ind w:left="480" w:leftChars="200" w:right="0" w:firstLine="0" w:firstLineChars="0"/>
        <w:jc w:val="both"/>
        <w:rPr>
          <w:rFonts w:hint="default" w:eastAsia="宋体"/>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lang w:eastAsia="zh-CN"/>
        </w:rPr>
        <w:t>）</w:t>
      </w:r>
      <w:r>
        <w:rPr>
          <w:rFonts w:hint="default" w:eastAsia="宋体"/>
          <w:sz w:val="24"/>
        </w:rPr>
        <w:t>大气环境风险防控措施及突发大气环境事件发生情况</w:t>
      </w:r>
    </w:p>
    <w:p w14:paraId="4C7E38EC">
      <w:pPr>
        <w:snapToGrid w:val="0"/>
        <w:spacing w:line="500" w:lineRule="exact"/>
        <w:jc w:val="both"/>
        <w:rPr>
          <w:rFonts w:hint="default" w:ascii="Times New Roman" w:hAnsi="Times New Roman" w:eastAsia="宋体" w:cs="Times New Roman"/>
        </w:rPr>
      </w:pPr>
      <w:r>
        <w:rPr>
          <w:rFonts w:hint="default" w:eastAsia="宋体"/>
        </w:rPr>
        <w:t>公司大气环境风险防控措施与突发大气环境事件发生情况评估评估指标见</w:t>
      </w:r>
      <w:r>
        <w:rPr>
          <w:rFonts w:hint="default" w:ascii="Times New Roman" w:eastAsia="宋体"/>
        </w:rPr>
        <w:t>7-2</w:t>
      </w:r>
      <w:r>
        <w:rPr>
          <w:rFonts w:hint="default" w:eastAsia="宋体"/>
        </w:rPr>
        <w:t>。对各项评估指标分别评分、计算总和，各项指标分值合计最高为</w:t>
      </w:r>
      <w:r>
        <w:rPr>
          <w:rFonts w:hint="default" w:ascii="Times New Roman" w:eastAsia="宋体"/>
        </w:rPr>
        <w:t>70</w:t>
      </w:r>
      <w:r>
        <w:rPr>
          <w:rFonts w:hint="default" w:eastAsia="宋体"/>
        </w:rPr>
        <w:t>分。</w:t>
      </w:r>
    </w:p>
    <w:p w14:paraId="1E652818">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7-2大气</w:t>
      </w:r>
      <w:r>
        <w:rPr>
          <w:rFonts w:eastAsiaTheme="minorEastAsia"/>
          <w:b/>
          <w:color w:val="000000" w:themeColor="text1"/>
          <w:sz w:val="24"/>
          <w:szCs w:val="24"/>
          <w14:textFill>
            <w14:solidFill>
              <w14:schemeClr w14:val="tx1"/>
            </w14:solidFill>
          </w14:textFill>
        </w:rPr>
        <w:t>环境风险防控措施与突发环境事件发生情况评估</w:t>
      </w:r>
    </w:p>
    <w:tbl>
      <w:tblPr>
        <w:tblStyle w:val="37"/>
        <w:tblW w:w="50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33"/>
        <w:gridCol w:w="5337"/>
        <w:gridCol w:w="509"/>
        <w:gridCol w:w="1865"/>
        <w:gridCol w:w="569"/>
      </w:tblGrid>
      <w:tr w14:paraId="699ABF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blHeader/>
        </w:trPr>
        <w:tc>
          <w:tcPr>
            <w:tcW w:w="3678" w:type="pct"/>
            <w:gridSpan w:val="3"/>
            <w:vAlign w:val="center"/>
          </w:tcPr>
          <w:p w14:paraId="7732D3A3">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1321" w:type="pct"/>
            <w:gridSpan w:val="2"/>
            <w:vAlign w:val="center"/>
          </w:tcPr>
          <w:p w14:paraId="1559B2FE">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14:paraId="08679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506" w:type="pct"/>
            <w:vAlign w:val="center"/>
          </w:tcPr>
          <w:p w14:paraId="0F9E5EE7">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2896" w:type="pct"/>
            <w:vAlign w:val="center"/>
          </w:tcPr>
          <w:p w14:paraId="54E2656E">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275" w:type="pct"/>
            <w:vAlign w:val="center"/>
          </w:tcPr>
          <w:p w14:paraId="291B26BC">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1012" w:type="pct"/>
            <w:vAlign w:val="center"/>
          </w:tcPr>
          <w:p w14:paraId="6DD89263">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309" w:type="pct"/>
            <w:vAlign w:val="center"/>
          </w:tcPr>
          <w:p w14:paraId="26A1327E">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得分</w:t>
            </w:r>
          </w:p>
        </w:tc>
      </w:tr>
      <w:tr w14:paraId="06497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506" w:type="pct"/>
            <w:vMerge w:val="restart"/>
            <w:vAlign w:val="center"/>
          </w:tcPr>
          <w:p w14:paraId="796C53BA">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毒性气体泄漏监控预警措施</w:t>
            </w:r>
          </w:p>
        </w:tc>
        <w:tc>
          <w:tcPr>
            <w:tcW w:w="2896" w:type="pct"/>
            <w:vAlign w:val="center"/>
          </w:tcPr>
          <w:p w14:paraId="38692CD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（1）不涉及附录A中有毒有害气体的；或</w:t>
            </w:r>
          </w:p>
          <w:p w14:paraId="09DEC618">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（2）根据实际情况，具备有毒有害气体（如硫化氢、氰化氢、氯化氢、光气、氯气、氨气、苯等）厂界泄漏监控预警系统的</w:t>
            </w:r>
          </w:p>
        </w:tc>
        <w:tc>
          <w:tcPr>
            <w:tcW w:w="275" w:type="pct"/>
            <w:vAlign w:val="center"/>
          </w:tcPr>
          <w:p w14:paraId="2A6F57D0">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14:paraId="7715B813">
            <w:pP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公司不涉及附录A中有毒有害气体的</w:t>
            </w:r>
          </w:p>
        </w:tc>
        <w:tc>
          <w:tcPr>
            <w:tcW w:w="309" w:type="pct"/>
            <w:vMerge w:val="restart"/>
            <w:vAlign w:val="center"/>
          </w:tcPr>
          <w:p w14:paraId="6F2EB024">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046EF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1E69C562">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4B562E41">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不具备厂界泄漏监控预警系统的</w:t>
            </w:r>
          </w:p>
        </w:tc>
        <w:tc>
          <w:tcPr>
            <w:tcW w:w="275" w:type="pct"/>
            <w:vAlign w:val="center"/>
          </w:tcPr>
          <w:p w14:paraId="1FD27334">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14:paraId="066A9FD0">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1BE9B1E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694BD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4462B468">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符合防护距离情况</w:t>
            </w:r>
          </w:p>
        </w:tc>
        <w:tc>
          <w:tcPr>
            <w:tcW w:w="2896" w:type="pct"/>
            <w:vAlign w:val="center"/>
          </w:tcPr>
          <w:p w14:paraId="771910B4">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符合环评及批复文件防护距离要求的</w:t>
            </w:r>
          </w:p>
        </w:tc>
        <w:tc>
          <w:tcPr>
            <w:tcW w:w="275" w:type="pct"/>
            <w:vAlign w:val="center"/>
          </w:tcPr>
          <w:p w14:paraId="065A805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14:paraId="38185F48">
            <w:pPr>
              <w:widowControl/>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eastAsia="宋体"/>
                <w:kern w:val="0"/>
                <w:sz w:val="21"/>
                <w:szCs w:val="21"/>
                <w:lang w:val="en-US" w:eastAsia="zh-CN"/>
              </w:rPr>
              <w:t>防护距离内无敏感目标</w:t>
            </w:r>
          </w:p>
        </w:tc>
        <w:tc>
          <w:tcPr>
            <w:tcW w:w="309" w:type="pct"/>
            <w:vMerge w:val="restart"/>
            <w:vAlign w:val="center"/>
          </w:tcPr>
          <w:p w14:paraId="6A7E91BB">
            <w:pPr>
              <w:autoSpaceDE w:val="0"/>
              <w:autoSpaceDN w:val="0"/>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7B5AB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5A08AB62">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3D3AC77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不符合环评及批复文件防护距离要求的</w:t>
            </w:r>
          </w:p>
        </w:tc>
        <w:tc>
          <w:tcPr>
            <w:tcW w:w="275" w:type="pct"/>
            <w:vAlign w:val="center"/>
          </w:tcPr>
          <w:p w14:paraId="408E4BAD">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14:paraId="608021A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26E31E7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DCEC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0844C8C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近3年内突发大气环境事件发生情况</w:t>
            </w:r>
          </w:p>
        </w:tc>
        <w:tc>
          <w:tcPr>
            <w:tcW w:w="2896" w:type="pct"/>
            <w:vAlign w:val="center"/>
          </w:tcPr>
          <w:p w14:paraId="13A4F23C">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发生过特别重大或重大等级突发大气环境事件的</w:t>
            </w:r>
          </w:p>
        </w:tc>
        <w:tc>
          <w:tcPr>
            <w:tcW w:w="275" w:type="pct"/>
            <w:vAlign w:val="center"/>
          </w:tcPr>
          <w:p w14:paraId="0ECC1695">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w:t>
            </w:r>
          </w:p>
        </w:tc>
        <w:tc>
          <w:tcPr>
            <w:tcW w:w="1012" w:type="pct"/>
            <w:vMerge w:val="restart"/>
            <w:vAlign w:val="center"/>
          </w:tcPr>
          <w:p w14:paraId="210EFB24">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未发生过突发大气环境事件。</w:t>
            </w:r>
          </w:p>
        </w:tc>
        <w:tc>
          <w:tcPr>
            <w:tcW w:w="309" w:type="pct"/>
            <w:vMerge w:val="restart"/>
            <w:vAlign w:val="center"/>
          </w:tcPr>
          <w:p w14:paraId="3824A67C">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5C83E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289D4AD6">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0750E1C6">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发生过较大等级突发大气环境事件的</w:t>
            </w:r>
          </w:p>
        </w:tc>
        <w:tc>
          <w:tcPr>
            <w:tcW w:w="275" w:type="pct"/>
            <w:vAlign w:val="center"/>
          </w:tcPr>
          <w:p w14:paraId="6B23158D">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15</w:t>
            </w:r>
          </w:p>
        </w:tc>
        <w:tc>
          <w:tcPr>
            <w:tcW w:w="1012" w:type="pct"/>
            <w:vMerge w:val="continue"/>
            <w:vAlign w:val="center"/>
          </w:tcPr>
          <w:p w14:paraId="5344660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1E3E338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7544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0CEBB73E">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5D0B6B66">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发生过一般等级突发大气环境事件的</w:t>
            </w:r>
          </w:p>
        </w:tc>
        <w:tc>
          <w:tcPr>
            <w:tcW w:w="275" w:type="pct"/>
            <w:vAlign w:val="center"/>
          </w:tcPr>
          <w:p w14:paraId="6927273F">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1012" w:type="pct"/>
            <w:vMerge w:val="continue"/>
            <w:vAlign w:val="center"/>
          </w:tcPr>
          <w:p w14:paraId="37DA92C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068BB81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04811A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06" w:type="pct"/>
            <w:vMerge w:val="continue"/>
            <w:vAlign w:val="center"/>
          </w:tcPr>
          <w:p w14:paraId="38CC4E89">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0F90B6D9">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未发生突发大气环境事件的</w:t>
            </w:r>
          </w:p>
        </w:tc>
        <w:tc>
          <w:tcPr>
            <w:tcW w:w="275" w:type="pct"/>
            <w:vAlign w:val="center"/>
          </w:tcPr>
          <w:p w14:paraId="4EBD8A6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continue"/>
            <w:vAlign w:val="center"/>
          </w:tcPr>
          <w:p w14:paraId="48DE596F">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0F4A92AA">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bl>
    <w:p w14:paraId="112F17BF">
      <w:pPr>
        <w:pStyle w:val="13"/>
        <w:spacing w:after="0" w:line="500" w:lineRule="exact"/>
        <w:ind w:left="0" w:firstLine="480" w:firstLineChars="200"/>
        <w:rPr>
          <w:rFonts w:hint="default" w:eastAsia="宋体"/>
        </w:rPr>
      </w:pPr>
      <w:r>
        <w:rPr>
          <w:rFonts w:hint="default" w:eastAsia="宋体"/>
        </w:rPr>
        <w:t>从上表可知，得分为</w:t>
      </w:r>
      <w:r>
        <w:rPr>
          <w:rFonts w:hint="default" w:ascii="Times New Roman" w:eastAsia="宋体"/>
          <w:sz w:val="24"/>
        </w:rPr>
        <w:t>0</w:t>
      </w:r>
      <w:r>
        <w:rPr>
          <w:rFonts w:hint="default" w:eastAsia="宋体"/>
        </w:rPr>
        <w:t>分。</w:t>
      </w:r>
    </w:p>
    <w:p w14:paraId="1C564144">
      <w:pPr>
        <w:pStyle w:val="153"/>
        <w:numPr>
          <w:ilvl w:val="-1"/>
          <w:numId w:val="0"/>
        </w:numPr>
        <w:tabs>
          <w:tab w:val="left" w:pos="1379"/>
        </w:tabs>
        <w:spacing w:before="0" w:after="0" w:line="500" w:lineRule="exact"/>
        <w:ind w:left="0" w:leftChars="0" w:right="0" w:firstLine="480"/>
        <w:jc w:val="both"/>
        <w:rPr>
          <w:rFonts w:hint="default" w:eastAsia="宋体"/>
          <w:sz w:val="24"/>
        </w:rPr>
      </w:pPr>
      <w:r>
        <w:rPr>
          <w:rFonts w:hint="default" w:eastAsia="宋体"/>
          <w:sz w:val="24"/>
          <w:lang w:eastAsia="zh-CN"/>
        </w:rPr>
        <w:t>（</w:t>
      </w:r>
      <w:r>
        <w:rPr>
          <w:rFonts w:hint="default" w:eastAsia="宋体"/>
          <w:sz w:val="24"/>
          <w:lang w:val="en-US" w:eastAsia="zh-CN"/>
        </w:rPr>
        <w:t>3</w:t>
      </w:r>
      <w:r>
        <w:rPr>
          <w:rFonts w:hint="default" w:eastAsia="宋体"/>
          <w:sz w:val="24"/>
          <w:lang w:eastAsia="zh-CN"/>
        </w:rPr>
        <w:t>）</w:t>
      </w:r>
      <w:r>
        <w:rPr>
          <w:rFonts w:hint="default" w:eastAsia="宋体"/>
          <w:sz w:val="24"/>
        </w:rPr>
        <w:t>企业生产工艺过程与大气环境风险控制水平</w:t>
      </w:r>
    </w:p>
    <w:p w14:paraId="38680A71">
      <w:pPr>
        <w:spacing w:before="0" w:line="500" w:lineRule="exact"/>
        <w:ind w:left="0" w:right="0" w:firstLine="440" w:firstLineChars="200"/>
        <w:jc w:val="both"/>
        <w:outlineLvl w:val="9"/>
        <w:rPr>
          <w:rFonts w:hint="default" w:ascii="Times New Roman" w:hAnsi="Times New Roman" w:eastAsia="宋体" w:cs="Times New Roman"/>
        </w:rPr>
      </w:pPr>
      <w:r>
        <w:rPr>
          <w:rFonts w:hint="default" w:ascii="Times New Roman" w:hAnsi="Times New Roman" w:eastAsia="宋体" w:cs="Times New Roman"/>
          <w:spacing w:val="-10"/>
        </w:rPr>
        <w:t>将企业生产工艺过程、大气环境风险防控措施及突发大气环境事件发生情况</w:t>
      </w:r>
      <w:r>
        <w:rPr>
          <w:rFonts w:hint="default" w:ascii="Times New Roman" w:hAnsi="Times New Roman" w:eastAsia="宋体" w:cs="Times New Roman"/>
          <w:spacing w:val="-8"/>
        </w:rPr>
        <w:t>各项指标评估分值累加，得出生产工艺过程与大气环境风险控制水平值，按照表</w:t>
      </w:r>
      <w:r>
        <w:rPr>
          <w:rFonts w:hint="default" w:ascii="Times New Roman" w:hAnsi="Times New Roman" w:eastAsia="宋体" w:cs="Times New Roman"/>
        </w:rPr>
        <w:t>7-3</w:t>
      </w:r>
      <w:r>
        <w:rPr>
          <w:rFonts w:hint="default" w:ascii="Times New Roman" w:hAnsi="Times New Roman" w:eastAsia="宋体" w:cs="Times New Roman"/>
          <w:spacing w:val="-16"/>
        </w:rPr>
        <w:t>划分为</w:t>
      </w:r>
      <w:r>
        <w:rPr>
          <w:rFonts w:hint="default" w:ascii="Times New Roman" w:hAnsi="Times New Roman" w:eastAsia="宋体" w:cs="Times New Roman"/>
        </w:rPr>
        <w:t>4个类型。</w:t>
      </w:r>
    </w:p>
    <w:p w14:paraId="25D0BC45">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ascii="Times New Roman" w:hAnsi="Times New Roman" w:eastAsia="宋体" w:cs="Times New Roman"/>
          <w:b/>
          <w:bCs/>
          <w:snapToGrid w:val="0"/>
          <w:kern w:val="0"/>
          <w:sz w:val="24"/>
          <w:szCs w:val="24"/>
          <w:lang w:val="en-US" w:eastAsia="zh-CN"/>
        </w:rPr>
        <w:t>7-3</w:t>
      </w:r>
      <w:r>
        <w:rPr>
          <w:rFonts w:hint="default" w:ascii="Times New Roman" w:hAnsi="Times New Roman" w:eastAsia="宋体" w:cs="Times New Roman"/>
          <w:b/>
          <w:bCs/>
          <w:snapToGrid w:val="0"/>
          <w:kern w:val="0"/>
          <w:sz w:val="24"/>
          <w:szCs w:val="24"/>
        </w:rPr>
        <w:t>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51"/>
        <w:gridCol w:w="4502"/>
      </w:tblGrid>
      <w:tr w14:paraId="7A171D9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67815770">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14:paraId="3128CA0F">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14:paraId="10C59C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356B3FE5">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14:paraId="16850ECE">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14:paraId="1107A8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1FBA7694">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14:paraId="0526FC10">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14:paraId="685A43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1ABDB8A9">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14:paraId="39D3B03F">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14:paraId="129B2E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1FA59A61">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14:paraId="719D8D3D">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14:paraId="578C3697">
      <w:pPr>
        <w:pStyle w:val="13"/>
        <w:spacing w:after="0" w:line="365" w:lineRule="auto"/>
        <w:ind w:left="0" w:right="0" w:firstLine="440" w:firstLineChars="200"/>
        <w:jc w:val="both"/>
        <w:rPr>
          <w:rFonts w:eastAsia="宋体"/>
          <w:spacing w:val="-10"/>
        </w:rPr>
      </w:pPr>
      <w:r>
        <w:rPr>
          <w:rFonts w:eastAsia="宋体"/>
          <w:spacing w:val="-10"/>
        </w:rPr>
        <w:t>由上文可知，公司环境风险及其控制水平（</w:t>
      </w:r>
      <w:r>
        <w:rPr>
          <w:rFonts w:ascii="Times New Roman" w:eastAsia="宋体"/>
          <w:spacing w:val="-10"/>
        </w:rPr>
        <w:t>M</w:t>
      </w:r>
      <w:r>
        <w:rPr>
          <w:rFonts w:eastAsia="宋体"/>
          <w:spacing w:val="-10"/>
        </w:rPr>
        <w:t>）现状得分为</w:t>
      </w:r>
      <w:r>
        <w:rPr>
          <w:rFonts w:hint="eastAsia" w:eastAsia="宋体"/>
          <w:spacing w:val="-10"/>
          <w:lang w:val="en-US" w:eastAsia="zh-CN"/>
        </w:rPr>
        <w:t>5</w:t>
      </w:r>
      <w:r>
        <w:rPr>
          <w:rFonts w:eastAsia="宋体"/>
          <w:spacing w:val="-10"/>
        </w:rPr>
        <w:t>分，企业大气环境风险及其控制水平为</w:t>
      </w:r>
      <w:r>
        <w:rPr>
          <w:rFonts w:ascii="Times New Roman" w:eastAsia="宋体"/>
          <w:spacing w:val="-10"/>
        </w:rPr>
        <w:t>M</w:t>
      </w:r>
      <w:r>
        <w:rPr>
          <w:rFonts w:ascii="Times New Roman" w:eastAsia="宋体"/>
          <w:spacing w:val="-10"/>
          <w:sz w:val="24"/>
        </w:rPr>
        <w:t>1</w:t>
      </w:r>
      <w:r>
        <w:rPr>
          <w:rFonts w:eastAsia="宋体"/>
          <w:spacing w:val="-10"/>
        </w:rPr>
        <w:t>类水平。</w:t>
      </w:r>
    </w:p>
    <w:p w14:paraId="25640A0D">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59" w:name="7.1.3大气环境风险受体敏感程度（E）评估"/>
      <w:bookmarkEnd w:id="259"/>
      <w:bookmarkStart w:id="260" w:name="_Toc12402"/>
      <w:bookmarkStart w:id="261" w:name="_Toc15903"/>
      <w:bookmarkStart w:id="262" w:name="_TOC_250019"/>
      <w:r>
        <w:rPr>
          <w:rFonts w:hint="eastAsia" w:ascii="Times New Roman" w:hAnsi="Times New Roman" w:eastAsia="宋体" w:cs="Times New Roman"/>
          <w:color w:val="000000" w:themeColor="text1"/>
          <w14:textFill>
            <w14:solidFill>
              <w14:schemeClr w14:val="tx1"/>
            </w14:solidFill>
          </w14:textFill>
        </w:rPr>
        <w:t>7.1.</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大气环境风险受体敏感程度（E）评估</w:t>
      </w:r>
      <w:bookmarkEnd w:id="260"/>
      <w:bookmarkEnd w:id="261"/>
    </w:p>
    <w:bookmarkEnd w:id="262"/>
    <w:p w14:paraId="3DEB1376">
      <w:pPr>
        <w:pStyle w:val="13"/>
        <w:spacing w:before="0" w:after="0" w:line="500" w:lineRule="exact"/>
        <w:ind w:left="0" w:right="0" w:firstLine="440" w:firstLineChars="200"/>
        <w:jc w:val="both"/>
        <w:rPr>
          <w:rFonts w:eastAsia="宋体"/>
          <w:spacing w:val="-10"/>
        </w:rPr>
      </w:pPr>
      <w:r>
        <w:rPr>
          <w:rFonts w:eastAsia="宋体"/>
          <w:spacing w:val="-10"/>
        </w:rPr>
        <w:t>大气环境风险受体敏感程度类型按照企业周边人口数进行划分。按照企业周边</w:t>
      </w:r>
      <w:r>
        <w:rPr>
          <w:rFonts w:ascii="Times New Roman" w:eastAsia="宋体"/>
          <w:spacing w:val="-10"/>
        </w:rPr>
        <w:t>5</w:t>
      </w:r>
      <w:r>
        <w:rPr>
          <w:rFonts w:eastAsia="宋体"/>
          <w:spacing w:val="-10"/>
        </w:rPr>
        <w:t>公里或</w:t>
      </w:r>
      <w:r>
        <w:rPr>
          <w:rFonts w:ascii="Times New Roman" w:eastAsia="宋体"/>
          <w:spacing w:val="-10"/>
        </w:rPr>
        <w:t>500</w:t>
      </w:r>
      <w:r>
        <w:rPr>
          <w:rFonts w:eastAsia="宋体"/>
          <w:spacing w:val="-10"/>
        </w:rPr>
        <w:t>米范围内人口数将大气环境风险受体敏感程度划分为类型</w:t>
      </w:r>
      <w:r>
        <w:rPr>
          <w:rFonts w:ascii="Times New Roman" w:eastAsia="宋体"/>
          <w:spacing w:val="-10"/>
        </w:rPr>
        <w:t>1</w:t>
      </w:r>
      <w:r>
        <w:rPr>
          <w:rFonts w:eastAsia="宋体"/>
          <w:spacing w:val="-10"/>
        </w:rPr>
        <w:t>、类型</w:t>
      </w:r>
      <w:r>
        <w:rPr>
          <w:rFonts w:ascii="Times New Roman" w:eastAsia="宋体"/>
          <w:spacing w:val="-10"/>
        </w:rPr>
        <w:t>2</w:t>
      </w:r>
      <w:r>
        <w:rPr>
          <w:rFonts w:eastAsia="宋体"/>
          <w:spacing w:val="-10"/>
        </w:rPr>
        <w:t>和类型</w:t>
      </w:r>
      <w:r>
        <w:rPr>
          <w:rFonts w:ascii="Times New Roman" w:eastAsia="宋体"/>
          <w:spacing w:val="-10"/>
        </w:rPr>
        <w:t>3</w:t>
      </w:r>
      <w:r>
        <w:rPr>
          <w:rFonts w:eastAsia="宋体"/>
          <w:spacing w:val="-10"/>
        </w:rPr>
        <w:t>三种类型，分别以</w:t>
      </w:r>
      <w:r>
        <w:rPr>
          <w:rFonts w:ascii="Times New Roman" w:eastAsia="宋体"/>
          <w:spacing w:val="-10"/>
        </w:rPr>
        <w:t>E1</w:t>
      </w:r>
      <w:r>
        <w:rPr>
          <w:rFonts w:eastAsia="宋体"/>
          <w:spacing w:val="-10"/>
        </w:rPr>
        <w:t>、</w:t>
      </w:r>
      <w:r>
        <w:rPr>
          <w:rFonts w:ascii="Times New Roman" w:eastAsia="宋体"/>
          <w:spacing w:val="-10"/>
        </w:rPr>
        <w:t>E2</w:t>
      </w:r>
      <w:r>
        <w:rPr>
          <w:rFonts w:eastAsia="宋体"/>
          <w:spacing w:val="-10"/>
        </w:rPr>
        <w:t>和</w:t>
      </w:r>
      <w:r>
        <w:rPr>
          <w:rFonts w:ascii="Times New Roman" w:eastAsia="宋体"/>
          <w:spacing w:val="-10"/>
        </w:rPr>
        <w:t>E3</w:t>
      </w:r>
      <w:r>
        <w:rPr>
          <w:rFonts w:eastAsia="宋体"/>
          <w:spacing w:val="-10"/>
        </w:rPr>
        <w:t>表示，见表</w:t>
      </w:r>
      <w:r>
        <w:rPr>
          <w:rFonts w:ascii="Times New Roman" w:eastAsia="宋体"/>
          <w:spacing w:val="-10"/>
        </w:rPr>
        <w:t>7-4</w:t>
      </w:r>
      <w:r>
        <w:rPr>
          <w:rFonts w:eastAsia="宋体"/>
          <w:spacing w:val="-10"/>
        </w:rPr>
        <w:t>。</w:t>
      </w:r>
    </w:p>
    <w:p w14:paraId="587E1B5C">
      <w:pPr>
        <w:pStyle w:val="13"/>
        <w:spacing w:after="0" w:line="500" w:lineRule="exact"/>
        <w:ind w:left="0" w:right="0" w:firstLine="440" w:firstLineChars="200"/>
        <w:jc w:val="both"/>
        <w:rPr>
          <w:rFonts w:ascii="Times New Roman" w:hAnsi="Times New Roman" w:eastAsia="宋体" w:cs="Times New Roman"/>
          <w:spacing w:val="-10"/>
        </w:rPr>
      </w:pPr>
      <w:r>
        <w:rPr>
          <w:rFonts w:eastAsia="宋体"/>
          <w:spacing w:val="-10"/>
        </w:rPr>
        <w:t>大气环境风险受体敏感程度按类型</w:t>
      </w:r>
      <w:r>
        <w:rPr>
          <w:rFonts w:ascii="Times New Roman" w:eastAsia="宋体"/>
          <w:spacing w:val="-10"/>
        </w:rPr>
        <w:t>1</w:t>
      </w:r>
      <w:r>
        <w:rPr>
          <w:rFonts w:eastAsia="宋体"/>
          <w:spacing w:val="-10"/>
        </w:rPr>
        <w:t>、类型</w:t>
      </w:r>
      <w:r>
        <w:rPr>
          <w:rFonts w:ascii="Times New Roman" w:eastAsia="宋体"/>
          <w:spacing w:val="-10"/>
        </w:rPr>
        <w:t>2</w:t>
      </w:r>
      <w:r>
        <w:rPr>
          <w:rFonts w:eastAsia="宋体"/>
          <w:spacing w:val="-10"/>
        </w:rPr>
        <w:t>和类型</w:t>
      </w:r>
      <w:r>
        <w:rPr>
          <w:rFonts w:ascii="Times New Roman" w:eastAsia="宋体"/>
          <w:spacing w:val="-10"/>
        </w:rPr>
        <w:t>3</w:t>
      </w:r>
      <w:r>
        <w:rPr>
          <w:rFonts w:eastAsia="宋体"/>
          <w:spacing w:val="-10"/>
        </w:rPr>
        <w:t>顺序依次降低。若企业周边存在多种敏感程度类型的大气环境风险受体，则按敏感程度高者确定企业大气环境风险受体敏感程度类型。</w:t>
      </w:r>
    </w:p>
    <w:p w14:paraId="10F2AA37">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7-4</w:t>
      </w:r>
      <w:r>
        <w:rPr>
          <w:rFonts w:eastAsiaTheme="minorEastAsia"/>
          <w:b/>
          <w:color w:val="000000" w:themeColor="text1"/>
          <w:sz w:val="24"/>
          <w:szCs w:val="24"/>
          <w14:textFill>
            <w14:solidFill>
              <w14:schemeClr w14:val="tx1"/>
            </w14:solidFill>
          </w14:textFill>
        </w:rPr>
        <w:t>大气环境风险受体敏感程度划分</w:t>
      </w:r>
    </w:p>
    <w:tbl>
      <w:tblPr>
        <w:tblStyle w:val="3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7639"/>
      </w:tblGrid>
      <w:tr w14:paraId="06D4A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94" w:type="pct"/>
            <w:shd w:val="clear" w:color="auto" w:fill="auto"/>
            <w:vAlign w:val="center"/>
          </w:tcPr>
          <w:p w14:paraId="2FDB4C38">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14:paraId="6DE006AA">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大气环境风险受体</w:t>
            </w:r>
          </w:p>
        </w:tc>
      </w:tr>
      <w:tr w14:paraId="31DAE3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4C19B1FC">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w:t>
            </w:r>
          </w:p>
          <w:p w14:paraId="05E1EB56">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（E1）</w:t>
            </w:r>
          </w:p>
        </w:tc>
        <w:tc>
          <w:tcPr>
            <w:tcW w:w="4105" w:type="pct"/>
            <w:shd w:val="clear" w:color="auto" w:fill="auto"/>
            <w:vAlign w:val="center"/>
          </w:tcPr>
          <w:p w14:paraId="7278CF3D">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14:paraId="43EDB3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7BF2688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w:t>
            </w:r>
          </w:p>
          <w:p w14:paraId="49755B1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（E2）</w:t>
            </w:r>
          </w:p>
        </w:tc>
        <w:tc>
          <w:tcPr>
            <w:tcW w:w="4105" w:type="pct"/>
            <w:shd w:val="clear" w:color="auto" w:fill="auto"/>
            <w:vAlign w:val="center"/>
          </w:tcPr>
          <w:p w14:paraId="2CFF60DA">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14:paraId="1B06D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14:paraId="18BE57F5">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w:t>
            </w:r>
          </w:p>
          <w:p w14:paraId="719C89E2">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（E3）</w:t>
            </w:r>
          </w:p>
        </w:tc>
        <w:tc>
          <w:tcPr>
            <w:tcW w:w="4105" w:type="pct"/>
            <w:shd w:val="clear" w:color="auto" w:fill="auto"/>
            <w:vAlign w:val="center"/>
          </w:tcPr>
          <w:p w14:paraId="2B29A44E">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14:paraId="29BE3807">
      <w:pPr>
        <w:pStyle w:val="13"/>
        <w:spacing w:after="0" w:line="500" w:lineRule="exact"/>
        <w:ind w:left="0" w:right="0" w:firstLine="440" w:firstLineChars="200"/>
        <w:rPr>
          <w:rFonts w:eastAsia="宋体"/>
          <w:spacing w:val="-10"/>
          <w:highlight w:val="none"/>
        </w:rPr>
      </w:pPr>
      <w:r>
        <w:rPr>
          <w:rFonts w:eastAsia="宋体"/>
          <w:spacing w:val="-10"/>
          <w:highlight w:val="none"/>
        </w:rPr>
        <w:t>由章节</w:t>
      </w:r>
      <w:r>
        <w:rPr>
          <w:rFonts w:ascii="Times New Roman" w:eastAsia="宋体"/>
          <w:spacing w:val="-10"/>
          <w:highlight w:val="none"/>
        </w:rPr>
        <w:t>3.2.1</w:t>
      </w:r>
      <w:r>
        <w:rPr>
          <w:rFonts w:eastAsia="宋体"/>
          <w:spacing w:val="-10"/>
          <w:highlight w:val="none"/>
        </w:rPr>
        <w:t>可知，</w:t>
      </w:r>
      <w:r>
        <w:rPr>
          <w:rFonts w:hint="eastAsia" w:eastAsia="宋体"/>
          <w:spacing w:val="-10"/>
          <w:highlight w:val="none"/>
          <w:lang w:val="en-US" w:eastAsia="zh-CN"/>
        </w:rPr>
        <w:t>企业周边5公里内人口总数</w:t>
      </w:r>
      <w:r>
        <w:rPr>
          <w:rFonts w:eastAsia="宋体"/>
          <w:spacing w:val="-10"/>
          <w:highlight w:val="none"/>
        </w:rPr>
        <w:t>公司1万人以上、5万人以下</w:t>
      </w:r>
      <w:r>
        <w:rPr>
          <w:rFonts w:hint="eastAsia" w:eastAsia="宋体"/>
          <w:spacing w:val="-10"/>
          <w:highlight w:val="none"/>
          <w:lang w:eastAsia="zh-CN"/>
        </w:rPr>
        <w:t>，</w:t>
      </w:r>
      <w:r>
        <w:rPr>
          <w:rFonts w:hint="eastAsia" w:eastAsia="宋体"/>
          <w:spacing w:val="-10"/>
          <w:highlight w:val="none"/>
          <w:lang w:val="en-US" w:eastAsia="zh-CN"/>
        </w:rPr>
        <w:t>且企业周边</w:t>
      </w:r>
      <w:r>
        <w:rPr>
          <w:rFonts w:ascii="Times New Roman" w:eastAsia="宋体"/>
          <w:spacing w:val="-10"/>
          <w:highlight w:val="none"/>
        </w:rPr>
        <w:t>500m</w:t>
      </w:r>
      <w:r>
        <w:rPr>
          <w:rFonts w:eastAsia="宋体"/>
          <w:spacing w:val="-10"/>
          <w:highlight w:val="none"/>
        </w:rPr>
        <w:t>范围内</w:t>
      </w:r>
      <w:r>
        <w:rPr>
          <w:rFonts w:hint="eastAsia" w:eastAsia="宋体"/>
          <w:spacing w:val="-10"/>
          <w:highlight w:val="none"/>
          <w:lang w:val="en-US" w:eastAsia="zh-CN"/>
        </w:rPr>
        <w:t>总人数500人以上、1000人以下</w:t>
      </w:r>
      <w:r>
        <w:rPr>
          <w:rFonts w:eastAsia="宋体"/>
          <w:spacing w:val="-10"/>
          <w:highlight w:val="none"/>
        </w:rPr>
        <w:t>，因此公司大气环境风险受体为类型</w:t>
      </w:r>
      <w:r>
        <w:rPr>
          <w:rFonts w:hint="eastAsia" w:eastAsia="宋体"/>
          <w:spacing w:val="-10"/>
          <w:highlight w:val="none"/>
          <w:lang w:val="en-US" w:eastAsia="zh-CN"/>
        </w:rPr>
        <w:t>2</w:t>
      </w:r>
      <w:r>
        <w:rPr>
          <w:rFonts w:eastAsia="宋体"/>
          <w:spacing w:val="-10"/>
          <w:highlight w:val="none"/>
        </w:rPr>
        <w:t>（</w:t>
      </w:r>
      <w:r>
        <w:rPr>
          <w:rFonts w:ascii="Times New Roman" w:eastAsia="宋体"/>
          <w:spacing w:val="-10"/>
          <w:highlight w:val="none"/>
        </w:rPr>
        <w:t>E</w:t>
      </w:r>
      <w:r>
        <w:rPr>
          <w:rFonts w:hint="eastAsia" w:eastAsia="宋体"/>
          <w:spacing w:val="-10"/>
          <w:highlight w:val="none"/>
          <w:lang w:val="en-US" w:eastAsia="zh-CN"/>
        </w:rPr>
        <w:t>2</w:t>
      </w:r>
      <w:r>
        <w:rPr>
          <w:rFonts w:eastAsia="宋体"/>
          <w:spacing w:val="-10"/>
          <w:highlight w:val="none"/>
        </w:rPr>
        <w:t>）。</w:t>
      </w:r>
    </w:p>
    <w:p w14:paraId="76044FED">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63" w:name="_TOC_250018"/>
      <w:bookmarkEnd w:id="263"/>
      <w:bookmarkStart w:id="264" w:name="7.1.4突发大气环境事件风险等级确定"/>
      <w:bookmarkEnd w:id="264"/>
      <w:bookmarkStart w:id="265" w:name="_Toc23652"/>
      <w:bookmarkStart w:id="266" w:name="_Toc5160"/>
      <w:r>
        <w:rPr>
          <w:rFonts w:hint="eastAsia" w:ascii="Times New Roman" w:hAnsi="Times New Roman" w:eastAsia="宋体" w:cs="Times New Roman"/>
          <w:color w:val="000000" w:themeColor="text1"/>
          <w14:textFill>
            <w14:solidFill>
              <w14:schemeClr w14:val="tx1"/>
            </w14:solidFill>
          </w14:textFill>
        </w:rPr>
        <w:t>7.1.</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突发大气环境事件风险等级确定</w:t>
      </w:r>
      <w:bookmarkEnd w:id="265"/>
      <w:bookmarkEnd w:id="266"/>
    </w:p>
    <w:p w14:paraId="10E2BB16">
      <w:pPr>
        <w:pStyle w:val="13"/>
        <w:spacing w:before="0" w:after="0" w:line="500" w:lineRule="exact"/>
        <w:ind w:left="0" w:firstLine="440" w:firstLineChars="200"/>
        <w:rPr>
          <w:rFonts w:ascii="Times New Roman" w:hAnsi="Times New Roman" w:eastAsia="宋体" w:cs="Times New Roman"/>
          <w:spacing w:val="-10"/>
        </w:rPr>
      </w:pPr>
      <w:r>
        <w:rPr>
          <w:rFonts w:eastAsia="宋体"/>
          <w:spacing w:val="-10"/>
        </w:rPr>
        <w:t>根据企业周边大气环境风险受体敏感程度（</w:t>
      </w:r>
      <w:r>
        <w:rPr>
          <w:rFonts w:ascii="Times New Roman" w:eastAsia="宋体"/>
          <w:spacing w:val="-10"/>
        </w:rPr>
        <w:t>E</w:t>
      </w:r>
      <w:r>
        <w:rPr>
          <w:rFonts w:eastAsia="宋体"/>
          <w:spacing w:val="-10"/>
        </w:rPr>
        <w:t>）、涉气风险物质数量与临界量比值（</w:t>
      </w:r>
      <w:r>
        <w:rPr>
          <w:rFonts w:ascii="Times New Roman" w:eastAsia="宋体"/>
          <w:spacing w:val="-10"/>
        </w:rPr>
        <w:t>Q</w:t>
      </w:r>
      <w:r>
        <w:rPr>
          <w:rFonts w:eastAsia="宋体"/>
          <w:spacing w:val="-10"/>
        </w:rPr>
        <w:t>）和生产工艺过程与大气环境风险控制水平（</w:t>
      </w:r>
      <w:r>
        <w:rPr>
          <w:rFonts w:ascii="Times New Roman" w:eastAsia="宋体"/>
          <w:spacing w:val="-10"/>
        </w:rPr>
        <w:t>M</w:t>
      </w:r>
      <w:r>
        <w:rPr>
          <w:rFonts w:eastAsia="宋体"/>
          <w:spacing w:val="-10"/>
        </w:rPr>
        <w:t>），按照表</w:t>
      </w:r>
      <w:r>
        <w:rPr>
          <w:rFonts w:ascii="Times New Roman" w:eastAsia="宋体"/>
          <w:spacing w:val="-10"/>
        </w:rPr>
        <w:t>7-5</w:t>
      </w:r>
      <w:r>
        <w:rPr>
          <w:rFonts w:eastAsia="宋体"/>
          <w:spacing w:val="-10"/>
        </w:rPr>
        <w:t>确定企业突发大气环境事件风险等级。</w:t>
      </w:r>
    </w:p>
    <w:p w14:paraId="34592455">
      <w:pPr>
        <w:pStyle w:val="13"/>
        <w:spacing w:before="0" w:after="0" w:line="500" w:lineRule="exact"/>
        <w:ind w:left="0" w:firstLine="0" w:firstLineChars="0"/>
        <w:jc w:val="center"/>
        <w:rPr>
          <w:rFonts w:hint="default" w:eastAsiaTheme="minorEastAsia"/>
          <w:spacing w:val="-10"/>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7-5企业突发环境事件风险分级矩阵表</w:t>
      </w:r>
    </w:p>
    <w:tbl>
      <w:tblPr>
        <w:tblStyle w:val="37"/>
        <w:tblW w:w="0" w:type="auto"/>
        <w:tblInd w:w="51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1843"/>
        <w:gridCol w:w="1259"/>
        <w:gridCol w:w="1260"/>
        <w:gridCol w:w="1259"/>
        <w:gridCol w:w="1260"/>
      </w:tblGrid>
      <w:tr w14:paraId="717A9F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190E0A27">
            <w:pPr>
              <w:pStyle w:val="140"/>
              <w:spacing w:before="0" w:line="240" w:lineRule="auto"/>
              <w:ind w:left="0" w:right="0" w:firstLine="0"/>
              <w:jc w:val="center"/>
              <w:rPr>
                <w:b/>
                <w:sz w:val="21"/>
              </w:rPr>
            </w:pPr>
            <w:r>
              <w:rPr>
                <w:b/>
                <w:sz w:val="21"/>
              </w:rPr>
              <w:t>环境风险受体敏感程度</w:t>
            </w:r>
            <w:r>
              <w:rPr>
                <w:b/>
                <w:spacing w:val="-4"/>
                <w:sz w:val="21"/>
              </w:rPr>
              <w:t>（</w:t>
            </w:r>
            <w:r>
              <w:rPr>
                <w:rFonts w:ascii="Times New Roman" w:eastAsia="Times New Roman"/>
                <w:b/>
                <w:spacing w:val="-4"/>
                <w:sz w:val="21"/>
              </w:rPr>
              <w:t>E</w:t>
            </w:r>
            <w:r>
              <w:rPr>
                <w:b/>
                <w:spacing w:val="-4"/>
                <w:sz w:val="21"/>
              </w:rPr>
              <w:t>）</w:t>
            </w:r>
          </w:p>
        </w:tc>
        <w:tc>
          <w:tcPr>
            <w:tcW w:w="1843" w:type="dxa"/>
            <w:vMerge w:val="restart"/>
            <w:tcBorders>
              <w:tl2br w:val="nil"/>
              <w:tr2bl w:val="nil"/>
            </w:tcBorders>
            <w:vAlign w:val="center"/>
          </w:tcPr>
          <w:p w14:paraId="5BEE3922">
            <w:pPr>
              <w:pStyle w:val="140"/>
              <w:spacing w:before="0" w:line="240" w:lineRule="auto"/>
              <w:ind w:left="0" w:right="0" w:firstLine="0"/>
              <w:jc w:val="center"/>
              <w:rPr>
                <w:b/>
                <w:sz w:val="21"/>
              </w:rPr>
            </w:pPr>
            <w:r>
              <w:rPr>
                <w:b/>
                <w:sz w:val="21"/>
              </w:rPr>
              <w:t>风险物质数量与临界量比值（</w:t>
            </w:r>
            <w:r>
              <w:rPr>
                <w:rFonts w:ascii="Times New Roman" w:eastAsia="Times New Roman"/>
                <w:b/>
                <w:sz w:val="21"/>
              </w:rPr>
              <w:t>Q</w:t>
            </w:r>
            <w:r>
              <w:rPr>
                <w:b/>
                <w:sz w:val="21"/>
              </w:rPr>
              <w:t>）</w:t>
            </w:r>
          </w:p>
        </w:tc>
        <w:tc>
          <w:tcPr>
            <w:tcW w:w="5038" w:type="dxa"/>
            <w:gridSpan w:val="4"/>
            <w:tcBorders>
              <w:tl2br w:val="nil"/>
              <w:tr2bl w:val="nil"/>
            </w:tcBorders>
            <w:vAlign w:val="center"/>
          </w:tcPr>
          <w:p w14:paraId="0381961D">
            <w:pPr>
              <w:pStyle w:val="140"/>
              <w:spacing w:before="0"/>
              <w:ind w:left="0"/>
              <w:jc w:val="center"/>
              <w:rPr>
                <w:b/>
                <w:sz w:val="21"/>
              </w:rPr>
            </w:pPr>
            <w:r>
              <w:rPr>
                <w:b/>
                <w:sz w:val="21"/>
              </w:rPr>
              <w:t>生产工艺过程与环境风险控制水平（</w:t>
            </w:r>
            <w:r>
              <w:rPr>
                <w:rFonts w:ascii="Times New Roman" w:eastAsia="Times New Roman"/>
                <w:b/>
                <w:sz w:val="21"/>
              </w:rPr>
              <w:t>M</w:t>
            </w:r>
            <w:r>
              <w:rPr>
                <w:b/>
                <w:sz w:val="21"/>
              </w:rPr>
              <w:t>）</w:t>
            </w:r>
          </w:p>
        </w:tc>
      </w:tr>
      <w:tr w14:paraId="635D8E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65522CBB">
            <w:pPr>
              <w:jc w:val="center"/>
              <w:rPr>
                <w:sz w:val="2"/>
                <w:szCs w:val="2"/>
              </w:rPr>
            </w:pPr>
          </w:p>
        </w:tc>
        <w:tc>
          <w:tcPr>
            <w:tcW w:w="1843" w:type="dxa"/>
            <w:vMerge w:val="continue"/>
            <w:tcBorders>
              <w:tl2br w:val="nil"/>
              <w:tr2bl w:val="nil"/>
            </w:tcBorders>
            <w:vAlign w:val="center"/>
          </w:tcPr>
          <w:p w14:paraId="3E1848A1">
            <w:pPr>
              <w:jc w:val="center"/>
              <w:rPr>
                <w:sz w:val="2"/>
                <w:szCs w:val="2"/>
              </w:rPr>
            </w:pPr>
          </w:p>
        </w:tc>
        <w:tc>
          <w:tcPr>
            <w:tcW w:w="1259" w:type="dxa"/>
            <w:tcBorders>
              <w:tl2br w:val="nil"/>
              <w:tr2bl w:val="nil"/>
            </w:tcBorders>
            <w:vAlign w:val="center"/>
          </w:tcPr>
          <w:p w14:paraId="0E7244A0">
            <w:pPr>
              <w:pStyle w:val="140"/>
              <w:spacing w:before="0"/>
              <w:ind w:left="0" w:right="0"/>
              <w:rPr>
                <w:b/>
                <w:sz w:val="21"/>
              </w:rPr>
            </w:pPr>
            <w:r>
              <w:rPr>
                <w:rFonts w:ascii="Times New Roman" w:eastAsia="Times New Roman"/>
                <w:b/>
                <w:sz w:val="21"/>
              </w:rPr>
              <w:t>M1</w:t>
            </w:r>
            <w:r>
              <w:rPr>
                <w:b/>
                <w:sz w:val="21"/>
              </w:rPr>
              <w:t>类水平</w:t>
            </w:r>
          </w:p>
        </w:tc>
        <w:tc>
          <w:tcPr>
            <w:tcW w:w="1260" w:type="dxa"/>
            <w:tcBorders>
              <w:tl2br w:val="nil"/>
              <w:tr2bl w:val="nil"/>
            </w:tcBorders>
            <w:vAlign w:val="center"/>
          </w:tcPr>
          <w:p w14:paraId="2A7987EC">
            <w:pPr>
              <w:pStyle w:val="140"/>
              <w:spacing w:before="0"/>
              <w:ind w:left="0" w:right="0"/>
              <w:rPr>
                <w:b/>
                <w:sz w:val="21"/>
              </w:rPr>
            </w:pPr>
            <w:r>
              <w:rPr>
                <w:rFonts w:ascii="Times New Roman" w:eastAsia="Times New Roman"/>
                <w:b/>
                <w:sz w:val="21"/>
              </w:rPr>
              <w:t>M2</w:t>
            </w:r>
            <w:r>
              <w:rPr>
                <w:b/>
                <w:sz w:val="21"/>
              </w:rPr>
              <w:t>类水平</w:t>
            </w:r>
          </w:p>
        </w:tc>
        <w:tc>
          <w:tcPr>
            <w:tcW w:w="1259" w:type="dxa"/>
            <w:tcBorders>
              <w:tl2br w:val="nil"/>
              <w:tr2bl w:val="nil"/>
            </w:tcBorders>
            <w:vAlign w:val="center"/>
          </w:tcPr>
          <w:p w14:paraId="6B154495">
            <w:pPr>
              <w:pStyle w:val="140"/>
              <w:spacing w:before="0"/>
              <w:ind w:left="0" w:right="0"/>
              <w:rPr>
                <w:b/>
                <w:sz w:val="21"/>
              </w:rPr>
            </w:pPr>
            <w:r>
              <w:rPr>
                <w:rFonts w:ascii="Times New Roman" w:eastAsia="Times New Roman"/>
                <w:b/>
                <w:sz w:val="21"/>
              </w:rPr>
              <w:t>M3</w:t>
            </w:r>
            <w:r>
              <w:rPr>
                <w:b/>
                <w:sz w:val="21"/>
              </w:rPr>
              <w:t>类水平</w:t>
            </w:r>
          </w:p>
        </w:tc>
        <w:tc>
          <w:tcPr>
            <w:tcW w:w="1260" w:type="dxa"/>
            <w:tcBorders>
              <w:tl2br w:val="nil"/>
              <w:tr2bl w:val="nil"/>
            </w:tcBorders>
            <w:vAlign w:val="center"/>
          </w:tcPr>
          <w:p w14:paraId="6EA50657">
            <w:pPr>
              <w:pStyle w:val="140"/>
              <w:spacing w:before="0"/>
              <w:ind w:left="0" w:right="0"/>
              <w:rPr>
                <w:b/>
                <w:sz w:val="21"/>
              </w:rPr>
            </w:pPr>
            <w:r>
              <w:rPr>
                <w:rFonts w:ascii="Times New Roman" w:eastAsia="Times New Roman"/>
                <w:b/>
                <w:sz w:val="21"/>
              </w:rPr>
              <w:t>M4</w:t>
            </w:r>
            <w:r>
              <w:rPr>
                <w:b/>
                <w:sz w:val="21"/>
              </w:rPr>
              <w:t>类水平</w:t>
            </w:r>
          </w:p>
        </w:tc>
      </w:tr>
      <w:tr w14:paraId="42079A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restart"/>
            <w:tcBorders>
              <w:tl2br w:val="nil"/>
              <w:tr2bl w:val="nil"/>
            </w:tcBorders>
            <w:vAlign w:val="center"/>
          </w:tcPr>
          <w:p w14:paraId="29016D5D">
            <w:pPr>
              <w:pStyle w:val="140"/>
              <w:spacing w:before="0"/>
              <w:ind w:left="0"/>
              <w:jc w:val="center"/>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843" w:type="dxa"/>
            <w:tcBorders>
              <w:tl2br w:val="nil"/>
              <w:tr2bl w:val="nil"/>
            </w:tcBorders>
            <w:vAlign w:val="center"/>
          </w:tcPr>
          <w:p w14:paraId="4F81FFED">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64B6764E">
            <w:pPr>
              <w:pStyle w:val="140"/>
              <w:spacing w:before="0"/>
              <w:ind w:left="0" w:right="0"/>
              <w:rPr>
                <w:sz w:val="21"/>
              </w:rPr>
            </w:pPr>
            <w:r>
              <w:rPr>
                <w:sz w:val="21"/>
              </w:rPr>
              <w:t>较大</w:t>
            </w:r>
          </w:p>
        </w:tc>
        <w:tc>
          <w:tcPr>
            <w:tcW w:w="1260" w:type="dxa"/>
            <w:tcBorders>
              <w:tl2br w:val="nil"/>
              <w:tr2bl w:val="nil"/>
            </w:tcBorders>
            <w:vAlign w:val="center"/>
          </w:tcPr>
          <w:p w14:paraId="44B595C0">
            <w:pPr>
              <w:pStyle w:val="140"/>
              <w:spacing w:before="0"/>
              <w:ind w:left="0" w:right="0"/>
              <w:rPr>
                <w:sz w:val="21"/>
              </w:rPr>
            </w:pPr>
            <w:r>
              <w:rPr>
                <w:sz w:val="21"/>
              </w:rPr>
              <w:t>较大</w:t>
            </w:r>
          </w:p>
        </w:tc>
        <w:tc>
          <w:tcPr>
            <w:tcW w:w="1259" w:type="dxa"/>
            <w:tcBorders>
              <w:tl2br w:val="nil"/>
              <w:tr2bl w:val="nil"/>
            </w:tcBorders>
            <w:vAlign w:val="center"/>
          </w:tcPr>
          <w:p w14:paraId="556CF4BB">
            <w:pPr>
              <w:pStyle w:val="140"/>
              <w:spacing w:before="0"/>
              <w:ind w:left="0" w:right="0"/>
              <w:rPr>
                <w:sz w:val="21"/>
              </w:rPr>
            </w:pPr>
            <w:r>
              <w:rPr>
                <w:sz w:val="21"/>
              </w:rPr>
              <w:t>重大</w:t>
            </w:r>
          </w:p>
        </w:tc>
        <w:tc>
          <w:tcPr>
            <w:tcW w:w="1260" w:type="dxa"/>
            <w:tcBorders>
              <w:tl2br w:val="nil"/>
              <w:tr2bl w:val="nil"/>
            </w:tcBorders>
            <w:vAlign w:val="center"/>
          </w:tcPr>
          <w:p w14:paraId="0AE273FC">
            <w:pPr>
              <w:pStyle w:val="140"/>
              <w:spacing w:before="0"/>
              <w:ind w:left="0" w:right="0"/>
              <w:rPr>
                <w:sz w:val="21"/>
              </w:rPr>
            </w:pPr>
            <w:r>
              <w:rPr>
                <w:sz w:val="21"/>
              </w:rPr>
              <w:t>重大</w:t>
            </w:r>
          </w:p>
        </w:tc>
      </w:tr>
      <w:tr w14:paraId="102801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137FD465">
            <w:pPr>
              <w:jc w:val="center"/>
              <w:rPr>
                <w:sz w:val="2"/>
                <w:szCs w:val="2"/>
              </w:rPr>
            </w:pPr>
          </w:p>
        </w:tc>
        <w:tc>
          <w:tcPr>
            <w:tcW w:w="1843" w:type="dxa"/>
            <w:tcBorders>
              <w:tl2br w:val="nil"/>
              <w:tr2bl w:val="nil"/>
            </w:tcBorders>
            <w:vAlign w:val="center"/>
          </w:tcPr>
          <w:p w14:paraId="5D358792">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3771B1A1">
            <w:pPr>
              <w:pStyle w:val="140"/>
              <w:spacing w:before="0"/>
              <w:ind w:left="0" w:right="0"/>
              <w:rPr>
                <w:sz w:val="21"/>
              </w:rPr>
            </w:pPr>
            <w:r>
              <w:rPr>
                <w:sz w:val="21"/>
              </w:rPr>
              <w:t>较大</w:t>
            </w:r>
          </w:p>
        </w:tc>
        <w:tc>
          <w:tcPr>
            <w:tcW w:w="1260" w:type="dxa"/>
            <w:tcBorders>
              <w:tl2br w:val="nil"/>
              <w:tr2bl w:val="nil"/>
            </w:tcBorders>
            <w:vAlign w:val="center"/>
          </w:tcPr>
          <w:p w14:paraId="31A1100A">
            <w:pPr>
              <w:pStyle w:val="140"/>
              <w:spacing w:before="0"/>
              <w:ind w:left="0" w:right="0"/>
              <w:rPr>
                <w:sz w:val="21"/>
              </w:rPr>
            </w:pPr>
            <w:r>
              <w:rPr>
                <w:sz w:val="21"/>
              </w:rPr>
              <w:t>重大</w:t>
            </w:r>
          </w:p>
        </w:tc>
        <w:tc>
          <w:tcPr>
            <w:tcW w:w="1259" w:type="dxa"/>
            <w:tcBorders>
              <w:tl2br w:val="nil"/>
              <w:tr2bl w:val="nil"/>
            </w:tcBorders>
            <w:vAlign w:val="center"/>
          </w:tcPr>
          <w:p w14:paraId="624CC09A">
            <w:pPr>
              <w:pStyle w:val="140"/>
              <w:spacing w:before="0"/>
              <w:ind w:left="0" w:right="0"/>
              <w:rPr>
                <w:sz w:val="21"/>
              </w:rPr>
            </w:pPr>
            <w:r>
              <w:rPr>
                <w:sz w:val="21"/>
              </w:rPr>
              <w:t>重大</w:t>
            </w:r>
          </w:p>
        </w:tc>
        <w:tc>
          <w:tcPr>
            <w:tcW w:w="1260" w:type="dxa"/>
            <w:tcBorders>
              <w:tl2br w:val="nil"/>
              <w:tr2bl w:val="nil"/>
            </w:tcBorders>
            <w:vAlign w:val="center"/>
          </w:tcPr>
          <w:p w14:paraId="54BBFA74">
            <w:pPr>
              <w:pStyle w:val="140"/>
              <w:spacing w:before="0"/>
              <w:ind w:left="0" w:right="0"/>
              <w:rPr>
                <w:sz w:val="21"/>
              </w:rPr>
            </w:pPr>
            <w:r>
              <w:rPr>
                <w:sz w:val="21"/>
              </w:rPr>
              <w:t>重大</w:t>
            </w:r>
          </w:p>
        </w:tc>
      </w:tr>
      <w:tr w14:paraId="250AAF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013952F4">
            <w:pPr>
              <w:jc w:val="center"/>
              <w:rPr>
                <w:sz w:val="2"/>
                <w:szCs w:val="2"/>
              </w:rPr>
            </w:pPr>
          </w:p>
        </w:tc>
        <w:tc>
          <w:tcPr>
            <w:tcW w:w="1843" w:type="dxa"/>
            <w:tcBorders>
              <w:tl2br w:val="nil"/>
              <w:tr2bl w:val="nil"/>
            </w:tcBorders>
            <w:vAlign w:val="center"/>
          </w:tcPr>
          <w:p w14:paraId="43C94935">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72E2F066">
            <w:pPr>
              <w:pStyle w:val="140"/>
              <w:spacing w:before="0"/>
              <w:ind w:left="0" w:right="0"/>
              <w:rPr>
                <w:sz w:val="21"/>
              </w:rPr>
            </w:pPr>
            <w:r>
              <w:rPr>
                <w:sz w:val="21"/>
              </w:rPr>
              <w:t>重大</w:t>
            </w:r>
          </w:p>
        </w:tc>
        <w:tc>
          <w:tcPr>
            <w:tcW w:w="1260" w:type="dxa"/>
            <w:tcBorders>
              <w:tl2br w:val="nil"/>
              <w:tr2bl w:val="nil"/>
            </w:tcBorders>
            <w:vAlign w:val="center"/>
          </w:tcPr>
          <w:p w14:paraId="79ED168C">
            <w:pPr>
              <w:pStyle w:val="140"/>
              <w:spacing w:before="0"/>
              <w:ind w:left="0" w:right="0"/>
              <w:rPr>
                <w:sz w:val="21"/>
              </w:rPr>
            </w:pPr>
            <w:r>
              <w:rPr>
                <w:sz w:val="21"/>
              </w:rPr>
              <w:t>重大</w:t>
            </w:r>
          </w:p>
        </w:tc>
        <w:tc>
          <w:tcPr>
            <w:tcW w:w="1259" w:type="dxa"/>
            <w:tcBorders>
              <w:tl2br w:val="nil"/>
              <w:tr2bl w:val="nil"/>
            </w:tcBorders>
            <w:vAlign w:val="center"/>
          </w:tcPr>
          <w:p w14:paraId="5462CC81">
            <w:pPr>
              <w:pStyle w:val="140"/>
              <w:spacing w:before="0"/>
              <w:ind w:left="0" w:right="0"/>
              <w:rPr>
                <w:sz w:val="21"/>
              </w:rPr>
            </w:pPr>
            <w:r>
              <w:rPr>
                <w:sz w:val="21"/>
              </w:rPr>
              <w:t>重大</w:t>
            </w:r>
          </w:p>
        </w:tc>
        <w:tc>
          <w:tcPr>
            <w:tcW w:w="1260" w:type="dxa"/>
            <w:tcBorders>
              <w:tl2br w:val="nil"/>
              <w:tr2bl w:val="nil"/>
            </w:tcBorders>
            <w:vAlign w:val="center"/>
          </w:tcPr>
          <w:p w14:paraId="30F1D36D">
            <w:pPr>
              <w:pStyle w:val="140"/>
              <w:spacing w:before="0"/>
              <w:ind w:left="0" w:right="0"/>
              <w:rPr>
                <w:sz w:val="21"/>
              </w:rPr>
            </w:pPr>
            <w:r>
              <w:rPr>
                <w:sz w:val="21"/>
              </w:rPr>
              <w:t>重大</w:t>
            </w:r>
          </w:p>
        </w:tc>
      </w:tr>
      <w:tr w14:paraId="2D7BAA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4BA65DF7">
            <w:pPr>
              <w:pStyle w:val="140"/>
              <w:spacing w:before="0"/>
              <w:ind w:left="0"/>
              <w:jc w:val="center"/>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843" w:type="dxa"/>
            <w:tcBorders>
              <w:tl2br w:val="nil"/>
              <w:tr2bl w:val="nil"/>
            </w:tcBorders>
            <w:vAlign w:val="center"/>
          </w:tcPr>
          <w:p w14:paraId="4A264C58">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07C4C322">
            <w:pPr>
              <w:pStyle w:val="140"/>
              <w:spacing w:before="0"/>
              <w:ind w:left="0" w:right="0"/>
              <w:rPr>
                <w:sz w:val="21"/>
              </w:rPr>
            </w:pPr>
            <w:r>
              <w:rPr>
                <w:sz w:val="21"/>
              </w:rPr>
              <w:t>一般</w:t>
            </w:r>
          </w:p>
        </w:tc>
        <w:tc>
          <w:tcPr>
            <w:tcW w:w="1260" w:type="dxa"/>
            <w:tcBorders>
              <w:tl2br w:val="nil"/>
              <w:tr2bl w:val="nil"/>
            </w:tcBorders>
            <w:vAlign w:val="center"/>
          </w:tcPr>
          <w:p w14:paraId="6C31E18B">
            <w:pPr>
              <w:pStyle w:val="140"/>
              <w:spacing w:before="0"/>
              <w:ind w:left="0" w:right="0"/>
              <w:rPr>
                <w:sz w:val="21"/>
              </w:rPr>
            </w:pPr>
            <w:r>
              <w:rPr>
                <w:sz w:val="21"/>
              </w:rPr>
              <w:t>较大</w:t>
            </w:r>
          </w:p>
        </w:tc>
        <w:tc>
          <w:tcPr>
            <w:tcW w:w="1259" w:type="dxa"/>
            <w:tcBorders>
              <w:tl2br w:val="nil"/>
              <w:tr2bl w:val="nil"/>
            </w:tcBorders>
            <w:vAlign w:val="center"/>
          </w:tcPr>
          <w:p w14:paraId="6C3BBE55">
            <w:pPr>
              <w:pStyle w:val="140"/>
              <w:spacing w:before="0"/>
              <w:ind w:left="0" w:right="0"/>
              <w:rPr>
                <w:sz w:val="21"/>
              </w:rPr>
            </w:pPr>
            <w:r>
              <w:rPr>
                <w:sz w:val="21"/>
              </w:rPr>
              <w:t>较大</w:t>
            </w:r>
          </w:p>
        </w:tc>
        <w:tc>
          <w:tcPr>
            <w:tcW w:w="1260" w:type="dxa"/>
            <w:tcBorders>
              <w:tl2br w:val="nil"/>
              <w:tr2bl w:val="nil"/>
            </w:tcBorders>
            <w:vAlign w:val="center"/>
          </w:tcPr>
          <w:p w14:paraId="60172EF9">
            <w:pPr>
              <w:pStyle w:val="140"/>
              <w:spacing w:before="0"/>
              <w:ind w:left="0" w:right="0"/>
              <w:rPr>
                <w:sz w:val="21"/>
              </w:rPr>
            </w:pPr>
            <w:r>
              <w:rPr>
                <w:sz w:val="21"/>
              </w:rPr>
              <w:t>重大</w:t>
            </w:r>
          </w:p>
        </w:tc>
      </w:tr>
      <w:tr w14:paraId="081DC2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2F26FCE9">
            <w:pPr>
              <w:jc w:val="center"/>
              <w:rPr>
                <w:sz w:val="2"/>
                <w:szCs w:val="2"/>
              </w:rPr>
            </w:pPr>
          </w:p>
        </w:tc>
        <w:tc>
          <w:tcPr>
            <w:tcW w:w="1843" w:type="dxa"/>
            <w:tcBorders>
              <w:tl2br w:val="nil"/>
              <w:tr2bl w:val="nil"/>
            </w:tcBorders>
            <w:vAlign w:val="center"/>
          </w:tcPr>
          <w:p w14:paraId="72BA6E3B">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05463EB8">
            <w:pPr>
              <w:pStyle w:val="140"/>
              <w:spacing w:before="0"/>
              <w:ind w:left="0" w:right="0"/>
              <w:rPr>
                <w:sz w:val="21"/>
              </w:rPr>
            </w:pPr>
            <w:r>
              <w:rPr>
                <w:sz w:val="21"/>
              </w:rPr>
              <w:t>较大</w:t>
            </w:r>
          </w:p>
        </w:tc>
        <w:tc>
          <w:tcPr>
            <w:tcW w:w="1260" w:type="dxa"/>
            <w:tcBorders>
              <w:tl2br w:val="nil"/>
              <w:tr2bl w:val="nil"/>
            </w:tcBorders>
            <w:vAlign w:val="center"/>
          </w:tcPr>
          <w:p w14:paraId="18D8BC9F">
            <w:pPr>
              <w:pStyle w:val="140"/>
              <w:spacing w:before="0"/>
              <w:ind w:left="0" w:right="0"/>
              <w:rPr>
                <w:sz w:val="21"/>
              </w:rPr>
            </w:pPr>
            <w:r>
              <w:rPr>
                <w:sz w:val="21"/>
              </w:rPr>
              <w:t>较大</w:t>
            </w:r>
          </w:p>
        </w:tc>
        <w:tc>
          <w:tcPr>
            <w:tcW w:w="1259" w:type="dxa"/>
            <w:tcBorders>
              <w:tl2br w:val="nil"/>
              <w:tr2bl w:val="nil"/>
            </w:tcBorders>
            <w:vAlign w:val="center"/>
          </w:tcPr>
          <w:p w14:paraId="48A539D2">
            <w:pPr>
              <w:pStyle w:val="140"/>
              <w:spacing w:before="0"/>
              <w:ind w:left="0" w:right="0"/>
              <w:rPr>
                <w:sz w:val="21"/>
              </w:rPr>
            </w:pPr>
            <w:r>
              <w:rPr>
                <w:sz w:val="21"/>
              </w:rPr>
              <w:t>重大</w:t>
            </w:r>
          </w:p>
        </w:tc>
        <w:tc>
          <w:tcPr>
            <w:tcW w:w="1260" w:type="dxa"/>
            <w:tcBorders>
              <w:tl2br w:val="nil"/>
              <w:tr2bl w:val="nil"/>
            </w:tcBorders>
            <w:vAlign w:val="center"/>
          </w:tcPr>
          <w:p w14:paraId="6AD6EB92">
            <w:pPr>
              <w:pStyle w:val="140"/>
              <w:spacing w:before="0"/>
              <w:ind w:left="0" w:right="0"/>
              <w:rPr>
                <w:sz w:val="21"/>
              </w:rPr>
            </w:pPr>
            <w:r>
              <w:rPr>
                <w:sz w:val="21"/>
              </w:rPr>
              <w:t>重大</w:t>
            </w:r>
          </w:p>
        </w:tc>
      </w:tr>
      <w:tr w14:paraId="4A750B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481737D8">
            <w:pPr>
              <w:jc w:val="center"/>
              <w:rPr>
                <w:sz w:val="2"/>
                <w:szCs w:val="2"/>
              </w:rPr>
            </w:pPr>
          </w:p>
        </w:tc>
        <w:tc>
          <w:tcPr>
            <w:tcW w:w="1843" w:type="dxa"/>
            <w:tcBorders>
              <w:tl2br w:val="nil"/>
              <w:tr2bl w:val="nil"/>
            </w:tcBorders>
            <w:vAlign w:val="center"/>
          </w:tcPr>
          <w:p w14:paraId="73343A02">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45F37FC8">
            <w:pPr>
              <w:pStyle w:val="140"/>
              <w:spacing w:before="0"/>
              <w:ind w:left="0" w:right="0"/>
              <w:rPr>
                <w:sz w:val="21"/>
              </w:rPr>
            </w:pPr>
            <w:r>
              <w:rPr>
                <w:sz w:val="21"/>
              </w:rPr>
              <w:t>较大</w:t>
            </w:r>
          </w:p>
        </w:tc>
        <w:tc>
          <w:tcPr>
            <w:tcW w:w="1260" w:type="dxa"/>
            <w:tcBorders>
              <w:tl2br w:val="nil"/>
              <w:tr2bl w:val="nil"/>
            </w:tcBorders>
            <w:vAlign w:val="center"/>
          </w:tcPr>
          <w:p w14:paraId="55393E5A">
            <w:pPr>
              <w:pStyle w:val="140"/>
              <w:spacing w:before="0"/>
              <w:ind w:left="0" w:right="0"/>
              <w:rPr>
                <w:sz w:val="21"/>
              </w:rPr>
            </w:pPr>
            <w:r>
              <w:rPr>
                <w:sz w:val="21"/>
              </w:rPr>
              <w:t>重大</w:t>
            </w:r>
          </w:p>
        </w:tc>
        <w:tc>
          <w:tcPr>
            <w:tcW w:w="1259" w:type="dxa"/>
            <w:tcBorders>
              <w:tl2br w:val="nil"/>
              <w:tr2bl w:val="nil"/>
            </w:tcBorders>
            <w:vAlign w:val="center"/>
          </w:tcPr>
          <w:p w14:paraId="679596ED">
            <w:pPr>
              <w:pStyle w:val="140"/>
              <w:spacing w:before="0"/>
              <w:ind w:left="0" w:right="0"/>
              <w:rPr>
                <w:sz w:val="21"/>
              </w:rPr>
            </w:pPr>
            <w:r>
              <w:rPr>
                <w:sz w:val="21"/>
              </w:rPr>
              <w:t>重大</w:t>
            </w:r>
          </w:p>
        </w:tc>
        <w:tc>
          <w:tcPr>
            <w:tcW w:w="1260" w:type="dxa"/>
            <w:tcBorders>
              <w:tl2br w:val="nil"/>
              <w:tr2bl w:val="nil"/>
            </w:tcBorders>
            <w:vAlign w:val="center"/>
          </w:tcPr>
          <w:p w14:paraId="2CCEED6B">
            <w:pPr>
              <w:pStyle w:val="140"/>
              <w:spacing w:before="0"/>
              <w:ind w:left="0" w:right="0"/>
              <w:rPr>
                <w:sz w:val="21"/>
              </w:rPr>
            </w:pPr>
            <w:r>
              <w:rPr>
                <w:sz w:val="21"/>
              </w:rPr>
              <w:t>重大</w:t>
            </w:r>
          </w:p>
        </w:tc>
      </w:tr>
      <w:tr w14:paraId="6BF83D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restart"/>
            <w:tcBorders>
              <w:tl2br w:val="nil"/>
              <w:tr2bl w:val="nil"/>
            </w:tcBorders>
            <w:vAlign w:val="center"/>
          </w:tcPr>
          <w:p w14:paraId="7306CD67">
            <w:pPr>
              <w:pStyle w:val="140"/>
              <w:spacing w:before="0"/>
              <w:ind w:left="0"/>
              <w:jc w:val="center"/>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843" w:type="dxa"/>
            <w:tcBorders>
              <w:tl2br w:val="nil"/>
              <w:tr2bl w:val="nil"/>
            </w:tcBorders>
            <w:vAlign w:val="center"/>
          </w:tcPr>
          <w:p w14:paraId="217E7CC9">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193BA33B">
            <w:pPr>
              <w:pStyle w:val="140"/>
              <w:spacing w:before="0"/>
              <w:ind w:left="0" w:right="0"/>
              <w:rPr>
                <w:sz w:val="21"/>
              </w:rPr>
            </w:pPr>
            <w:r>
              <w:rPr>
                <w:sz w:val="21"/>
              </w:rPr>
              <w:t>一般</w:t>
            </w:r>
          </w:p>
        </w:tc>
        <w:tc>
          <w:tcPr>
            <w:tcW w:w="1260" w:type="dxa"/>
            <w:tcBorders>
              <w:tl2br w:val="nil"/>
              <w:tr2bl w:val="nil"/>
            </w:tcBorders>
            <w:vAlign w:val="center"/>
          </w:tcPr>
          <w:p w14:paraId="23155EB0">
            <w:pPr>
              <w:pStyle w:val="140"/>
              <w:spacing w:before="0"/>
              <w:ind w:left="0" w:right="0"/>
              <w:rPr>
                <w:sz w:val="21"/>
              </w:rPr>
            </w:pPr>
            <w:r>
              <w:rPr>
                <w:sz w:val="21"/>
              </w:rPr>
              <w:t>一般</w:t>
            </w:r>
          </w:p>
        </w:tc>
        <w:tc>
          <w:tcPr>
            <w:tcW w:w="1259" w:type="dxa"/>
            <w:tcBorders>
              <w:tl2br w:val="nil"/>
              <w:tr2bl w:val="nil"/>
            </w:tcBorders>
            <w:vAlign w:val="center"/>
          </w:tcPr>
          <w:p w14:paraId="603E3524">
            <w:pPr>
              <w:pStyle w:val="140"/>
              <w:spacing w:before="0"/>
              <w:ind w:left="0" w:right="0"/>
              <w:rPr>
                <w:sz w:val="21"/>
              </w:rPr>
            </w:pPr>
            <w:r>
              <w:rPr>
                <w:sz w:val="21"/>
              </w:rPr>
              <w:t>较大</w:t>
            </w:r>
          </w:p>
        </w:tc>
        <w:tc>
          <w:tcPr>
            <w:tcW w:w="1260" w:type="dxa"/>
            <w:tcBorders>
              <w:tl2br w:val="nil"/>
              <w:tr2bl w:val="nil"/>
            </w:tcBorders>
            <w:vAlign w:val="center"/>
          </w:tcPr>
          <w:p w14:paraId="2DCDB008">
            <w:pPr>
              <w:pStyle w:val="140"/>
              <w:spacing w:before="0"/>
              <w:ind w:left="0" w:right="0"/>
              <w:rPr>
                <w:sz w:val="21"/>
              </w:rPr>
            </w:pPr>
            <w:r>
              <w:rPr>
                <w:sz w:val="21"/>
              </w:rPr>
              <w:t>较大</w:t>
            </w:r>
          </w:p>
        </w:tc>
      </w:tr>
      <w:tr w14:paraId="73CA10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continue"/>
            <w:tcBorders>
              <w:tl2br w:val="nil"/>
              <w:tr2bl w:val="nil"/>
            </w:tcBorders>
            <w:vAlign w:val="center"/>
          </w:tcPr>
          <w:p w14:paraId="20DB7B72">
            <w:pPr>
              <w:jc w:val="center"/>
              <w:rPr>
                <w:sz w:val="2"/>
                <w:szCs w:val="2"/>
              </w:rPr>
            </w:pPr>
          </w:p>
        </w:tc>
        <w:tc>
          <w:tcPr>
            <w:tcW w:w="1843" w:type="dxa"/>
            <w:tcBorders>
              <w:tl2br w:val="nil"/>
              <w:tr2bl w:val="nil"/>
            </w:tcBorders>
            <w:vAlign w:val="center"/>
          </w:tcPr>
          <w:p w14:paraId="5B47E6BB">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6EE47974">
            <w:pPr>
              <w:pStyle w:val="140"/>
              <w:spacing w:before="0"/>
              <w:ind w:left="0" w:right="0"/>
              <w:rPr>
                <w:sz w:val="21"/>
              </w:rPr>
            </w:pPr>
            <w:r>
              <w:rPr>
                <w:sz w:val="21"/>
              </w:rPr>
              <w:t>一般</w:t>
            </w:r>
          </w:p>
        </w:tc>
        <w:tc>
          <w:tcPr>
            <w:tcW w:w="1260" w:type="dxa"/>
            <w:tcBorders>
              <w:tl2br w:val="nil"/>
              <w:tr2bl w:val="nil"/>
            </w:tcBorders>
            <w:vAlign w:val="center"/>
          </w:tcPr>
          <w:p w14:paraId="5028DAFF">
            <w:pPr>
              <w:pStyle w:val="140"/>
              <w:spacing w:before="0"/>
              <w:ind w:left="0" w:right="0"/>
              <w:rPr>
                <w:sz w:val="21"/>
              </w:rPr>
            </w:pPr>
            <w:r>
              <w:rPr>
                <w:sz w:val="21"/>
              </w:rPr>
              <w:t>较大</w:t>
            </w:r>
          </w:p>
        </w:tc>
        <w:tc>
          <w:tcPr>
            <w:tcW w:w="1259" w:type="dxa"/>
            <w:tcBorders>
              <w:tl2br w:val="nil"/>
              <w:tr2bl w:val="nil"/>
            </w:tcBorders>
            <w:vAlign w:val="center"/>
          </w:tcPr>
          <w:p w14:paraId="7A2F8312">
            <w:pPr>
              <w:pStyle w:val="140"/>
              <w:spacing w:before="0"/>
              <w:ind w:left="0" w:right="0"/>
              <w:rPr>
                <w:sz w:val="21"/>
              </w:rPr>
            </w:pPr>
            <w:r>
              <w:rPr>
                <w:sz w:val="21"/>
              </w:rPr>
              <w:t>较大</w:t>
            </w:r>
          </w:p>
        </w:tc>
        <w:tc>
          <w:tcPr>
            <w:tcW w:w="1260" w:type="dxa"/>
            <w:tcBorders>
              <w:tl2br w:val="nil"/>
              <w:tr2bl w:val="nil"/>
            </w:tcBorders>
            <w:vAlign w:val="center"/>
          </w:tcPr>
          <w:p w14:paraId="5E4A5D2A">
            <w:pPr>
              <w:pStyle w:val="140"/>
              <w:spacing w:before="0"/>
              <w:ind w:left="0" w:right="0"/>
              <w:rPr>
                <w:sz w:val="21"/>
              </w:rPr>
            </w:pPr>
            <w:r>
              <w:rPr>
                <w:sz w:val="21"/>
              </w:rPr>
              <w:t>重大</w:t>
            </w:r>
          </w:p>
        </w:tc>
      </w:tr>
      <w:tr w14:paraId="0D5971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4E7290DD">
            <w:pPr>
              <w:jc w:val="center"/>
              <w:rPr>
                <w:sz w:val="2"/>
                <w:szCs w:val="2"/>
              </w:rPr>
            </w:pPr>
          </w:p>
        </w:tc>
        <w:tc>
          <w:tcPr>
            <w:tcW w:w="1843" w:type="dxa"/>
            <w:tcBorders>
              <w:tl2br w:val="nil"/>
              <w:tr2bl w:val="nil"/>
            </w:tcBorders>
            <w:vAlign w:val="center"/>
          </w:tcPr>
          <w:p w14:paraId="6D0CADD5">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38C541C2">
            <w:pPr>
              <w:pStyle w:val="140"/>
              <w:spacing w:before="0"/>
              <w:ind w:left="0" w:right="0"/>
              <w:rPr>
                <w:sz w:val="21"/>
              </w:rPr>
            </w:pPr>
            <w:r>
              <w:rPr>
                <w:sz w:val="21"/>
              </w:rPr>
              <w:t>较大</w:t>
            </w:r>
          </w:p>
        </w:tc>
        <w:tc>
          <w:tcPr>
            <w:tcW w:w="1260" w:type="dxa"/>
            <w:tcBorders>
              <w:tl2br w:val="nil"/>
              <w:tr2bl w:val="nil"/>
            </w:tcBorders>
            <w:vAlign w:val="center"/>
          </w:tcPr>
          <w:p w14:paraId="3691C8C7">
            <w:pPr>
              <w:pStyle w:val="140"/>
              <w:spacing w:before="0"/>
              <w:ind w:left="0" w:right="0"/>
              <w:rPr>
                <w:sz w:val="21"/>
              </w:rPr>
            </w:pPr>
            <w:r>
              <w:rPr>
                <w:sz w:val="21"/>
              </w:rPr>
              <w:t>较大</w:t>
            </w:r>
          </w:p>
        </w:tc>
        <w:tc>
          <w:tcPr>
            <w:tcW w:w="1259" w:type="dxa"/>
            <w:tcBorders>
              <w:tl2br w:val="nil"/>
              <w:tr2bl w:val="nil"/>
            </w:tcBorders>
            <w:vAlign w:val="center"/>
          </w:tcPr>
          <w:p w14:paraId="4593ED3A">
            <w:pPr>
              <w:pStyle w:val="140"/>
              <w:spacing w:before="0"/>
              <w:ind w:left="0" w:right="0"/>
              <w:rPr>
                <w:sz w:val="21"/>
              </w:rPr>
            </w:pPr>
            <w:r>
              <w:rPr>
                <w:sz w:val="21"/>
              </w:rPr>
              <w:t>重大</w:t>
            </w:r>
          </w:p>
        </w:tc>
        <w:tc>
          <w:tcPr>
            <w:tcW w:w="1260" w:type="dxa"/>
            <w:tcBorders>
              <w:tl2br w:val="nil"/>
              <w:tr2bl w:val="nil"/>
            </w:tcBorders>
            <w:vAlign w:val="center"/>
          </w:tcPr>
          <w:p w14:paraId="6A74B61E">
            <w:pPr>
              <w:pStyle w:val="140"/>
              <w:spacing w:before="0"/>
              <w:ind w:left="0" w:right="0"/>
              <w:rPr>
                <w:sz w:val="21"/>
              </w:rPr>
            </w:pPr>
            <w:r>
              <w:rPr>
                <w:sz w:val="21"/>
              </w:rPr>
              <w:t>重大</w:t>
            </w:r>
          </w:p>
        </w:tc>
      </w:tr>
    </w:tbl>
    <w:p w14:paraId="44EA3B85">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67" w:name="7.1.5突发大气环境事件风险等级表征"/>
      <w:bookmarkEnd w:id="267"/>
      <w:bookmarkStart w:id="268" w:name="_TOC_250017"/>
      <w:bookmarkEnd w:id="268"/>
      <w:bookmarkStart w:id="269" w:name="_Toc32405"/>
      <w:bookmarkStart w:id="270" w:name="_Toc30454"/>
      <w:r>
        <w:rPr>
          <w:rFonts w:hint="eastAsia" w:ascii="Times New Roman" w:hAnsi="Times New Roman" w:eastAsia="宋体" w:cs="Times New Roman"/>
          <w:color w:val="000000" w:themeColor="text1"/>
          <w14:textFill>
            <w14:solidFill>
              <w14:schemeClr w14:val="tx1"/>
            </w14:solidFill>
          </w14:textFill>
        </w:rPr>
        <w:t>7.1.</w:t>
      </w:r>
      <w:r>
        <w:rPr>
          <w:rFonts w:hint="eastAsia" w:eastAsia="宋体" w:cs="Times New Roman"/>
          <w:color w:val="000000" w:themeColor="text1"/>
          <w:lang w:val="en-US" w:eastAsia="zh-CN"/>
          <w14:textFill>
            <w14:solidFill>
              <w14:schemeClr w14:val="tx1"/>
            </w14:solidFill>
          </w14:textFill>
        </w:rPr>
        <w:t>5</w:t>
      </w:r>
      <w:r>
        <w:rPr>
          <w:rFonts w:hint="eastAsia" w:ascii="Times New Roman" w:hAnsi="Times New Roman" w:eastAsia="宋体" w:cs="Times New Roman"/>
          <w:color w:val="000000" w:themeColor="text1"/>
          <w14:textFill>
            <w14:solidFill>
              <w14:schemeClr w14:val="tx1"/>
            </w14:solidFill>
          </w14:textFill>
        </w:rPr>
        <w:t>突发大气环境事件风险等级表征</w:t>
      </w:r>
      <w:bookmarkEnd w:id="269"/>
      <w:bookmarkEnd w:id="270"/>
    </w:p>
    <w:p w14:paraId="6A8AB25A">
      <w:pPr>
        <w:pStyle w:val="13"/>
        <w:spacing w:before="0" w:after="0" w:line="500" w:lineRule="exact"/>
        <w:ind w:left="0" w:firstLine="440" w:firstLineChars="200"/>
        <w:rPr>
          <w:rFonts w:eastAsia="宋体"/>
          <w:spacing w:val="-10"/>
        </w:rPr>
      </w:pPr>
      <w:r>
        <w:rPr>
          <w:rFonts w:eastAsia="宋体"/>
          <w:spacing w:val="-10"/>
        </w:rPr>
        <w:t>企业突发大气环境事件风险等级表征分为两种情况：</w:t>
      </w:r>
    </w:p>
    <w:p w14:paraId="782C55BB">
      <w:pPr>
        <w:pStyle w:val="13"/>
        <w:numPr>
          <w:ilvl w:val="0"/>
          <w:numId w:val="6"/>
        </w:numPr>
        <w:spacing w:before="0" w:after="0" w:line="500" w:lineRule="exact"/>
        <w:ind w:left="0" w:right="0" w:firstLine="440" w:firstLineChars="20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1</w:t>
      </w:r>
      <w:r>
        <w:rPr>
          <w:rFonts w:hint="eastAsia" w:eastAsia="宋体"/>
          <w:spacing w:val="-10"/>
          <w:sz w:val="24"/>
          <w:lang w:eastAsia="zh-CN"/>
        </w:rPr>
        <w:t>）</w:t>
      </w:r>
      <w:r>
        <w:rPr>
          <w:rFonts w:ascii="Times New Roman" w:hAnsi="Times New Roman" w:eastAsia="宋体"/>
          <w:spacing w:val="-10"/>
          <w:sz w:val="24"/>
        </w:rPr>
        <w:t>Q</w:t>
      </w:r>
      <w:r>
        <w:rPr>
          <w:rFonts w:eastAsia="宋体"/>
          <w:spacing w:val="-10"/>
          <w:sz w:val="24"/>
        </w:rPr>
        <w:t>＜</w:t>
      </w:r>
      <w:r>
        <w:rPr>
          <w:rFonts w:ascii="Times New Roman" w:hAnsi="Times New Roman" w:eastAsia="宋体"/>
          <w:spacing w:val="-10"/>
          <w:sz w:val="24"/>
        </w:rPr>
        <w:t>1</w:t>
      </w:r>
      <w:r>
        <w:rPr>
          <w:rFonts w:eastAsia="宋体"/>
          <w:spacing w:val="-10"/>
          <w:sz w:val="24"/>
        </w:rPr>
        <w:t>时，企业突发大气环境事件风险等级表示为</w:t>
      </w:r>
      <w:r>
        <w:rPr>
          <w:rFonts w:ascii="Times New Roman" w:hAnsi="Times New Roman" w:eastAsia="宋体"/>
          <w:spacing w:val="-10"/>
          <w:sz w:val="24"/>
        </w:rPr>
        <w:t>“</w:t>
      </w:r>
      <w:r>
        <w:rPr>
          <w:rFonts w:eastAsia="宋体"/>
          <w:spacing w:val="-10"/>
          <w:sz w:val="24"/>
        </w:rPr>
        <w:t>一般</w:t>
      </w:r>
      <w:r>
        <w:rPr>
          <w:rFonts w:ascii="Times New Roman" w:hAnsi="Times New Roman" w:eastAsia="宋体"/>
          <w:spacing w:val="-10"/>
          <w:sz w:val="24"/>
        </w:rPr>
        <w:t>-</w:t>
      </w:r>
      <w:r>
        <w:rPr>
          <w:rFonts w:eastAsia="宋体"/>
          <w:spacing w:val="-10"/>
          <w:sz w:val="24"/>
        </w:rPr>
        <w:t>大气（</w:t>
      </w:r>
      <w:r>
        <w:rPr>
          <w:rFonts w:ascii="Times New Roman" w:hAnsi="Times New Roman" w:eastAsia="宋体"/>
          <w:spacing w:val="-10"/>
          <w:sz w:val="24"/>
        </w:rPr>
        <w:t>Q0</w:t>
      </w:r>
      <w:r>
        <w:rPr>
          <w:rFonts w:eastAsia="宋体"/>
          <w:spacing w:val="-10"/>
          <w:sz w:val="24"/>
        </w:rPr>
        <w:t>）</w:t>
      </w:r>
      <w:r>
        <w:rPr>
          <w:rFonts w:ascii="Times New Roman" w:hAnsi="Times New Roman" w:eastAsia="宋体"/>
          <w:spacing w:val="-10"/>
          <w:sz w:val="24"/>
        </w:rPr>
        <w:t>”</w:t>
      </w:r>
      <w:r>
        <w:rPr>
          <w:rFonts w:eastAsia="宋体"/>
          <w:spacing w:val="-10"/>
          <w:sz w:val="24"/>
        </w:rPr>
        <w:t>。</w:t>
      </w:r>
    </w:p>
    <w:p w14:paraId="787D7330">
      <w:pPr>
        <w:pStyle w:val="13"/>
        <w:spacing w:before="0" w:after="0" w:line="500" w:lineRule="exact"/>
        <w:ind w:left="0" w:firstLine="440" w:firstLineChars="200"/>
        <w:rPr>
          <w:rFonts w:eastAsia="宋体"/>
          <w:spacing w:val="-10"/>
        </w:rPr>
      </w:pPr>
      <w:r>
        <w:rPr>
          <w:rFonts w:hint="eastAsia" w:eastAsia="宋体"/>
          <w:spacing w:val="-10"/>
          <w:sz w:val="24"/>
          <w:lang w:eastAsia="zh-CN"/>
        </w:rPr>
        <w:t>（</w:t>
      </w:r>
      <w:r>
        <w:rPr>
          <w:rFonts w:hint="eastAsia" w:eastAsia="宋体"/>
          <w:spacing w:val="-10"/>
          <w:sz w:val="24"/>
          <w:lang w:val="en-US" w:eastAsia="zh-CN"/>
        </w:rPr>
        <w:t>2</w:t>
      </w:r>
      <w:r>
        <w:rPr>
          <w:rFonts w:hint="eastAsia" w:eastAsia="宋体"/>
          <w:spacing w:val="-10"/>
          <w:sz w:val="24"/>
          <w:lang w:eastAsia="zh-CN"/>
        </w:rPr>
        <w:t>）</w:t>
      </w:r>
      <w:r>
        <w:rPr>
          <w:rFonts w:ascii="Times New Roman" w:hAnsi="Times New Roman" w:eastAsia="宋体"/>
          <w:spacing w:val="-10"/>
          <w:sz w:val="24"/>
        </w:rPr>
        <w:t>Q≥1</w:t>
      </w:r>
      <w:r>
        <w:rPr>
          <w:rFonts w:eastAsia="宋体"/>
          <w:spacing w:val="-10"/>
          <w:sz w:val="24"/>
        </w:rPr>
        <w:t>时，企业突发大气环境事件风险等级表示为</w:t>
      </w:r>
      <w:r>
        <w:rPr>
          <w:rFonts w:ascii="Times New Roman" w:hAnsi="Times New Roman" w:eastAsia="宋体"/>
          <w:spacing w:val="-10"/>
          <w:sz w:val="24"/>
        </w:rPr>
        <w:t>“</w:t>
      </w:r>
      <w:r>
        <w:rPr>
          <w:rFonts w:eastAsia="宋体"/>
          <w:spacing w:val="-10"/>
          <w:sz w:val="24"/>
        </w:rPr>
        <w:t>环境风险等级</w:t>
      </w:r>
      <w:r>
        <w:rPr>
          <w:rFonts w:ascii="Times New Roman" w:hAnsi="Times New Roman" w:eastAsia="宋体"/>
          <w:spacing w:val="-10"/>
          <w:sz w:val="24"/>
        </w:rPr>
        <w:t>-</w:t>
      </w:r>
      <w:r>
        <w:rPr>
          <w:rFonts w:eastAsia="宋体"/>
          <w:spacing w:val="-10"/>
          <w:sz w:val="24"/>
        </w:rPr>
        <w:t>大气</w:t>
      </w:r>
      <w:r>
        <w:rPr>
          <w:rFonts w:eastAsia="宋体"/>
          <w:spacing w:val="-10"/>
        </w:rPr>
        <w:t>（</w:t>
      </w:r>
      <w:r>
        <w:rPr>
          <w:rFonts w:ascii="Times New Roman" w:hAnsi="Times New Roman" w:eastAsia="宋体"/>
          <w:spacing w:val="-10"/>
        </w:rPr>
        <w:t>Q</w:t>
      </w:r>
      <w:r>
        <w:rPr>
          <w:rFonts w:eastAsia="宋体"/>
          <w:spacing w:val="-10"/>
        </w:rPr>
        <w:t>水平</w:t>
      </w:r>
      <w:r>
        <w:rPr>
          <w:rFonts w:ascii="Times New Roman" w:hAnsi="Times New Roman" w:eastAsia="宋体"/>
          <w:spacing w:val="-10"/>
        </w:rPr>
        <w:t>-M</w:t>
      </w:r>
      <w:r>
        <w:rPr>
          <w:rFonts w:eastAsia="宋体"/>
          <w:spacing w:val="-10"/>
        </w:rPr>
        <w:t>类型</w:t>
      </w:r>
      <w:r>
        <w:rPr>
          <w:rFonts w:ascii="Times New Roman" w:hAnsi="Times New Roman" w:eastAsia="宋体"/>
          <w:spacing w:val="-10"/>
        </w:rPr>
        <w:t>-E</w:t>
      </w:r>
      <w:r>
        <w:rPr>
          <w:rFonts w:eastAsia="宋体"/>
          <w:spacing w:val="-10"/>
        </w:rPr>
        <w:t>类型）</w:t>
      </w:r>
      <w:r>
        <w:rPr>
          <w:rFonts w:ascii="Times New Roman" w:hAnsi="Times New Roman" w:eastAsia="宋体"/>
          <w:spacing w:val="-10"/>
        </w:rPr>
        <w:t>”</w:t>
      </w:r>
      <w:r>
        <w:rPr>
          <w:rFonts w:eastAsia="宋体"/>
          <w:spacing w:val="-10"/>
        </w:rPr>
        <w:t>。</w:t>
      </w:r>
    </w:p>
    <w:p w14:paraId="7F116C5B">
      <w:pPr>
        <w:pStyle w:val="13"/>
        <w:spacing w:before="0" w:line="500" w:lineRule="exact"/>
        <w:ind w:left="0" w:right="0" w:firstLine="440" w:firstLineChars="200"/>
        <w:jc w:val="left"/>
        <w:rPr>
          <w:rFonts w:eastAsia="宋体"/>
          <w:b w:val="0"/>
          <w:spacing w:val="-10"/>
          <w:sz w:val="24"/>
        </w:rPr>
      </w:pPr>
      <w:r>
        <w:rPr>
          <w:rFonts w:hint="eastAsia" w:eastAsia="宋体"/>
          <w:spacing w:val="-10"/>
          <w:lang w:val="en-US" w:eastAsia="zh-CN"/>
        </w:rPr>
        <w:t>海安帝洁雅家具有限公司</w:t>
      </w:r>
      <w:r>
        <w:rPr>
          <w:rFonts w:hint="eastAsia" w:eastAsia="宋体"/>
          <w:spacing w:val="-10"/>
          <w:lang w:val="en-US" w:eastAsia="zh-CN"/>
        </w:rPr>
        <w:tab/>
      </w:r>
      <w:r>
        <w:rPr>
          <w:rFonts w:ascii="Times New Roman" w:hAnsi="Times New Roman" w:eastAsia="宋体"/>
          <w:b w:val="0"/>
          <w:spacing w:val="-10"/>
        </w:rPr>
        <w:t>Q</w:t>
      </w:r>
      <w:r>
        <w:rPr>
          <w:rFonts w:eastAsia="宋体"/>
          <w:b w:val="0"/>
          <w:spacing w:val="-10"/>
        </w:rPr>
        <w:t>＜</w:t>
      </w:r>
      <w:r>
        <w:rPr>
          <w:rFonts w:ascii="Times New Roman" w:hAnsi="Times New Roman" w:eastAsia="宋体"/>
          <w:b w:val="0"/>
          <w:spacing w:val="-10"/>
        </w:rPr>
        <w:t>1</w:t>
      </w:r>
      <w:r>
        <w:rPr>
          <w:rFonts w:eastAsia="宋体"/>
          <w:spacing w:val="-10"/>
        </w:rPr>
        <w:t>（</w:t>
      </w:r>
      <w:r>
        <w:rPr>
          <w:rFonts w:ascii="Times New Roman" w:hAnsi="Times New Roman" w:eastAsia="宋体"/>
          <w:spacing w:val="-10"/>
        </w:rPr>
        <w:t>Q0</w:t>
      </w:r>
      <w:r>
        <w:rPr>
          <w:rFonts w:eastAsia="宋体"/>
          <w:spacing w:val="-10"/>
        </w:rPr>
        <w:t>），因此大气风险等级表示为</w:t>
      </w:r>
      <w:r>
        <w:rPr>
          <w:rFonts w:ascii="Times New Roman" w:hAnsi="Times New Roman" w:eastAsia="宋体"/>
          <w:spacing w:val="-10"/>
        </w:rPr>
        <w:t>“</w:t>
      </w:r>
      <w:r>
        <w:rPr>
          <w:rFonts w:eastAsia="宋体"/>
          <w:b w:val="0"/>
          <w:spacing w:val="-10"/>
        </w:rPr>
        <w:t>一般</w:t>
      </w:r>
      <w:r>
        <w:rPr>
          <w:rFonts w:ascii="Times New Roman" w:hAnsi="Times New Roman" w:eastAsia="宋体"/>
          <w:b w:val="0"/>
          <w:spacing w:val="-10"/>
        </w:rPr>
        <w:t>-</w:t>
      </w:r>
      <w:r>
        <w:rPr>
          <w:rFonts w:eastAsia="宋体"/>
          <w:spacing w:val="-10"/>
          <w:sz w:val="24"/>
        </w:rPr>
        <w:t>大气（</w:t>
      </w:r>
      <w:r>
        <w:rPr>
          <w:rFonts w:ascii="Times New Roman" w:hAnsi="Times New Roman" w:eastAsia="宋体"/>
          <w:spacing w:val="-10"/>
          <w:sz w:val="24"/>
        </w:rPr>
        <w:t>Q0</w:t>
      </w:r>
      <w:r>
        <w:rPr>
          <w:rFonts w:eastAsia="宋体"/>
          <w:spacing w:val="-10"/>
          <w:sz w:val="24"/>
        </w:rPr>
        <w:t>）</w:t>
      </w:r>
      <w:r>
        <w:rPr>
          <w:rFonts w:ascii="Times New Roman" w:hAnsi="Times New Roman" w:eastAsia="宋体"/>
          <w:b w:val="0"/>
          <w:spacing w:val="-10"/>
          <w:sz w:val="24"/>
        </w:rPr>
        <w:t>”</w:t>
      </w:r>
      <w:r>
        <w:rPr>
          <w:rFonts w:eastAsia="宋体"/>
          <w:b w:val="0"/>
          <w:spacing w:val="-10"/>
          <w:sz w:val="24"/>
        </w:rPr>
        <w:t>。</w:t>
      </w:r>
    </w:p>
    <w:p w14:paraId="67EC3EAE">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71" w:name="_TOC_250016"/>
      <w:bookmarkEnd w:id="271"/>
      <w:bookmarkStart w:id="272" w:name="7.2企业突发水环境事件风险等级"/>
      <w:bookmarkEnd w:id="272"/>
      <w:bookmarkStart w:id="273" w:name="_Toc14031"/>
      <w:bookmarkStart w:id="274" w:name="_Toc27596"/>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14:textFill>
            <w14:solidFill>
              <w14:schemeClr w14:val="tx1"/>
            </w14:solidFill>
          </w14:textFill>
        </w:rPr>
        <w:t>企业突发</w:t>
      </w:r>
      <w:r>
        <w:rPr>
          <w:rFonts w:hint="eastAsia" w:eastAsia="宋体" w:cs="Times New Roman"/>
          <w:color w:val="000000" w:themeColor="text1"/>
          <w:sz w:val="24"/>
          <w:szCs w:val="24"/>
          <w:lang w:val="en-US" w:eastAsia="zh-CN"/>
          <w14:textFill>
            <w14:solidFill>
              <w14:schemeClr w14:val="tx1"/>
            </w14:solidFill>
          </w14:textFill>
        </w:rPr>
        <w:t>水</w:t>
      </w:r>
      <w:r>
        <w:rPr>
          <w:rFonts w:hint="eastAsia" w:ascii="Times New Roman" w:hAnsi="Times New Roman" w:eastAsia="宋体" w:cs="Times New Roman"/>
          <w:color w:val="000000" w:themeColor="text1"/>
          <w:sz w:val="24"/>
          <w:szCs w:val="24"/>
          <w14:textFill>
            <w14:solidFill>
              <w14:schemeClr w14:val="tx1"/>
            </w14:solidFill>
          </w14:textFill>
        </w:rPr>
        <w:t>环境事件风险等级</w:t>
      </w:r>
      <w:bookmarkEnd w:id="273"/>
      <w:bookmarkEnd w:id="274"/>
    </w:p>
    <w:p w14:paraId="76A4B866">
      <w:pPr>
        <w:pStyle w:val="5"/>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275" w:name="7.2.1涉水风险物质数量与临界量比值（Q）"/>
      <w:bookmarkEnd w:id="275"/>
      <w:bookmarkStart w:id="276" w:name="_Toc16147"/>
      <w:bookmarkStart w:id="277" w:name="_Toc4502"/>
      <w:bookmarkStart w:id="278" w:name="_TOC_250015"/>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.1</w:t>
      </w:r>
      <w:r>
        <w:rPr>
          <w:rFonts w:hint="eastAsia" w:ascii="Times New Roman" w:hAnsi="Times New Roman" w:eastAsia="宋体" w:cs="Times New Roman"/>
          <w:color w:val="000000" w:themeColor="text1"/>
          <w:lang w:val="en-US" w:eastAsia="zh-CN"/>
          <w14:textFill>
            <w14:solidFill>
              <w14:schemeClr w14:val="tx1"/>
            </w14:solidFill>
          </w14:textFill>
        </w:rPr>
        <w:t>涉</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lang w:val="en-US" w:eastAsia="zh-CN"/>
          <w14:textFill>
            <w14:solidFill>
              <w14:schemeClr w14:val="tx1"/>
            </w14:solidFill>
          </w14:textFill>
        </w:rPr>
        <w:t>风险物质数量与临界值比值（Q）</w:t>
      </w:r>
      <w:bookmarkEnd w:id="276"/>
      <w:bookmarkEnd w:id="277"/>
    </w:p>
    <w:bookmarkEnd w:id="278"/>
    <w:p w14:paraId="762B7E1C">
      <w:pPr>
        <w:pStyle w:val="13"/>
        <w:spacing w:before="0" w:after="0" w:line="500" w:lineRule="exact"/>
        <w:ind w:left="0" w:right="0" w:firstLine="440" w:firstLineChars="200"/>
        <w:jc w:val="left"/>
        <w:rPr>
          <w:rFonts w:eastAsia="宋体"/>
          <w:spacing w:val="-10"/>
        </w:rPr>
      </w:pPr>
      <w:r>
        <w:rPr>
          <w:rFonts w:eastAsia="宋体"/>
          <w:spacing w:val="-10"/>
        </w:rPr>
        <w:t>企业生产原料、成品、中间成品、副成品、催化剂、辅助生产物料、</w:t>
      </w:r>
      <w:r>
        <w:rPr>
          <w:rFonts w:ascii="Times New Roman" w:hAnsi="Times New Roman" w:eastAsia="宋体"/>
          <w:spacing w:val="-10"/>
        </w:rPr>
        <w:t>“</w:t>
      </w:r>
      <w:r>
        <w:rPr>
          <w:rFonts w:eastAsia="宋体"/>
          <w:spacing w:val="-10"/>
        </w:rPr>
        <w:t>三废</w:t>
      </w:r>
      <w:r>
        <w:rPr>
          <w:rFonts w:ascii="Times New Roman" w:hAnsi="Times New Roman" w:eastAsia="宋体"/>
          <w:spacing w:val="-10"/>
        </w:rPr>
        <w:t>”</w:t>
      </w:r>
      <w:r>
        <w:rPr>
          <w:rFonts w:eastAsia="宋体"/>
          <w:spacing w:val="-10"/>
        </w:rPr>
        <w:t>污染物等是否涉及水环境风险物质，计算涉水风险物质（混合或稀释的风险物质按其组分比例折算成纯物质）与其临界量的比值</w:t>
      </w:r>
      <w:r>
        <w:rPr>
          <w:rFonts w:ascii="Times New Roman" w:hAnsi="Times New Roman" w:eastAsia="宋体"/>
          <w:spacing w:val="-10"/>
        </w:rPr>
        <w:t>Q</w:t>
      </w:r>
      <w:r>
        <w:rPr>
          <w:rFonts w:eastAsia="宋体"/>
          <w:spacing w:val="-10"/>
        </w:rPr>
        <w:t>，计算方法同</w:t>
      </w:r>
      <w:r>
        <w:rPr>
          <w:rFonts w:ascii="Times New Roman" w:hAnsi="Times New Roman" w:eastAsia="宋体"/>
          <w:spacing w:val="-10"/>
        </w:rPr>
        <w:t>7.1.1</w:t>
      </w:r>
      <w:r>
        <w:rPr>
          <w:rFonts w:eastAsia="宋体"/>
          <w:spacing w:val="-10"/>
        </w:rPr>
        <w:t>部分。</w:t>
      </w:r>
    </w:p>
    <w:p w14:paraId="61EFD95A">
      <w:pPr>
        <w:pStyle w:val="13"/>
        <w:spacing w:after="0" w:line="500" w:lineRule="exact"/>
        <w:ind w:left="0" w:right="0" w:firstLine="440" w:firstLineChars="200"/>
        <w:jc w:val="left"/>
      </w:pPr>
      <w:r>
        <w:rPr>
          <w:rFonts w:eastAsia="宋体"/>
          <w:spacing w:val="-10"/>
        </w:rPr>
        <w:t>涉水环境风险物质有</w:t>
      </w:r>
      <w:r>
        <w:rPr>
          <w:rFonts w:hint="eastAsia" w:eastAsia="宋体"/>
          <w:spacing w:val="-10"/>
          <w:lang w:val="en-US" w:eastAsia="zh-CN"/>
        </w:rPr>
        <w:t>水性漆、污泥等</w:t>
      </w:r>
      <w:r>
        <w:rPr>
          <w:rFonts w:eastAsia="宋体"/>
          <w:spacing w:val="-10"/>
        </w:rPr>
        <w:t>，计算结果见表</w:t>
      </w:r>
      <w:r>
        <w:rPr>
          <w:rFonts w:ascii="Times New Roman" w:eastAsia="宋体"/>
          <w:spacing w:val="-10"/>
        </w:rPr>
        <w:t>7-6</w:t>
      </w:r>
      <w:r>
        <w:rPr>
          <w:rFonts w:eastAsia="宋体"/>
          <w:spacing w:val="-10"/>
        </w:rPr>
        <w:t>。</w:t>
      </w:r>
    </w:p>
    <w:p w14:paraId="5CC5CF2C">
      <w:pPr>
        <w:pStyle w:val="13"/>
        <w:spacing w:before="0" w:after="0" w:line="500" w:lineRule="exact"/>
        <w:ind w:left="0" w:firstLine="0" w:firstLineChars="0"/>
        <w:jc w:val="center"/>
        <w:rPr>
          <w:rFonts w:hint="default" w:eastAsiaTheme="minorEastAsia"/>
          <w:spacing w:val="-10"/>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7-6</w:t>
      </w:r>
      <w:r>
        <w:rPr>
          <w:rFonts w:eastAsiaTheme="minorEastAsia"/>
          <w:b/>
          <w:color w:val="000000" w:themeColor="text1"/>
          <w:sz w:val="24"/>
          <w:szCs w:val="24"/>
          <w14:textFill>
            <w14:solidFill>
              <w14:schemeClr w14:val="tx1"/>
            </w14:solidFill>
          </w14:textFill>
        </w:rPr>
        <w:t>企业主要涉水风险物质Q值计算一览表</w:t>
      </w:r>
    </w:p>
    <w:tbl>
      <w:tblPr>
        <w:tblStyle w:val="37"/>
        <w:tblW w:w="0" w:type="auto"/>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741012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14:paraId="4D90E0D9">
            <w:pPr>
              <w:pStyle w:val="140"/>
              <w:spacing w:before="0"/>
              <w:ind w:left="0" w:right="0"/>
              <w:rPr>
                <w:b/>
                <w:sz w:val="21"/>
              </w:rPr>
            </w:pPr>
            <w:r>
              <w:rPr>
                <w:b/>
                <w:sz w:val="21"/>
              </w:rPr>
              <w:t>环境风险</w:t>
            </w:r>
          </w:p>
          <w:p w14:paraId="5B180FB6">
            <w:pPr>
              <w:pStyle w:val="140"/>
              <w:spacing w:before="0" w:line="240" w:lineRule="auto"/>
              <w:ind w:left="0" w:right="0"/>
              <w:rPr>
                <w:b/>
                <w:sz w:val="21"/>
              </w:rPr>
            </w:pPr>
            <w:r>
              <w:rPr>
                <w:b/>
                <w:sz w:val="21"/>
              </w:rPr>
              <w:t>单元</w:t>
            </w:r>
          </w:p>
        </w:tc>
        <w:tc>
          <w:tcPr>
            <w:tcW w:w="1984" w:type="dxa"/>
            <w:tcBorders>
              <w:tl2br w:val="nil"/>
              <w:tr2bl w:val="nil"/>
            </w:tcBorders>
            <w:vAlign w:val="center"/>
          </w:tcPr>
          <w:p w14:paraId="72CC5A86">
            <w:pPr>
              <w:pStyle w:val="140"/>
              <w:spacing w:before="0"/>
              <w:ind w:left="0" w:right="0"/>
              <w:rPr>
                <w:b/>
                <w:sz w:val="21"/>
              </w:rPr>
            </w:pPr>
            <w:r>
              <w:rPr>
                <w:b/>
                <w:sz w:val="21"/>
              </w:rPr>
              <w:t>风险物质名称</w:t>
            </w:r>
          </w:p>
        </w:tc>
        <w:tc>
          <w:tcPr>
            <w:tcW w:w="1437" w:type="dxa"/>
            <w:tcBorders>
              <w:tl2br w:val="nil"/>
              <w:tr2bl w:val="nil"/>
            </w:tcBorders>
            <w:vAlign w:val="center"/>
          </w:tcPr>
          <w:p w14:paraId="1EB47028">
            <w:pPr>
              <w:pStyle w:val="140"/>
              <w:spacing w:before="0"/>
              <w:ind w:left="0"/>
              <w:jc w:val="center"/>
              <w:rPr>
                <w:b/>
                <w:sz w:val="21"/>
              </w:rPr>
            </w:pPr>
            <w:r>
              <w:rPr>
                <w:b/>
                <w:sz w:val="21"/>
              </w:rPr>
              <w:t>最大存在总</w:t>
            </w:r>
          </w:p>
          <w:p w14:paraId="0354FFBF">
            <w:pPr>
              <w:pStyle w:val="140"/>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5C2488EB">
            <w:pPr>
              <w:pStyle w:val="140"/>
              <w:spacing w:before="0"/>
              <w:ind w:left="0" w:right="0"/>
              <w:rPr>
                <w:rFonts w:ascii="Times New Roman" w:eastAsia="Times New Roman"/>
                <w:b/>
                <w:sz w:val="21"/>
              </w:rPr>
            </w:pPr>
            <w:r>
              <w:rPr>
                <w:b/>
                <w:sz w:val="21"/>
              </w:rPr>
              <w:t>临界量</w:t>
            </w:r>
            <w:r>
              <w:rPr>
                <w:rFonts w:ascii="Times New Roman" w:eastAsia="Times New Roman"/>
                <w:b/>
                <w:sz w:val="21"/>
              </w:rPr>
              <w:t>Qi</w:t>
            </w:r>
          </w:p>
          <w:p w14:paraId="37808940">
            <w:pPr>
              <w:pStyle w:val="140"/>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6C8C7077">
            <w:pPr>
              <w:pStyle w:val="140"/>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010B7964">
            <w:pPr>
              <w:pStyle w:val="140"/>
              <w:spacing w:before="0"/>
              <w:ind w:left="0" w:right="0"/>
              <w:rPr>
                <w:b/>
                <w:sz w:val="21"/>
              </w:rPr>
            </w:pPr>
            <w:r>
              <w:rPr>
                <w:b/>
                <w:sz w:val="21"/>
              </w:rPr>
              <w:t>是否重要环境</w:t>
            </w:r>
          </w:p>
          <w:p w14:paraId="7CDD0E59">
            <w:pPr>
              <w:pStyle w:val="140"/>
              <w:spacing w:before="0" w:line="240" w:lineRule="auto"/>
              <w:ind w:left="0" w:right="0"/>
              <w:rPr>
                <w:b/>
                <w:sz w:val="21"/>
              </w:rPr>
            </w:pPr>
            <w:r>
              <w:rPr>
                <w:b/>
                <w:sz w:val="21"/>
              </w:rPr>
              <w:t>风险单元</w:t>
            </w:r>
          </w:p>
        </w:tc>
      </w:tr>
      <w:tr w14:paraId="21A9F6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7CE4D31C">
            <w:pPr>
              <w:pStyle w:val="140"/>
              <w:spacing w:before="0"/>
              <w:ind w:left="0" w:right="0"/>
              <w:rPr>
                <w:rFonts w:hint="eastAsia"/>
                <w:sz w:val="21"/>
                <w:lang w:val="en-US" w:eastAsia="zh-CN"/>
              </w:rPr>
            </w:pPr>
            <w:r>
              <w:rPr>
                <w:rFonts w:hint="eastAsia" w:ascii="Times New Roman" w:hAnsi="Times New Roman" w:eastAsia="宋体" w:cs="Times New Roman"/>
                <w:sz w:val="21"/>
                <w:szCs w:val="21"/>
                <w:lang w:val="en-US" w:eastAsia="zh-CN"/>
              </w:rPr>
              <w:t>油漆仓库</w:t>
            </w:r>
          </w:p>
        </w:tc>
        <w:tc>
          <w:tcPr>
            <w:tcW w:w="1984" w:type="dxa"/>
            <w:tcBorders>
              <w:tl2br w:val="nil"/>
              <w:tr2bl w:val="nil"/>
            </w:tcBorders>
            <w:vAlign w:val="center"/>
          </w:tcPr>
          <w:p w14:paraId="41A6710B">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底漆</w:t>
            </w:r>
          </w:p>
        </w:tc>
        <w:tc>
          <w:tcPr>
            <w:tcW w:w="1437" w:type="dxa"/>
            <w:tcBorders>
              <w:tl2br w:val="nil"/>
              <w:tr2bl w:val="nil"/>
            </w:tcBorders>
            <w:vAlign w:val="center"/>
          </w:tcPr>
          <w:p w14:paraId="74521CAB">
            <w:pPr>
              <w:pStyle w:val="140"/>
              <w:spacing w:before="0"/>
              <w:ind w:left="0" w:right="0"/>
              <w:rPr>
                <w:rFonts w:hint="default" w:ascii="Times New Roman"/>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0EC20338">
            <w:pPr>
              <w:pStyle w:val="140"/>
              <w:spacing w:before="0"/>
              <w:ind w:left="0" w:right="0"/>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2F243A9D">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0.02</w:t>
            </w:r>
          </w:p>
        </w:tc>
        <w:tc>
          <w:tcPr>
            <w:tcW w:w="1570" w:type="dxa"/>
            <w:vMerge w:val="restart"/>
            <w:tcBorders>
              <w:tl2br w:val="nil"/>
              <w:tr2bl w:val="nil"/>
            </w:tcBorders>
            <w:vAlign w:val="center"/>
          </w:tcPr>
          <w:p w14:paraId="44F5C8A0">
            <w:pPr>
              <w:pStyle w:val="140"/>
              <w:ind w:left="0"/>
              <w:rPr>
                <w:rFonts w:hint="eastAsia" w:eastAsia="宋体"/>
                <w:w w:val="100"/>
                <w:sz w:val="21"/>
                <w:lang w:val="en-US" w:eastAsia="zh-CN"/>
              </w:rPr>
            </w:pPr>
            <w:r>
              <w:rPr>
                <w:rFonts w:hint="eastAsia"/>
                <w:w w:val="100"/>
                <w:sz w:val="21"/>
                <w:lang w:val="en-US" w:eastAsia="zh-CN"/>
              </w:rPr>
              <w:t>否</w:t>
            </w:r>
          </w:p>
        </w:tc>
      </w:tr>
      <w:tr w14:paraId="44529A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2A56A30D">
            <w:pPr>
              <w:pStyle w:val="140"/>
              <w:spacing w:before="0"/>
              <w:ind w:left="0" w:right="0"/>
              <w:rPr>
                <w:rFonts w:hint="eastAsia"/>
                <w:sz w:val="21"/>
                <w:lang w:val="en-US" w:eastAsia="zh-CN"/>
              </w:rPr>
            </w:pPr>
          </w:p>
        </w:tc>
        <w:tc>
          <w:tcPr>
            <w:tcW w:w="1984" w:type="dxa"/>
            <w:tcBorders>
              <w:tl2br w:val="nil"/>
              <w:tr2bl w:val="nil"/>
            </w:tcBorders>
            <w:vAlign w:val="center"/>
          </w:tcPr>
          <w:p w14:paraId="503A7051">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面漆</w:t>
            </w:r>
          </w:p>
        </w:tc>
        <w:tc>
          <w:tcPr>
            <w:tcW w:w="1437" w:type="dxa"/>
            <w:tcBorders>
              <w:tl2br w:val="nil"/>
              <w:tr2bl w:val="nil"/>
            </w:tcBorders>
            <w:vAlign w:val="center"/>
          </w:tcPr>
          <w:p w14:paraId="14AA9D87">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02537C89">
            <w:pPr>
              <w:pStyle w:val="140"/>
              <w:spacing w:before="0"/>
              <w:ind w:left="0" w:right="0"/>
              <w:rPr>
                <w:rFonts w:hint="default"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782B22AE">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225E1929">
            <w:pPr>
              <w:pStyle w:val="140"/>
              <w:ind w:left="0"/>
              <w:rPr>
                <w:rFonts w:hint="eastAsia"/>
                <w:w w:val="100"/>
                <w:sz w:val="21"/>
              </w:rPr>
            </w:pPr>
          </w:p>
        </w:tc>
      </w:tr>
      <w:tr w14:paraId="0B6CA1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383A8ECC">
            <w:pPr>
              <w:pStyle w:val="140"/>
              <w:spacing w:before="0"/>
              <w:ind w:left="0" w:right="0"/>
              <w:rPr>
                <w:rFonts w:hint="eastAsia"/>
                <w:sz w:val="21"/>
                <w:lang w:val="en-US" w:eastAsia="zh-CN"/>
              </w:rPr>
            </w:pPr>
          </w:p>
        </w:tc>
        <w:tc>
          <w:tcPr>
            <w:tcW w:w="1984" w:type="dxa"/>
            <w:tcBorders>
              <w:tl2br w:val="nil"/>
              <w:tr2bl w:val="nil"/>
            </w:tcBorders>
            <w:vAlign w:val="center"/>
          </w:tcPr>
          <w:p w14:paraId="0D89F439">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白乳胶</w:t>
            </w:r>
          </w:p>
        </w:tc>
        <w:tc>
          <w:tcPr>
            <w:tcW w:w="1437" w:type="dxa"/>
            <w:tcBorders>
              <w:tl2br w:val="nil"/>
              <w:tr2bl w:val="nil"/>
            </w:tcBorders>
            <w:vAlign w:val="center"/>
          </w:tcPr>
          <w:p w14:paraId="1AE7D1FE">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12741CA0">
            <w:pPr>
              <w:spacing w:before="0"/>
              <w:ind w:left="0" w:right="0"/>
              <w:jc w:val="center"/>
              <w:rPr>
                <w:rFonts w:hint="eastAsia"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2434AC66">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474A1C4A">
            <w:pPr>
              <w:pStyle w:val="140"/>
              <w:ind w:left="0"/>
              <w:rPr>
                <w:rFonts w:hint="eastAsia"/>
                <w:w w:val="100"/>
                <w:sz w:val="21"/>
              </w:rPr>
            </w:pPr>
          </w:p>
        </w:tc>
      </w:tr>
      <w:tr w14:paraId="5F74F0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1BD9F001">
            <w:pPr>
              <w:pStyle w:val="140"/>
              <w:spacing w:before="0"/>
              <w:ind w:left="0" w:right="0"/>
              <w:rPr>
                <w:rFonts w:hint="eastAsia"/>
                <w:sz w:val="21"/>
                <w:lang w:val="en-US" w:eastAsia="zh-CN"/>
              </w:rPr>
            </w:pPr>
          </w:p>
        </w:tc>
        <w:tc>
          <w:tcPr>
            <w:tcW w:w="1984" w:type="dxa"/>
            <w:tcBorders>
              <w:tl2br w:val="nil"/>
              <w:tr2bl w:val="nil"/>
            </w:tcBorders>
            <w:vAlign w:val="center"/>
          </w:tcPr>
          <w:p w14:paraId="095426AC">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木蜡油</w:t>
            </w:r>
          </w:p>
        </w:tc>
        <w:tc>
          <w:tcPr>
            <w:tcW w:w="1437" w:type="dxa"/>
            <w:tcBorders>
              <w:tl2br w:val="nil"/>
              <w:tr2bl w:val="nil"/>
            </w:tcBorders>
            <w:vAlign w:val="center"/>
          </w:tcPr>
          <w:p w14:paraId="272F51F8">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720449E9">
            <w:pPr>
              <w:spacing w:before="0"/>
              <w:ind w:left="0" w:right="0"/>
              <w:jc w:val="center"/>
              <w:rPr>
                <w:rFonts w:hint="eastAsia"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130958DE">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79B1C84E">
            <w:pPr>
              <w:pStyle w:val="140"/>
              <w:ind w:left="0"/>
              <w:rPr>
                <w:rFonts w:hint="eastAsia"/>
                <w:w w:val="100"/>
                <w:sz w:val="21"/>
              </w:rPr>
            </w:pPr>
          </w:p>
        </w:tc>
      </w:tr>
      <w:tr w14:paraId="0A8A9B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6DE06712">
            <w:pPr>
              <w:pStyle w:val="140"/>
              <w:spacing w:before="0"/>
              <w:ind w:left="0" w:right="0"/>
              <w:rPr>
                <w:rFonts w:hint="eastAsia"/>
                <w:sz w:val="21"/>
                <w:lang w:val="en-US" w:eastAsia="zh-CN"/>
              </w:rPr>
            </w:pPr>
          </w:p>
        </w:tc>
        <w:tc>
          <w:tcPr>
            <w:tcW w:w="1984" w:type="dxa"/>
            <w:tcBorders>
              <w:tl2br w:val="nil"/>
              <w:tr2bl w:val="nil"/>
            </w:tcBorders>
            <w:vAlign w:val="center"/>
          </w:tcPr>
          <w:p w14:paraId="44362567">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固化剂</w:t>
            </w:r>
          </w:p>
        </w:tc>
        <w:tc>
          <w:tcPr>
            <w:tcW w:w="1437" w:type="dxa"/>
            <w:tcBorders>
              <w:tl2br w:val="nil"/>
              <w:tr2bl w:val="nil"/>
            </w:tcBorders>
            <w:vAlign w:val="center"/>
          </w:tcPr>
          <w:p w14:paraId="29CCB358">
            <w:pPr>
              <w:pStyle w:val="140"/>
              <w:spacing w:before="0"/>
              <w:ind w:left="0" w:right="0"/>
              <w:rPr>
                <w:rFonts w:hint="default" w:ascii="Times New Roman"/>
                <w:sz w:val="21"/>
                <w:lang w:val="en-US" w:eastAsia="zh-CN"/>
              </w:rPr>
            </w:pPr>
            <w:r>
              <w:rPr>
                <w:rFonts w:hint="eastAsia" w:ascii="Times New Roman"/>
                <w:sz w:val="21"/>
                <w:lang w:val="en-US" w:eastAsia="zh-CN"/>
              </w:rPr>
              <w:t>0.5</w:t>
            </w:r>
          </w:p>
        </w:tc>
        <w:tc>
          <w:tcPr>
            <w:tcW w:w="1300" w:type="dxa"/>
            <w:tcBorders>
              <w:tl2br w:val="nil"/>
              <w:tr2bl w:val="nil"/>
            </w:tcBorders>
            <w:vAlign w:val="center"/>
          </w:tcPr>
          <w:p w14:paraId="3EE723D3">
            <w:pPr>
              <w:spacing w:before="0"/>
              <w:ind w:left="0" w:right="0"/>
              <w:jc w:val="center"/>
              <w:rPr>
                <w:rFonts w:hint="eastAsia" w:ascii="Times New Roman"/>
                <w:sz w:val="21"/>
                <w:lang w:val="en-US" w:eastAsia="zh-CN"/>
              </w:rPr>
            </w:pPr>
            <w:r>
              <w:rPr>
                <w:rFonts w:hint="eastAsia" w:ascii="Times New Roman"/>
                <w:sz w:val="21"/>
                <w:lang w:val="en-US" w:eastAsia="zh-CN"/>
              </w:rPr>
              <w:t>100</w:t>
            </w:r>
          </w:p>
        </w:tc>
        <w:tc>
          <w:tcPr>
            <w:tcW w:w="1232" w:type="dxa"/>
            <w:tcBorders>
              <w:tl2br w:val="nil"/>
              <w:tr2bl w:val="nil"/>
            </w:tcBorders>
            <w:vAlign w:val="center"/>
          </w:tcPr>
          <w:p w14:paraId="0F87AD47">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0781A3C0">
            <w:pPr>
              <w:pStyle w:val="140"/>
              <w:ind w:left="0"/>
              <w:rPr>
                <w:rFonts w:hint="eastAsia"/>
                <w:w w:val="100"/>
                <w:sz w:val="21"/>
              </w:rPr>
            </w:pPr>
          </w:p>
        </w:tc>
      </w:tr>
      <w:tr w14:paraId="149982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2ED9A731">
            <w:pPr>
              <w:pStyle w:val="140"/>
              <w:spacing w:before="0"/>
              <w:ind w:left="0" w:right="0"/>
              <w:rPr>
                <w:rFonts w:hint="eastAsia"/>
                <w:sz w:val="21"/>
                <w:lang w:val="en-US" w:eastAsia="zh-CN"/>
              </w:rPr>
            </w:pPr>
          </w:p>
        </w:tc>
        <w:tc>
          <w:tcPr>
            <w:tcW w:w="1984" w:type="dxa"/>
            <w:tcBorders>
              <w:tl2br w:val="nil"/>
              <w:tr2bl w:val="nil"/>
            </w:tcBorders>
            <w:vAlign w:val="center"/>
          </w:tcPr>
          <w:p w14:paraId="649EF13F">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拼板胶</w:t>
            </w:r>
          </w:p>
        </w:tc>
        <w:tc>
          <w:tcPr>
            <w:tcW w:w="1437" w:type="dxa"/>
            <w:tcBorders>
              <w:tl2br w:val="nil"/>
              <w:tr2bl w:val="nil"/>
            </w:tcBorders>
            <w:vAlign w:val="center"/>
          </w:tcPr>
          <w:p w14:paraId="5057372F">
            <w:pPr>
              <w:pStyle w:val="140"/>
              <w:spacing w:before="0"/>
              <w:ind w:left="0" w:right="0"/>
              <w:rPr>
                <w:rFonts w:hint="default" w:ascii="Times New Roman"/>
                <w:sz w:val="21"/>
                <w:lang w:val="en-US" w:eastAsia="zh-CN"/>
              </w:rPr>
            </w:pPr>
            <w:r>
              <w:rPr>
                <w:rFonts w:hint="eastAsia" w:ascii="Times New Roman"/>
                <w:sz w:val="21"/>
                <w:lang w:val="en-US" w:eastAsia="zh-CN"/>
              </w:rPr>
              <w:t>1</w:t>
            </w:r>
          </w:p>
        </w:tc>
        <w:tc>
          <w:tcPr>
            <w:tcW w:w="1300" w:type="dxa"/>
            <w:tcBorders>
              <w:tl2br w:val="nil"/>
              <w:tr2bl w:val="nil"/>
            </w:tcBorders>
            <w:vAlign w:val="center"/>
          </w:tcPr>
          <w:p w14:paraId="54BF0E22">
            <w:pPr>
              <w:spacing w:before="0"/>
              <w:ind w:left="0" w:right="0"/>
              <w:jc w:val="center"/>
              <w:rPr>
                <w:rFonts w:hint="default" w:ascii="Times New Roman"/>
                <w:sz w:val="21"/>
                <w:lang w:val="en-US" w:eastAsia="zh-CN"/>
              </w:rPr>
            </w:pPr>
            <w:r>
              <w:rPr>
                <w:rFonts w:hint="eastAsia"/>
                <w:sz w:val="21"/>
                <w:lang w:val="en-US" w:eastAsia="zh-CN"/>
              </w:rPr>
              <w:t>10</w:t>
            </w:r>
          </w:p>
        </w:tc>
        <w:tc>
          <w:tcPr>
            <w:tcW w:w="1232" w:type="dxa"/>
            <w:tcBorders>
              <w:tl2br w:val="nil"/>
              <w:tr2bl w:val="nil"/>
            </w:tcBorders>
            <w:vAlign w:val="center"/>
          </w:tcPr>
          <w:p w14:paraId="5D61BCAC">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0.1</w:t>
            </w:r>
          </w:p>
        </w:tc>
        <w:tc>
          <w:tcPr>
            <w:tcW w:w="1570" w:type="dxa"/>
            <w:vMerge w:val="continue"/>
            <w:tcBorders>
              <w:tl2br w:val="nil"/>
              <w:tr2bl w:val="nil"/>
            </w:tcBorders>
            <w:vAlign w:val="center"/>
          </w:tcPr>
          <w:p w14:paraId="36908316">
            <w:pPr>
              <w:pStyle w:val="140"/>
              <w:ind w:left="0"/>
              <w:rPr>
                <w:rFonts w:hint="eastAsia"/>
                <w:w w:val="100"/>
                <w:sz w:val="21"/>
              </w:rPr>
            </w:pPr>
          </w:p>
        </w:tc>
      </w:tr>
      <w:tr w14:paraId="074338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3C8FC867">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7F5C78C9">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0.605</w:t>
            </w:r>
          </w:p>
        </w:tc>
        <w:tc>
          <w:tcPr>
            <w:tcW w:w="1570" w:type="dxa"/>
            <w:vMerge w:val="continue"/>
            <w:tcBorders>
              <w:tl2br w:val="nil"/>
              <w:tr2bl w:val="nil"/>
            </w:tcBorders>
            <w:vAlign w:val="center"/>
          </w:tcPr>
          <w:p w14:paraId="17321FF5">
            <w:pPr>
              <w:jc w:val="center"/>
              <w:rPr>
                <w:rFonts w:hint="eastAsia" w:ascii="宋体" w:hAnsi="宋体" w:eastAsia="宋体" w:cs="宋体"/>
                <w:sz w:val="21"/>
                <w:szCs w:val="24"/>
              </w:rPr>
            </w:pPr>
          </w:p>
        </w:tc>
      </w:tr>
      <w:tr w14:paraId="2742E3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restart"/>
            <w:tcBorders>
              <w:tl2br w:val="nil"/>
              <w:tr2bl w:val="nil"/>
            </w:tcBorders>
            <w:vAlign w:val="center"/>
          </w:tcPr>
          <w:p w14:paraId="4378CE6E">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生产车间</w:t>
            </w:r>
          </w:p>
        </w:tc>
        <w:tc>
          <w:tcPr>
            <w:tcW w:w="1984" w:type="dxa"/>
            <w:tcBorders>
              <w:tl2br w:val="nil"/>
              <w:tr2bl w:val="nil"/>
            </w:tcBorders>
            <w:vAlign w:val="center"/>
          </w:tcPr>
          <w:p w14:paraId="283532EC">
            <w:pPr>
              <w:keepNext w:val="0"/>
              <w:keepLines w:val="0"/>
              <w:widowControl/>
              <w:suppressLineNumbers w:val="0"/>
              <w:jc w:val="center"/>
              <w:rPr>
                <w:rFonts w:hint="eastAsia"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底漆</w:t>
            </w:r>
          </w:p>
        </w:tc>
        <w:tc>
          <w:tcPr>
            <w:tcW w:w="1437" w:type="dxa"/>
            <w:tcBorders>
              <w:tl2br w:val="nil"/>
              <w:tr2bl w:val="nil"/>
            </w:tcBorders>
            <w:vAlign w:val="center"/>
          </w:tcPr>
          <w:p w14:paraId="782611FA">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6A5699FE">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709EE63E">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restart"/>
            <w:tcBorders>
              <w:tl2br w:val="nil"/>
              <w:tr2bl w:val="nil"/>
            </w:tcBorders>
            <w:vAlign w:val="center"/>
          </w:tcPr>
          <w:p w14:paraId="33E65160">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2A7BEB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1BDE339F">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34726AEA">
            <w:pPr>
              <w:keepNext w:val="0"/>
              <w:keepLines w:val="0"/>
              <w:widowControl/>
              <w:suppressLineNumbers w:val="0"/>
              <w:jc w:val="center"/>
              <w:rPr>
                <w:rFonts w:hint="eastAsia" w:ascii="宋体" w:hAnsi="宋体" w:eastAsia="宋体" w:cs="宋体"/>
                <w:kern w:val="2"/>
                <w:sz w:val="21"/>
                <w:szCs w:val="24"/>
                <w:lang w:val="en-US" w:eastAsia="zh-CN" w:bidi="ar-SA"/>
              </w:rPr>
            </w:pPr>
            <w:r>
              <w:rPr>
                <w:rFonts w:hint="default" w:ascii="Times New Roman" w:hAnsi="Times New Roman" w:eastAsia="宋体" w:cs="Times New Roman"/>
                <w:sz w:val="21"/>
                <w:szCs w:val="21"/>
              </w:rPr>
              <w:t>水性</w:t>
            </w:r>
            <w:r>
              <w:rPr>
                <w:rFonts w:hint="eastAsia" w:ascii="Times New Roman" w:hAnsi="Times New Roman" w:eastAsia="宋体" w:cs="Times New Roman"/>
                <w:sz w:val="21"/>
                <w:szCs w:val="21"/>
                <w:lang w:val="en-US" w:eastAsia="zh-CN"/>
              </w:rPr>
              <w:t>双组份</w:t>
            </w:r>
            <w:r>
              <w:rPr>
                <w:rFonts w:hint="default" w:ascii="Times New Roman" w:hAnsi="Times New Roman" w:eastAsia="宋体" w:cs="Times New Roman"/>
                <w:sz w:val="21"/>
                <w:szCs w:val="21"/>
              </w:rPr>
              <w:t>面漆</w:t>
            </w:r>
          </w:p>
        </w:tc>
        <w:tc>
          <w:tcPr>
            <w:tcW w:w="1437" w:type="dxa"/>
            <w:tcBorders>
              <w:tl2br w:val="nil"/>
              <w:tr2bl w:val="nil"/>
            </w:tcBorders>
            <w:vAlign w:val="center"/>
          </w:tcPr>
          <w:p w14:paraId="1D9511FC">
            <w:pPr>
              <w:spacing w:before="0"/>
              <w:ind w:left="0" w:right="0"/>
              <w:jc w:val="center"/>
              <w:rPr>
                <w:rFonts w:hint="default"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7C3A6EAC">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08BFB581">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668D858E">
            <w:pPr>
              <w:jc w:val="center"/>
              <w:rPr>
                <w:rFonts w:hint="eastAsia" w:ascii="宋体" w:hAnsi="宋体" w:eastAsia="宋体" w:cs="宋体"/>
                <w:sz w:val="21"/>
                <w:szCs w:val="24"/>
                <w:lang w:val="en-US" w:eastAsia="zh-CN"/>
              </w:rPr>
            </w:pPr>
          </w:p>
        </w:tc>
      </w:tr>
      <w:tr w14:paraId="3F1E53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7B76FE97">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110C2D3E">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白乳胶</w:t>
            </w:r>
          </w:p>
        </w:tc>
        <w:tc>
          <w:tcPr>
            <w:tcW w:w="1437" w:type="dxa"/>
            <w:tcBorders>
              <w:tl2br w:val="nil"/>
              <w:tr2bl w:val="nil"/>
            </w:tcBorders>
            <w:vAlign w:val="center"/>
          </w:tcPr>
          <w:p w14:paraId="0E1589FA">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5D421459">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21DA7077">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747AA03E">
            <w:pPr>
              <w:jc w:val="center"/>
              <w:rPr>
                <w:rFonts w:hint="eastAsia" w:ascii="宋体" w:hAnsi="宋体" w:eastAsia="宋体" w:cs="宋体"/>
                <w:sz w:val="21"/>
                <w:szCs w:val="24"/>
                <w:lang w:val="en-US" w:eastAsia="zh-CN"/>
              </w:rPr>
            </w:pPr>
          </w:p>
        </w:tc>
      </w:tr>
      <w:tr w14:paraId="5129B9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04EC418E">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5A3D98EC">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木蜡油</w:t>
            </w:r>
          </w:p>
        </w:tc>
        <w:tc>
          <w:tcPr>
            <w:tcW w:w="1437" w:type="dxa"/>
            <w:tcBorders>
              <w:tl2br w:val="nil"/>
              <w:tr2bl w:val="nil"/>
            </w:tcBorders>
            <w:vAlign w:val="center"/>
          </w:tcPr>
          <w:p w14:paraId="683B820B">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0DE986D0">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6420E170">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4B9881C0">
            <w:pPr>
              <w:jc w:val="center"/>
              <w:rPr>
                <w:rFonts w:hint="eastAsia" w:ascii="宋体" w:hAnsi="宋体" w:eastAsia="宋体" w:cs="宋体"/>
                <w:sz w:val="21"/>
                <w:szCs w:val="24"/>
                <w:lang w:val="en-US" w:eastAsia="zh-CN"/>
              </w:rPr>
            </w:pPr>
          </w:p>
        </w:tc>
      </w:tr>
      <w:tr w14:paraId="269A3F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08578EE3">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5B1592EF">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固化剂</w:t>
            </w:r>
          </w:p>
        </w:tc>
        <w:tc>
          <w:tcPr>
            <w:tcW w:w="1437" w:type="dxa"/>
            <w:tcBorders>
              <w:tl2br w:val="nil"/>
              <w:tr2bl w:val="nil"/>
            </w:tcBorders>
            <w:vAlign w:val="center"/>
          </w:tcPr>
          <w:p w14:paraId="0CDDBEED">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6A097C67">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4525D07B">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w:t>
            </w:r>
          </w:p>
        </w:tc>
        <w:tc>
          <w:tcPr>
            <w:tcW w:w="1570" w:type="dxa"/>
            <w:vMerge w:val="continue"/>
            <w:tcBorders>
              <w:tl2br w:val="nil"/>
              <w:tr2bl w:val="nil"/>
            </w:tcBorders>
            <w:vAlign w:val="center"/>
          </w:tcPr>
          <w:p w14:paraId="355F904B">
            <w:pPr>
              <w:jc w:val="center"/>
              <w:rPr>
                <w:rFonts w:hint="eastAsia" w:ascii="宋体" w:hAnsi="宋体" w:eastAsia="宋体" w:cs="宋体"/>
                <w:sz w:val="21"/>
                <w:szCs w:val="24"/>
                <w:lang w:val="en-US" w:eastAsia="zh-CN"/>
              </w:rPr>
            </w:pPr>
          </w:p>
        </w:tc>
      </w:tr>
      <w:tr w14:paraId="48E837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4466C03E">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1ABB0106">
            <w:pPr>
              <w:spacing w:line="240" w:lineRule="auto"/>
              <w:ind w:firstLine="0" w:firstLineChars="0"/>
              <w:jc w:val="center"/>
              <w:rPr>
                <w:rFonts w:hint="eastAsia" w:ascii="Times New Roman" w:hAnsi="Times New Roman" w:cs="Times New Roman"/>
                <w:sz w:val="21"/>
                <w:szCs w:val="21"/>
                <w:lang w:val="en-US" w:eastAsia="zh-CN"/>
              </w:rPr>
            </w:pPr>
            <w:r>
              <w:rPr>
                <w:rFonts w:hint="eastAsia" w:eastAsia="宋体" w:cs="Times New Roman"/>
                <w:sz w:val="21"/>
                <w:szCs w:val="21"/>
                <w:lang w:val="en-US" w:eastAsia="zh-CN"/>
              </w:rPr>
              <w:t>拼板胶</w:t>
            </w:r>
          </w:p>
        </w:tc>
        <w:tc>
          <w:tcPr>
            <w:tcW w:w="1437" w:type="dxa"/>
            <w:tcBorders>
              <w:tl2br w:val="nil"/>
              <w:tr2bl w:val="nil"/>
            </w:tcBorders>
            <w:vAlign w:val="center"/>
          </w:tcPr>
          <w:p w14:paraId="7D61873C">
            <w:pPr>
              <w:spacing w:before="0"/>
              <w:ind w:left="0" w:right="0"/>
              <w:jc w:val="center"/>
              <w:rPr>
                <w:rFonts w:hint="eastAsia" w:ascii="Times New Roman" w:hAnsi="Times New Roman"/>
                <w:b w:val="0"/>
                <w:bCs/>
                <w:sz w:val="21"/>
                <w:lang w:val="en-US" w:eastAsia="zh-CN"/>
              </w:rPr>
            </w:pPr>
            <w:r>
              <w:rPr>
                <w:rFonts w:hint="eastAsia" w:ascii="Times New Roman" w:hAnsi="Times New Roman"/>
                <w:b w:val="0"/>
                <w:bCs/>
                <w:sz w:val="21"/>
                <w:lang w:val="en-US" w:eastAsia="zh-CN"/>
              </w:rPr>
              <w:t>0.05</w:t>
            </w:r>
          </w:p>
        </w:tc>
        <w:tc>
          <w:tcPr>
            <w:tcW w:w="1300" w:type="dxa"/>
            <w:tcBorders>
              <w:tl2br w:val="nil"/>
              <w:tr2bl w:val="nil"/>
            </w:tcBorders>
            <w:vAlign w:val="center"/>
          </w:tcPr>
          <w:p w14:paraId="56509D6D">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10</w:t>
            </w:r>
          </w:p>
        </w:tc>
        <w:tc>
          <w:tcPr>
            <w:tcW w:w="1232" w:type="dxa"/>
            <w:tcBorders>
              <w:tl2br w:val="nil"/>
              <w:tr2bl w:val="nil"/>
            </w:tcBorders>
            <w:vAlign w:val="center"/>
          </w:tcPr>
          <w:p w14:paraId="18926B47">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0.005</w:t>
            </w:r>
          </w:p>
        </w:tc>
        <w:tc>
          <w:tcPr>
            <w:tcW w:w="1570" w:type="dxa"/>
            <w:vMerge w:val="continue"/>
            <w:tcBorders>
              <w:tl2br w:val="nil"/>
              <w:tr2bl w:val="nil"/>
            </w:tcBorders>
            <w:vAlign w:val="center"/>
          </w:tcPr>
          <w:p w14:paraId="2929A5BA">
            <w:pPr>
              <w:jc w:val="center"/>
              <w:rPr>
                <w:rFonts w:hint="eastAsia" w:ascii="宋体" w:hAnsi="宋体" w:eastAsia="宋体" w:cs="宋体"/>
                <w:sz w:val="21"/>
                <w:szCs w:val="24"/>
                <w:lang w:val="en-US" w:eastAsia="zh-CN"/>
              </w:rPr>
            </w:pPr>
          </w:p>
        </w:tc>
      </w:tr>
      <w:tr w14:paraId="08FE5B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0498F08D">
            <w:pPr>
              <w:pStyle w:val="140"/>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14:paraId="417FECBC">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46346394">
            <w:pPr>
              <w:jc w:val="center"/>
              <w:rPr>
                <w:rFonts w:hint="eastAsia" w:ascii="宋体" w:hAnsi="宋体" w:eastAsia="宋体" w:cs="宋体"/>
                <w:sz w:val="21"/>
                <w:szCs w:val="24"/>
                <w:lang w:val="en-US" w:eastAsia="zh-CN"/>
              </w:rPr>
            </w:pPr>
          </w:p>
        </w:tc>
      </w:tr>
      <w:tr w14:paraId="421120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tcBorders>
              <w:tl2br w:val="nil"/>
              <w:tr2bl w:val="nil"/>
            </w:tcBorders>
            <w:vAlign w:val="center"/>
          </w:tcPr>
          <w:p w14:paraId="7B6B9F4B">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污水处理设施</w:t>
            </w:r>
          </w:p>
        </w:tc>
        <w:tc>
          <w:tcPr>
            <w:tcW w:w="1984" w:type="dxa"/>
            <w:tcBorders>
              <w:tl2br w:val="nil"/>
              <w:tr2bl w:val="nil"/>
            </w:tcBorders>
            <w:vAlign w:val="center"/>
          </w:tcPr>
          <w:p w14:paraId="50864097">
            <w:pPr>
              <w:pStyle w:val="140"/>
              <w:spacing w:before="0"/>
              <w:ind w:left="0" w:right="0"/>
              <w:rPr>
                <w:rFonts w:hint="eastAsia" w:ascii="Times New Roman" w:hAnsi="Times New Roman" w:eastAsia="宋体"/>
                <w:b w:val="0"/>
                <w:bCs/>
                <w:sz w:val="21"/>
                <w:lang w:val="en-US" w:eastAsia="zh-CN"/>
              </w:rPr>
            </w:pPr>
            <w:r>
              <w:rPr>
                <w:rFonts w:hint="eastAsia" w:ascii="Times New Roman" w:hAnsi="Times New Roman"/>
                <w:b w:val="0"/>
                <w:bCs/>
                <w:sz w:val="21"/>
                <w:lang w:val="en-US" w:eastAsia="zh-CN"/>
              </w:rPr>
              <w:t>水帘废水</w:t>
            </w:r>
          </w:p>
        </w:tc>
        <w:tc>
          <w:tcPr>
            <w:tcW w:w="1437" w:type="dxa"/>
            <w:tcBorders>
              <w:tl2br w:val="nil"/>
              <w:tr2bl w:val="nil"/>
            </w:tcBorders>
            <w:vAlign w:val="center"/>
          </w:tcPr>
          <w:p w14:paraId="4106C88C">
            <w:pPr>
              <w:pStyle w:val="140"/>
              <w:spacing w:before="0"/>
              <w:ind w:left="0" w:right="0"/>
              <w:rPr>
                <w:rFonts w:hint="default" w:ascii="Times New Roman" w:hAnsi="Times New Roman" w:eastAsia="宋体"/>
                <w:b w:val="0"/>
                <w:bCs/>
                <w:sz w:val="21"/>
                <w:lang w:val="en-US" w:eastAsia="zh-CN"/>
              </w:rPr>
            </w:pPr>
            <w:r>
              <w:rPr>
                <w:rFonts w:hint="eastAsia" w:ascii="Times New Roman" w:hAnsi="Times New Roman"/>
                <w:b w:val="0"/>
                <w:bCs/>
                <w:sz w:val="21"/>
                <w:lang w:val="en-US" w:eastAsia="zh-CN"/>
              </w:rPr>
              <w:t>4</w:t>
            </w:r>
          </w:p>
        </w:tc>
        <w:tc>
          <w:tcPr>
            <w:tcW w:w="1300" w:type="dxa"/>
            <w:tcBorders>
              <w:tl2br w:val="nil"/>
              <w:tr2bl w:val="nil"/>
            </w:tcBorders>
            <w:vAlign w:val="center"/>
          </w:tcPr>
          <w:p w14:paraId="6EF0A010">
            <w:pPr>
              <w:pStyle w:val="140"/>
              <w:spacing w:before="0"/>
              <w:ind w:left="0" w:right="0"/>
              <w:rPr>
                <w:rFonts w:hint="default" w:ascii="Times New Roman" w:hAnsi="Times New Roman" w:eastAsia="宋体"/>
                <w:b/>
                <w:sz w:val="21"/>
                <w:lang w:val="en-US" w:eastAsia="zh-CN"/>
              </w:rPr>
            </w:pPr>
            <w:r>
              <w:rPr>
                <w:rFonts w:hint="eastAsia" w:ascii="Times New Roman" w:hAnsi="Times New Roman"/>
                <w:b w:val="0"/>
                <w:bCs/>
                <w:sz w:val="21"/>
                <w:lang w:val="en-US" w:eastAsia="zh-CN"/>
              </w:rPr>
              <w:t>100</w:t>
            </w:r>
          </w:p>
        </w:tc>
        <w:tc>
          <w:tcPr>
            <w:tcW w:w="1232" w:type="dxa"/>
            <w:tcBorders>
              <w:tl2br w:val="nil"/>
              <w:tr2bl w:val="nil"/>
            </w:tcBorders>
            <w:vAlign w:val="center"/>
          </w:tcPr>
          <w:p w14:paraId="77FECFB3">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0.04</w:t>
            </w:r>
          </w:p>
        </w:tc>
        <w:tc>
          <w:tcPr>
            <w:tcW w:w="1570" w:type="dxa"/>
            <w:vMerge w:val="restart"/>
            <w:tcBorders>
              <w:tl2br w:val="nil"/>
              <w:tr2bl w:val="nil"/>
            </w:tcBorders>
            <w:vAlign w:val="center"/>
          </w:tcPr>
          <w:p w14:paraId="56836CEF">
            <w:pPr>
              <w:jc w:val="center"/>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037487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335E95D6">
            <w:pPr>
              <w:pStyle w:val="140"/>
              <w:spacing w:before="0"/>
              <w:ind w:left="0" w:leftChars="0" w:right="0" w:rightChars="0"/>
              <w:rPr>
                <w:rFonts w:ascii="Times New Roman" w:hAnsi="Times New Roman" w:eastAsia="宋体" w:cs="宋体"/>
                <w:b/>
                <w:kern w:val="2"/>
                <w:sz w:val="21"/>
                <w:szCs w:val="24"/>
                <w:lang w:val="en-US" w:eastAsia="zh-CN" w:bidi="ar-SA"/>
              </w:rPr>
            </w:pPr>
            <w:r>
              <w:rPr>
                <w:rFonts w:ascii="Times New Roman" w:hAnsi="Times New Roman"/>
                <w:b/>
                <w:sz w:val="21"/>
              </w:rPr>
              <w:t>ΣQi/qi</w:t>
            </w:r>
          </w:p>
        </w:tc>
        <w:tc>
          <w:tcPr>
            <w:tcW w:w="1232" w:type="dxa"/>
            <w:tcBorders>
              <w:tl2br w:val="nil"/>
              <w:tr2bl w:val="nil"/>
            </w:tcBorders>
            <w:vAlign w:val="center"/>
          </w:tcPr>
          <w:p w14:paraId="1AD3E305">
            <w:pPr>
              <w:pStyle w:val="140"/>
              <w:spacing w:before="0"/>
              <w:ind w:right="0" w:rightChars="0"/>
              <w:jc w:val="center"/>
              <w:rPr>
                <w:rFonts w:hint="default" w:ascii="Times New Roman" w:hAnsi="宋体" w:eastAsia="宋体" w:cs="宋体"/>
                <w:kern w:val="2"/>
                <w:sz w:val="21"/>
                <w:szCs w:val="24"/>
                <w:lang w:val="en-US" w:eastAsia="zh-CN" w:bidi="ar-SA"/>
              </w:rPr>
            </w:pPr>
            <w:r>
              <w:rPr>
                <w:rFonts w:hint="eastAsia" w:ascii="Times New Roman"/>
                <w:w w:val="100"/>
                <w:sz w:val="21"/>
                <w:lang w:val="en-US" w:eastAsia="zh-CN"/>
              </w:rPr>
              <w:t>0.04</w:t>
            </w:r>
          </w:p>
        </w:tc>
        <w:tc>
          <w:tcPr>
            <w:tcW w:w="1570" w:type="dxa"/>
            <w:vMerge w:val="continue"/>
            <w:tcBorders>
              <w:tl2br w:val="nil"/>
              <w:tr2bl w:val="nil"/>
            </w:tcBorders>
            <w:vAlign w:val="center"/>
          </w:tcPr>
          <w:p w14:paraId="0D7394A0">
            <w:pPr>
              <w:jc w:val="center"/>
              <w:rPr>
                <w:rFonts w:hint="eastAsia" w:ascii="宋体" w:hAnsi="宋体" w:eastAsia="宋体" w:cs="宋体"/>
                <w:sz w:val="21"/>
                <w:szCs w:val="24"/>
              </w:rPr>
            </w:pPr>
          </w:p>
        </w:tc>
      </w:tr>
      <w:tr w14:paraId="6A9A82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34C72827">
            <w:pPr>
              <w:jc w:val="center"/>
              <w:rPr>
                <w:sz w:val="2"/>
                <w:szCs w:val="2"/>
              </w:rPr>
            </w:pPr>
            <w:r>
              <w:rPr>
                <w:rFonts w:hint="eastAsia" w:ascii="Times New Roman" w:eastAsia="宋体"/>
                <w:sz w:val="21"/>
                <w:lang w:val="en-US" w:eastAsia="zh-CN"/>
              </w:rPr>
              <w:t>危废仓库</w:t>
            </w:r>
          </w:p>
        </w:tc>
        <w:tc>
          <w:tcPr>
            <w:tcW w:w="1984" w:type="dxa"/>
            <w:tcBorders>
              <w:tl2br w:val="nil"/>
              <w:tr2bl w:val="nil"/>
            </w:tcBorders>
            <w:vAlign w:val="center"/>
          </w:tcPr>
          <w:p w14:paraId="387F3E8E">
            <w:pPr>
              <w:pStyle w:val="14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kern w:val="0"/>
                <w:sz w:val="21"/>
                <w:szCs w:val="21"/>
                <w:lang w:val="en-US" w:eastAsia="zh-CN" w:bidi="zh-CN"/>
              </w:rPr>
            </w:pPr>
            <w:r>
              <w:rPr>
                <w:rFonts w:hint="eastAsia" w:ascii="Times New Roman" w:hAnsi="Times New Roman" w:cs="Times New Roman"/>
                <w:kern w:val="2"/>
                <w:sz w:val="21"/>
                <w:szCs w:val="21"/>
                <w:lang w:val="en-US" w:eastAsia="zh-CN" w:bidi="ar-SA"/>
              </w:rPr>
              <w:t>废包装桶</w:t>
            </w:r>
          </w:p>
        </w:tc>
        <w:tc>
          <w:tcPr>
            <w:tcW w:w="1437" w:type="dxa"/>
            <w:tcBorders>
              <w:tl2br w:val="nil"/>
              <w:tr2bl w:val="nil"/>
            </w:tcBorders>
            <w:vAlign w:val="center"/>
          </w:tcPr>
          <w:p w14:paraId="590C10D5">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0.5</w:t>
            </w:r>
          </w:p>
        </w:tc>
        <w:tc>
          <w:tcPr>
            <w:tcW w:w="1300" w:type="dxa"/>
            <w:tcBorders>
              <w:tl2br w:val="nil"/>
              <w:tr2bl w:val="nil"/>
            </w:tcBorders>
            <w:vAlign w:val="center"/>
          </w:tcPr>
          <w:p w14:paraId="250C5D77">
            <w:pPr>
              <w:pStyle w:val="140"/>
              <w:spacing w:before="0"/>
              <w:ind w:left="0" w:right="0"/>
              <w:rPr>
                <w:rFonts w:hint="default" w:ascii="Times New Roman" w:eastAsia="宋体"/>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628A44ED">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0.01</w:t>
            </w:r>
          </w:p>
        </w:tc>
        <w:tc>
          <w:tcPr>
            <w:tcW w:w="1570" w:type="dxa"/>
            <w:vMerge w:val="continue"/>
            <w:tcBorders>
              <w:tl2br w:val="nil"/>
              <w:tr2bl w:val="nil"/>
            </w:tcBorders>
            <w:vAlign w:val="center"/>
          </w:tcPr>
          <w:p w14:paraId="237A6EF4">
            <w:pPr>
              <w:jc w:val="center"/>
              <w:rPr>
                <w:sz w:val="2"/>
                <w:szCs w:val="2"/>
              </w:rPr>
            </w:pPr>
          </w:p>
        </w:tc>
      </w:tr>
      <w:tr w14:paraId="10C628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3B823679">
            <w:pPr>
              <w:jc w:val="center"/>
              <w:rPr>
                <w:sz w:val="2"/>
                <w:szCs w:val="2"/>
              </w:rPr>
            </w:pPr>
          </w:p>
        </w:tc>
        <w:tc>
          <w:tcPr>
            <w:tcW w:w="1984" w:type="dxa"/>
            <w:tcBorders>
              <w:tl2br w:val="nil"/>
              <w:tr2bl w:val="nil"/>
            </w:tcBorders>
            <w:vAlign w:val="center"/>
          </w:tcPr>
          <w:p w14:paraId="35DF8F8B">
            <w:pPr>
              <w:widowControl/>
              <w:jc w:val="center"/>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2"/>
                <w:sz w:val="21"/>
                <w:szCs w:val="21"/>
                <w:lang w:val="en-US" w:eastAsia="zh-CN" w:bidi="ar-SA"/>
              </w:rPr>
              <w:t>废活性炭</w:t>
            </w:r>
          </w:p>
        </w:tc>
        <w:tc>
          <w:tcPr>
            <w:tcW w:w="1437" w:type="dxa"/>
            <w:tcBorders>
              <w:tl2br w:val="nil"/>
              <w:tr2bl w:val="nil"/>
            </w:tcBorders>
            <w:vAlign w:val="center"/>
          </w:tcPr>
          <w:p w14:paraId="11FCC7E8">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55D3BAFE">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70AC31C8">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0.04</w:t>
            </w:r>
          </w:p>
        </w:tc>
        <w:tc>
          <w:tcPr>
            <w:tcW w:w="1570" w:type="dxa"/>
            <w:vMerge w:val="continue"/>
            <w:tcBorders>
              <w:tl2br w:val="nil"/>
              <w:tr2bl w:val="nil"/>
            </w:tcBorders>
            <w:vAlign w:val="center"/>
          </w:tcPr>
          <w:p w14:paraId="11E9CD1D">
            <w:pPr>
              <w:jc w:val="center"/>
              <w:rPr>
                <w:sz w:val="2"/>
                <w:szCs w:val="2"/>
              </w:rPr>
            </w:pPr>
          </w:p>
        </w:tc>
      </w:tr>
      <w:tr w14:paraId="6CC723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6AD1D183">
            <w:pPr>
              <w:jc w:val="center"/>
              <w:rPr>
                <w:sz w:val="2"/>
                <w:szCs w:val="2"/>
              </w:rPr>
            </w:pPr>
          </w:p>
        </w:tc>
        <w:tc>
          <w:tcPr>
            <w:tcW w:w="1984" w:type="dxa"/>
            <w:tcBorders>
              <w:tl2br w:val="nil"/>
              <w:tr2bl w:val="nil"/>
            </w:tcBorders>
            <w:vAlign w:val="center"/>
          </w:tcPr>
          <w:p w14:paraId="67D63EFE">
            <w:pPr>
              <w:widowControl w:val="0"/>
              <w:spacing w:line="240" w:lineRule="auto"/>
              <w:ind w:left="0" w:leftChars="0" w:firstLine="0" w:firstLineChars="0"/>
              <w:jc w:val="center"/>
              <w:rPr>
                <w:rFonts w:hint="eastAsia" w:ascii="Times New Roman" w:hAnsi="Times New Roman" w:eastAsia="宋体" w:cs="Times New Roman"/>
                <w:kern w:val="0"/>
                <w:sz w:val="21"/>
                <w:szCs w:val="21"/>
                <w:lang w:val="en-US" w:eastAsia="zh-CN" w:bidi="zh-CN"/>
              </w:rPr>
            </w:pPr>
            <w:r>
              <w:rPr>
                <w:rFonts w:hint="default" w:ascii="宋体" w:hAnsi="宋体" w:eastAsia="宋体" w:cs="Times New Roman"/>
                <w:color w:val="000000"/>
                <w:kern w:val="0"/>
                <w:sz w:val="21"/>
                <w:szCs w:val="21"/>
                <w:lang w:val="en-US" w:eastAsia="zh-CN" w:bidi="ar-SA"/>
              </w:rPr>
              <w:t>漆渣</w:t>
            </w:r>
          </w:p>
        </w:tc>
        <w:tc>
          <w:tcPr>
            <w:tcW w:w="1437" w:type="dxa"/>
            <w:tcBorders>
              <w:tl2br w:val="nil"/>
              <w:tr2bl w:val="nil"/>
            </w:tcBorders>
            <w:vAlign w:val="center"/>
          </w:tcPr>
          <w:p w14:paraId="062B1CC9">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4</w:t>
            </w:r>
          </w:p>
        </w:tc>
        <w:tc>
          <w:tcPr>
            <w:tcW w:w="1300" w:type="dxa"/>
            <w:tcBorders>
              <w:tl2br w:val="nil"/>
              <w:tr2bl w:val="nil"/>
            </w:tcBorders>
            <w:vAlign w:val="center"/>
          </w:tcPr>
          <w:p w14:paraId="177CD06D">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22755A02">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0.08</w:t>
            </w:r>
          </w:p>
        </w:tc>
        <w:tc>
          <w:tcPr>
            <w:tcW w:w="1570" w:type="dxa"/>
            <w:vMerge w:val="continue"/>
            <w:tcBorders>
              <w:tl2br w:val="nil"/>
              <w:tr2bl w:val="nil"/>
            </w:tcBorders>
            <w:vAlign w:val="center"/>
          </w:tcPr>
          <w:p w14:paraId="7AD05957">
            <w:pPr>
              <w:jc w:val="center"/>
              <w:rPr>
                <w:sz w:val="2"/>
                <w:szCs w:val="2"/>
              </w:rPr>
            </w:pPr>
          </w:p>
        </w:tc>
      </w:tr>
      <w:tr w14:paraId="749FAC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181FD6F6">
            <w:pPr>
              <w:jc w:val="center"/>
              <w:rPr>
                <w:sz w:val="2"/>
                <w:szCs w:val="2"/>
              </w:rPr>
            </w:pPr>
          </w:p>
        </w:tc>
        <w:tc>
          <w:tcPr>
            <w:tcW w:w="1984" w:type="dxa"/>
            <w:tcBorders>
              <w:tl2br w:val="nil"/>
              <w:tr2bl w:val="nil"/>
            </w:tcBorders>
            <w:vAlign w:val="center"/>
          </w:tcPr>
          <w:p w14:paraId="419F6E00">
            <w:pPr>
              <w:keepNext w:val="0"/>
              <w:keepLines w:val="0"/>
              <w:pageBreakBefore w:val="0"/>
              <w:kinsoku/>
              <w:wordWrap/>
              <w:overflowPunct/>
              <w:topLinePunct w:val="0"/>
              <w:autoSpaceDE/>
              <w:autoSpaceDN/>
              <w:bidi w:val="0"/>
              <w:adjustRightInd/>
              <w:snapToGrid/>
              <w:jc w:val="center"/>
              <w:textAlignment w:val="auto"/>
              <w:rPr>
                <w:rFonts w:hint="eastAsia"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废刷子</w:t>
            </w:r>
          </w:p>
        </w:tc>
        <w:tc>
          <w:tcPr>
            <w:tcW w:w="1437" w:type="dxa"/>
            <w:tcBorders>
              <w:tl2br w:val="nil"/>
              <w:tr2bl w:val="nil"/>
            </w:tcBorders>
            <w:vAlign w:val="center"/>
          </w:tcPr>
          <w:p w14:paraId="3EE3E5DA">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0C8E0212">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4C598491">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0.002</w:t>
            </w:r>
          </w:p>
        </w:tc>
        <w:tc>
          <w:tcPr>
            <w:tcW w:w="1570" w:type="dxa"/>
            <w:vMerge w:val="continue"/>
            <w:tcBorders>
              <w:tl2br w:val="nil"/>
              <w:tr2bl w:val="nil"/>
            </w:tcBorders>
            <w:vAlign w:val="center"/>
          </w:tcPr>
          <w:p w14:paraId="17AA229E">
            <w:pPr>
              <w:jc w:val="center"/>
              <w:rPr>
                <w:sz w:val="2"/>
                <w:szCs w:val="2"/>
              </w:rPr>
            </w:pPr>
          </w:p>
        </w:tc>
      </w:tr>
      <w:tr w14:paraId="16555A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50F1A86B">
            <w:pPr>
              <w:jc w:val="center"/>
              <w:rPr>
                <w:sz w:val="2"/>
                <w:szCs w:val="2"/>
              </w:rPr>
            </w:pPr>
          </w:p>
        </w:tc>
        <w:tc>
          <w:tcPr>
            <w:tcW w:w="1984" w:type="dxa"/>
            <w:tcBorders>
              <w:tl2br w:val="nil"/>
              <w:tr2bl w:val="nil"/>
            </w:tcBorders>
            <w:vAlign w:val="center"/>
          </w:tcPr>
          <w:p w14:paraId="4CA446F5">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sz w:val="21"/>
                <w:szCs w:val="21"/>
                <w:lang w:val="en-US" w:eastAsia="zh-CN"/>
              </w:rPr>
              <w:t>胶渣</w:t>
            </w:r>
          </w:p>
        </w:tc>
        <w:tc>
          <w:tcPr>
            <w:tcW w:w="1437" w:type="dxa"/>
            <w:tcBorders>
              <w:tl2br w:val="nil"/>
              <w:tr2bl w:val="nil"/>
            </w:tcBorders>
            <w:vAlign w:val="center"/>
          </w:tcPr>
          <w:p w14:paraId="299EBFAF">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24058ADD">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7BFB5009">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0.002</w:t>
            </w:r>
          </w:p>
        </w:tc>
        <w:tc>
          <w:tcPr>
            <w:tcW w:w="1570" w:type="dxa"/>
            <w:vMerge w:val="continue"/>
            <w:tcBorders>
              <w:tl2br w:val="nil"/>
              <w:tr2bl w:val="nil"/>
            </w:tcBorders>
            <w:vAlign w:val="center"/>
          </w:tcPr>
          <w:p w14:paraId="7142CF3F">
            <w:pPr>
              <w:jc w:val="center"/>
              <w:rPr>
                <w:sz w:val="2"/>
                <w:szCs w:val="2"/>
              </w:rPr>
            </w:pPr>
          </w:p>
        </w:tc>
      </w:tr>
      <w:tr w14:paraId="7CC183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0B7D61CC">
            <w:pPr>
              <w:jc w:val="center"/>
              <w:rPr>
                <w:sz w:val="2"/>
                <w:szCs w:val="2"/>
              </w:rPr>
            </w:pPr>
          </w:p>
        </w:tc>
        <w:tc>
          <w:tcPr>
            <w:tcW w:w="1984" w:type="dxa"/>
            <w:tcBorders>
              <w:tl2br w:val="nil"/>
              <w:tr2bl w:val="nil"/>
            </w:tcBorders>
            <w:vAlign w:val="center"/>
          </w:tcPr>
          <w:p w14:paraId="49754091">
            <w:pPr>
              <w:widowControl w:val="0"/>
              <w:spacing w:line="240" w:lineRule="auto"/>
              <w:ind w:left="0" w:leftChars="0" w:firstLine="0" w:firstLineChars="0"/>
              <w:jc w:val="center"/>
              <w:rPr>
                <w:rFonts w:hint="eastAsia"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废过滤棉</w:t>
            </w:r>
          </w:p>
        </w:tc>
        <w:tc>
          <w:tcPr>
            <w:tcW w:w="1437" w:type="dxa"/>
            <w:tcBorders>
              <w:tl2br w:val="nil"/>
              <w:tr2bl w:val="nil"/>
            </w:tcBorders>
            <w:vAlign w:val="center"/>
          </w:tcPr>
          <w:p w14:paraId="619E1FCE">
            <w:pPr>
              <w:pStyle w:val="140"/>
              <w:spacing w:before="0"/>
              <w:ind w:left="0" w:leftChars="0" w:right="0" w:rightChars="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02ABF507">
            <w:pPr>
              <w:spacing w:before="0"/>
              <w:ind w:left="0" w:right="0"/>
              <w:jc w:val="center"/>
              <w:rPr>
                <w:rFonts w:hint="default" w:ascii="Times New Roman"/>
                <w:sz w:val="21"/>
                <w:lang w:val="en-US" w:eastAsia="zh-CN"/>
              </w:rPr>
            </w:pPr>
            <w:r>
              <w:rPr>
                <w:rFonts w:hint="eastAsia" w:ascii="Times New Roman"/>
                <w:sz w:val="21"/>
                <w:lang w:val="en-US" w:eastAsia="zh-CN"/>
              </w:rPr>
              <w:t>50</w:t>
            </w:r>
          </w:p>
        </w:tc>
        <w:tc>
          <w:tcPr>
            <w:tcW w:w="1232" w:type="dxa"/>
            <w:tcBorders>
              <w:tl2br w:val="nil"/>
              <w:tr2bl w:val="nil"/>
            </w:tcBorders>
            <w:vAlign w:val="center"/>
          </w:tcPr>
          <w:p w14:paraId="5EAF8450">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0.002</w:t>
            </w:r>
          </w:p>
        </w:tc>
        <w:tc>
          <w:tcPr>
            <w:tcW w:w="1570" w:type="dxa"/>
            <w:vMerge w:val="continue"/>
            <w:tcBorders>
              <w:tl2br w:val="nil"/>
              <w:tr2bl w:val="nil"/>
            </w:tcBorders>
            <w:vAlign w:val="center"/>
          </w:tcPr>
          <w:p w14:paraId="6E25F7EE">
            <w:pPr>
              <w:jc w:val="center"/>
              <w:rPr>
                <w:sz w:val="2"/>
                <w:szCs w:val="2"/>
              </w:rPr>
            </w:pPr>
          </w:p>
        </w:tc>
      </w:tr>
      <w:tr w14:paraId="611F25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138B8C79">
            <w:pPr>
              <w:jc w:val="center"/>
              <w:rPr>
                <w:sz w:val="2"/>
                <w:szCs w:val="2"/>
              </w:rPr>
            </w:pPr>
          </w:p>
        </w:tc>
        <w:tc>
          <w:tcPr>
            <w:tcW w:w="1984" w:type="dxa"/>
            <w:tcBorders>
              <w:tl2br w:val="nil"/>
              <w:tr2bl w:val="nil"/>
            </w:tcBorders>
            <w:vAlign w:val="center"/>
          </w:tcPr>
          <w:p w14:paraId="323F8CC7">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含油废水</w:t>
            </w:r>
          </w:p>
        </w:tc>
        <w:tc>
          <w:tcPr>
            <w:tcW w:w="1437" w:type="dxa"/>
            <w:tcBorders>
              <w:tl2br w:val="nil"/>
              <w:tr2bl w:val="nil"/>
            </w:tcBorders>
            <w:vAlign w:val="center"/>
          </w:tcPr>
          <w:p w14:paraId="46E5BA62">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0.015</w:t>
            </w:r>
          </w:p>
        </w:tc>
        <w:tc>
          <w:tcPr>
            <w:tcW w:w="1300" w:type="dxa"/>
            <w:tcBorders>
              <w:tl2br w:val="nil"/>
              <w:tr2bl w:val="nil"/>
            </w:tcBorders>
            <w:vAlign w:val="center"/>
          </w:tcPr>
          <w:p w14:paraId="083FFD6E">
            <w:pPr>
              <w:spacing w:before="0"/>
              <w:ind w:left="0" w:right="0"/>
              <w:jc w:val="center"/>
              <w:rPr>
                <w:rFonts w:hint="default" w:ascii="Times New Roman"/>
                <w:sz w:val="21"/>
                <w:lang w:val="en-US" w:eastAsia="zh-CN"/>
              </w:rPr>
            </w:pPr>
            <w:r>
              <w:rPr>
                <w:rFonts w:hint="eastAsia"/>
                <w:sz w:val="21"/>
                <w:lang w:val="en-US" w:eastAsia="zh-CN"/>
              </w:rPr>
              <w:t>50</w:t>
            </w:r>
          </w:p>
        </w:tc>
        <w:tc>
          <w:tcPr>
            <w:tcW w:w="1232" w:type="dxa"/>
            <w:tcBorders>
              <w:tl2br w:val="nil"/>
              <w:tr2bl w:val="nil"/>
            </w:tcBorders>
            <w:vAlign w:val="center"/>
          </w:tcPr>
          <w:p w14:paraId="448B5BAC">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0.0003</w:t>
            </w:r>
          </w:p>
        </w:tc>
        <w:tc>
          <w:tcPr>
            <w:tcW w:w="1570" w:type="dxa"/>
            <w:vMerge w:val="continue"/>
            <w:tcBorders>
              <w:tl2br w:val="nil"/>
              <w:tr2bl w:val="nil"/>
            </w:tcBorders>
            <w:vAlign w:val="center"/>
          </w:tcPr>
          <w:p w14:paraId="7CBAE1DC">
            <w:pPr>
              <w:jc w:val="center"/>
              <w:rPr>
                <w:sz w:val="2"/>
                <w:szCs w:val="2"/>
              </w:rPr>
            </w:pPr>
          </w:p>
        </w:tc>
      </w:tr>
      <w:tr w14:paraId="5AE532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continue"/>
            <w:tcBorders>
              <w:tl2br w:val="nil"/>
              <w:tr2bl w:val="nil"/>
            </w:tcBorders>
            <w:vAlign w:val="center"/>
          </w:tcPr>
          <w:p w14:paraId="6F50719A">
            <w:pPr>
              <w:jc w:val="center"/>
              <w:rPr>
                <w:sz w:val="2"/>
                <w:szCs w:val="2"/>
              </w:rPr>
            </w:pPr>
          </w:p>
        </w:tc>
        <w:tc>
          <w:tcPr>
            <w:tcW w:w="1984" w:type="dxa"/>
            <w:tcBorders>
              <w:tl2br w:val="nil"/>
              <w:tr2bl w:val="nil"/>
            </w:tcBorders>
            <w:vAlign w:val="center"/>
          </w:tcPr>
          <w:p w14:paraId="00FE8F9C">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废劳保用品</w:t>
            </w:r>
          </w:p>
        </w:tc>
        <w:tc>
          <w:tcPr>
            <w:tcW w:w="1437" w:type="dxa"/>
            <w:tcBorders>
              <w:tl2br w:val="nil"/>
              <w:tr2bl w:val="nil"/>
            </w:tcBorders>
            <w:vAlign w:val="center"/>
          </w:tcPr>
          <w:p w14:paraId="418687F5">
            <w:pPr>
              <w:pStyle w:val="140"/>
              <w:spacing w:before="0"/>
              <w:ind w:left="0" w:leftChars="0" w:right="0" w:rightChars="0"/>
              <w:rPr>
                <w:rFonts w:hint="eastAsia" w:ascii="Times New Roman"/>
                <w:sz w:val="21"/>
                <w:lang w:val="en-US" w:eastAsia="zh-CN"/>
              </w:rPr>
            </w:pPr>
            <w:r>
              <w:rPr>
                <w:rFonts w:hint="eastAsia" w:ascii="Times New Roman"/>
                <w:sz w:val="21"/>
                <w:lang w:val="en-US" w:eastAsia="zh-CN"/>
              </w:rPr>
              <w:t>0.07</w:t>
            </w:r>
          </w:p>
        </w:tc>
        <w:tc>
          <w:tcPr>
            <w:tcW w:w="1300" w:type="dxa"/>
            <w:tcBorders>
              <w:tl2br w:val="nil"/>
              <w:tr2bl w:val="nil"/>
            </w:tcBorders>
            <w:vAlign w:val="center"/>
          </w:tcPr>
          <w:p w14:paraId="69637E7D">
            <w:pPr>
              <w:spacing w:before="0"/>
              <w:ind w:left="0" w:right="0"/>
              <w:jc w:val="center"/>
              <w:rPr>
                <w:rFonts w:hint="default" w:ascii="Times New Roman"/>
                <w:sz w:val="21"/>
                <w:lang w:val="en-US" w:eastAsia="zh-CN"/>
              </w:rPr>
            </w:pPr>
            <w:r>
              <w:rPr>
                <w:rFonts w:hint="eastAsia"/>
                <w:sz w:val="21"/>
                <w:lang w:val="en-US" w:eastAsia="zh-CN"/>
              </w:rPr>
              <w:t>50</w:t>
            </w:r>
          </w:p>
        </w:tc>
        <w:tc>
          <w:tcPr>
            <w:tcW w:w="1232" w:type="dxa"/>
            <w:tcBorders>
              <w:tl2br w:val="nil"/>
              <w:tr2bl w:val="nil"/>
            </w:tcBorders>
            <w:vAlign w:val="center"/>
          </w:tcPr>
          <w:p w14:paraId="19FE59F2">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0.00014</w:t>
            </w:r>
          </w:p>
        </w:tc>
        <w:tc>
          <w:tcPr>
            <w:tcW w:w="1570" w:type="dxa"/>
            <w:vMerge w:val="continue"/>
            <w:tcBorders>
              <w:tl2br w:val="nil"/>
              <w:tr2bl w:val="nil"/>
            </w:tcBorders>
            <w:vAlign w:val="center"/>
          </w:tcPr>
          <w:p w14:paraId="785241EA">
            <w:pPr>
              <w:jc w:val="center"/>
              <w:rPr>
                <w:sz w:val="2"/>
                <w:szCs w:val="2"/>
              </w:rPr>
            </w:pPr>
          </w:p>
        </w:tc>
      </w:tr>
      <w:tr w14:paraId="49C8BF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5918" w:type="dxa"/>
            <w:gridSpan w:val="4"/>
            <w:tcBorders>
              <w:tl2br w:val="nil"/>
              <w:tr2bl w:val="nil"/>
            </w:tcBorders>
            <w:vAlign w:val="center"/>
          </w:tcPr>
          <w:p w14:paraId="7AA74379">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2DE57296">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0.79144</w:t>
            </w:r>
          </w:p>
        </w:tc>
        <w:tc>
          <w:tcPr>
            <w:tcW w:w="1570" w:type="dxa"/>
            <w:vMerge w:val="continue"/>
            <w:tcBorders>
              <w:tl2br w:val="nil"/>
              <w:tr2bl w:val="nil"/>
            </w:tcBorders>
            <w:vAlign w:val="center"/>
          </w:tcPr>
          <w:p w14:paraId="2023EF57">
            <w:pPr>
              <w:jc w:val="center"/>
              <w:rPr>
                <w:sz w:val="2"/>
                <w:szCs w:val="2"/>
              </w:rPr>
            </w:pPr>
          </w:p>
        </w:tc>
      </w:tr>
    </w:tbl>
    <w:p w14:paraId="40BB8E45">
      <w:pPr>
        <w:pStyle w:val="13"/>
        <w:spacing w:before="0" w:after="0" w:line="500" w:lineRule="exact"/>
        <w:ind w:left="0" w:right="0" w:firstLine="480" w:firstLineChars="200"/>
        <w:jc w:val="left"/>
        <w:rPr>
          <w:rFonts w:eastAsia="宋体"/>
          <w:spacing w:val="-10"/>
        </w:rPr>
      </w:pPr>
      <w:r>
        <w:rPr>
          <w:rFonts w:hint="default" w:ascii="Times New Roman" w:hAnsi="Times New Roman" w:eastAsia="宋体" w:cs="Times New Roman"/>
        </w:rPr>
        <w:t>根据上述计算，公司涉</w:t>
      </w:r>
      <w:r>
        <w:rPr>
          <w:rFonts w:hint="eastAsia" w:eastAsia="宋体" w:cs="Times New Roman"/>
          <w:lang w:val="en-US" w:eastAsia="zh-CN"/>
        </w:rPr>
        <w:t>水</w:t>
      </w:r>
      <w:r>
        <w:rPr>
          <w:rFonts w:hint="default" w:ascii="Times New Roman" w:hAnsi="Times New Roman" w:eastAsia="宋体" w:cs="Times New Roman"/>
        </w:rPr>
        <w:t>风险物质数量与临界量比值为</w:t>
      </w:r>
      <w:r>
        <w:rPr>
          <w:rFonts w:hint="eastAsia" w:eastAsia="宋体" w:cs="Times New Roman"/>
          <w:lang w:val="en-US" w:eastAsia="zh-CN"/>
        </w:rPr>
        <w:t>Q</w:t>
      </w:r>
      <w:r>
        <w:rPr>
          <w:rFonts w:hint="eastAsia" w:eastAsia="宋体" w:cs="Times New Roman"/>
          <w:highlight w:val="none"/>
          <w:lang w:val="en-US" w:eastAsia="zh-CN"/>
        </w:rPr>
        <w:t>=0.79144</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hint="default" w:ascii="Times New Roman" w:hAnsi="Times New Roman" w:eastAsia="宋体" w:cs="Times New Roman"/>
        </w:rPr>
        <w:t>直接评为一般环境风险等级Q0。</w:t>
      </w:r>
    </w:p>
    <w:p w14:paraId="27EB2EF1">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79" w:name="7.2.2生产工艺过程与水环境风险控制水平（M）评估"/>
      <w:bookmarkEnd w:id="279"/>
      <w:bookmarkStart w:id="280" w:name="_Toc23938"/>
      <w:bookmarkStart w:id="281" w:name="_Toc3360"/>
      <w:bookmarkStart w:id="282" w:name="_TOC_250014"/>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生产工艺过程与</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环境风险控制水平（M）评估</w:t>
      </w:r>
      <w:bookmarkEnd w:id="280"/>
      <w:bookmarkEnd w:id="281"/>
    </w:p>
    <w:bookmarkEnd w:id="282"/>
    <w:p w14:paraId="4D5F2A5D">
      <w:pPr>
        <w:pStyle w:val="13"/>
        <w:spacing w:before="0" w:after="0" w:line="500" w:lineRule="exact"/>
        <w:ind w:left="0" w:right="0" w:firstLine="440" w:firstLineChars="200"/>
        <w:jc w:val="left"/>
        <w:rPr>
          <w:rFonts w:eastAsia="宋体"/>
          <w:spacing w:val="-10"/>
        </w:rPr>
      </w:pPr>
      <w:r>
        <w:rPr>
          <w:rFonts w:eastAsia="宋体"/>
          <w:spacing w:val="-10"/>
        </w:rPr>
        <w:t>采用评分法对企业生产工艺过程、水环境风险防控措施及突发水环境事件发生情况进行评估，将各项分值累加，确定企业生产工艺过程与水环境风险控制水平（</w:t>
      </w:r>
      <w:r>
        <w:rPr>
          <w:rFonts w:ascii="Times New Roman" w:eastAsia="宋体"/>
          <w:spacing w:val="-10"/>
        </w:rPr>
        <w:t>M</w:t>
      </w:r>
      <w:r>
        <w:rPr>
          <w:rFonts w:eastAsia="宋体"/>
          <w:spacing w:val="-10"/>
        </w:rPr>
        <w:t>）。</w:t>
      </w:r>
    </w:p>
    <w:p w14:paraId="3CC8D261">
      <w:pPr>
        <w:pStyle w:val="13"/>
        <w:numPr>
          <w:ilvl w:val="-1"/>
          <w:numId w:val="0"/>
        </w:numPr>
        <w:spacing w:before="0" w:after="0" w:line="500" w:lineRule="exact"/>
        <w:ind w:left="480" w:leftChars="200" w:right="0" w:firstLine="0" w:firstLineChars="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1</w:t>
      </w:r>
      <w:r>
        <w:rPr>
          <w:rFonts w:hint="eastAsia" w:eastAsia="宋体"/>
          <w:spacing w:val="-10"/>
          <w:sz w:val="24"/>
          <w:lang w:eastAsia="zh-CN"/>
        </w:rPr>
        <w:t>）</w:t>
      </w:r>
      <w:r>
        <w:rPr>
          <w:rFonts w:eastAsia="宋体"/>
          <w:spacing w:val="-10"/>
          <w:sz w:val="24"/>
        </w:rPr>
        <w:t>生产工艺过程含有风险工艺和设备情况</w:t>
      </w:r>
    </w:p>
    <w:p w14:paraId="44F87F16">
      <w:pPr>
        <w:pStyle w:val="13"/>
        <w:spacing w:before="0" w:after="0" w:line="500" w:lineRule="exact"/>
        <w:ind w:left="0" w:firstLine="440" w:firstLineChars="200"/>
        <w:jc w:val="left"/>
        <w:rPr>
          <w:rFonts w:eastAsia="宋体"/>
          <w:spacing w:val="-10"/>
        </w:rPr>
      </w:pPr>
      <w:r>
        <w:rPr>
          <w:rFonts w:eastAsia="宋体"/>
          <w:spacing w:val="-10"/>
        </w:rPr>
        <w:t>从上文章节</w:t>
      </w:r>
      <w:r>
        <w:rPr>
          <w:rFonts w:ascii="Times New Roman" w:eastAsia="宋体"/>
          <w:spacing w:val="-10"/>
        </w:rPr>
        <w:t>3.5.</w:t>
      </w:r>
      <w:r>
        <w:rPr>
          <w:rFonts w:hint="eastAsia" w:eastAsia="宋体"/>
          <w:spacing w:val="-10"/>
          <w:lang w:eastAsia="zh-CN"/>
        </w:rPr>
        <w:t>3</w:t>
      </w:r>
      <w:r>
        <w:rPr>
          <w:rFonts w:eastAsia="宋体"/>
          <w:spacing w:val="-10"/>
        </w:rPr>
        <w:t>可知，企业生产工艺过程评分为</w:t>
      </w:r>
      <w:r>
        <w:rPr>
          <w:rFonts w:hint="eastAsia" w:eastAsia="宋体"/>
          <w:spacing w:val="-10"/>
          <w:lang w:val="en-US" w:eastAsia="zh-CN"/>
        </w:rPr>
        <w:t>5</w:t>
      </w:r>
      <w:r>
        <w:rPr>
          <w:rFonts w:eastAsia="宋体"/>
          <w:spacing w:val="-10"/>
        </w:rPr>
        <w:t>分。</w:t>
      </w:r>
    </w:p>
    <w:p w14:paraId="3C0749D5">
      <w:pPr>
        <w:pStyle w:val="13"/>
        <w:numPr>
          <w:ilvl w:val="-1"/>
          <w:numId w:val="0"/>
        </w:numPr>
        <w:spacing w:before="0" w:after="0" w:line="500" w:lineRule="exact"/>
        <w:ind w:left="480" w:leftChars="200" w:right="0" w:firstLine="0" w:firstLineChars="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2</w:t>
      </w:r>
      <w:r>
        <w:rPr>
          <w:rFonts w:hint="eastAsia" w:eastAsia="宋体"/>
          <w:spacing w:val="-10"/>
          <w:sz w:val="24"/>
          <w:lang w:eastAsia="zh-CN"/>
        </w:rPr>
        <w:t>）</w:t>
      </w:r>
      <w:r>
        <w:rPr>
          <w:rFonts w:eastAsia="宋体"/>
          <w:spacing w:val="-10"/>
          <w:sz w:val="24"/>
        </w:rPr>
        <w:t>水环境风险防控措施及突发水环境事件发生情况</w:t>
      </w:r>
    </w:p>
    <w:p w14:paraId="78A42C45">
      <w:pPr>
        <w:pStyle w:val="13"/>
        <w:spacing w:before="0" w:after="0" w:line="500" w:lineRule="exact"/>
        <w:ind w:left="0" w:right="0" w:firstLine="440" w:firstLineChars="200"/>
        <w:jc w:val="left"/>
      </w:pPr>
      <w:r>
        <w:rPr>
          <w:rFonts w:eastAsia="宋体"/>
          <w:spacing w:val="-10"/>
        </w:rPr>
        <w:t>公司水环境风险防控措施与突发水环境事件发生情况评估评估指标见</w:t>
      </w:r>
      <w:r>
        <w:rPr>
          <w:rFonts w:ascii="Times New Roman" w:eastAsia="宋体"/>
          <w:spacing w:val="-10"/>
        </w:rPr>
        <w:t>7-7</w:t>
      </w:r>
      <w:r>
        <w:rPr>
          <w:rFonts w:eastAsia="宋体"/>
          <w:spacing w:val="-10"/>
        </w:rPr>
        <w:t>。对各项评估指标分别评分、计算总和，各项指标分值合计最高为</w:t>
      </w:r>
      <w:r>
        <w:rPr>
          <w:rFonts w:ascii="Times New Roman" w:eastAsia="宋体"/>
          <w:spacing w:val="-10"/>
        </w:rPr>
        <w:t>70</w:t>
      </w:r>
      <w:r>
        <w:rPr>
          <w:rFonts w:eastAsia="宋体"/>
          <w:spacing w:val="-10"/>
        </w:rPr>
        <w:t>分。</w:t>
      </w:r>
    </w:p>
    <w:p w14:paraId="3E260EB3">
      <w:pPr>
        <w:spacing w:after="0" w:line="362" w:lineRule="auto"/>
        <w:sectPr>
          <w:pgSz w:w="11910" w:h="16840"/>
          <w:pgMar w:top="1360" w:right="1320" w:bottom="1200" w:left="1500" w:header="882" w:footer="1017" w:gutter="0"/>
          <w:pgBorders>
            <w:top w:val="none" w:sz="0" w:space="0"/>
            <w:left w:val="none" w:sz="0" w:space="0"/>
            <w:bottom w:val="none" w:sz="0" w:space="0"/>
            <w:right w:val="none" w:sz="0" w:space="0"/>
          </w:pgBorders>
          <w:cols w:space="720" w:num="1"/>
        </w:sectPr>
      </w:pPr>
    </w:p>
    <w:p w14:paraId="156A6C75">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7-7</w:t>
      </w:r>
      <w:r>
        <w:rPr>
          <w:rFonts w:eastAsiaTheme="minorEastAsia"/>
          <w:b/>
          <w:color w:val="000000" w:themeColor="text1"/>
          <w:sz w:val="24"/>
          <w:szCs w:val="24"/>
          <w14:textFill>
            <w14:solidFill>
              <w14:schemeClr w14:val="tx1"/>
            </w14:solidFill>
          </w14:textFill>
        </w:rPr>
        <w:t>企业水环境风险防控措施及突发水环境事件发生情况评估</w:t>
      </w:r>
    </w:p>
    <w:tbl>
      <w:tblPr>
        <w:tblStyle w:val="37"/>
        <w:tblW w:w="13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1"/>
        <w:gridCol w:w="7376"/>
        <w:gridCol w:w="540"/>
        <w:gridCol w:w="4188"/>
        <w:gridCol w:w="612"/>
      </w:tblGrid>
      <w:tr w14:paraId="52E36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atLeast"/>
          <w:tblHeader/>
        </w:trPr>
        <w:tc>
          <w:tcPr>
            <w:tcW w:w="9017" w:type="dxa"/>
            <w:gridSpan w:val="3"/>
            <w:vAlign w:val="center"/>
          </w:tcPr>
          <w:p w14:paraId="79D3FEAD">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4800" w:type="dxa"/>
            <w:gridSpan w:val="2"/>
            <w:vAlign w:val="center"/>
          </w:tcPr>
          <w:p w14:paraId="6806F9CC">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14:paraId="1985A2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8" w:hRule="atLeast"/>
          <w:tblHeader/>
        </w:trPr>
        <w:tc>
          <w:tcPr>
            <w:tcW w:w="1101" w:type="dxa"/>
            <w:vAlign w:val="center"/>
          </w:tcPr>
          <w:p w14:paraId="33A34556">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7376" w:type="dxa"/>
            <w:vAlign w:val="center"/>
          </w:tcPr>
          <w:p w14:paraId="125332F3">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540" w:type="dxa"/>
            <w:vAlign w:val="center"/>
          </w:tcPr>
          <w:p w14:paraId="1B4876B2">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4188" w:type="dxa"/>
            <w:vAlign w:val="center"/>
          </w:tcPr>
          <w:p w14:paraId="34D8E7A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612" w:type="dxa"/>
            <w:vAlign w:val="center"/>
          </w:tcPr>
          <w:p w14:paraId="51CDB0EE">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r>
      <w:tr w14:paraId="05B8FF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2" w:hRule="atLeast"/>
        </w:trPr>
        <w:tc>
          <w:tcPr>
            <w:tcW w:w="1101" w:type="dxa"/>
            <w:vMerge w:val="restart"/>
            <w:vAlign w:val="center"/>
          </w:tcPr>
          <w:p w14:paraId="4C330F5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截流措施</w:t>
            </w:r>
          </w:p>
        </w:tc>
        <w:tc>
          <w:tcPr>
            <w:tcW w:w="7376" w:type="dxa"/>
            <w:vAlign w:val="center"/>
          </w:tcPr>
          <w:p w14:paraId="0C9AFF8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（1）环境风险单元设防渗漏、防腐蚀、防截流措施；且</w:t>
            </w:r>
          </w:p>
          <w:p w14:paraId="30011F96">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（2）装置围堰与罐区防火堤（围堰）外设排水切换阀，正常情况下通向雨水系统的阀门关闭，通向事故存液池、应急事故水池、清净</w:t>
            </w:r>
            <w:r>
              <w:rPr>
                <w:rFonts w:hint="eastAsia" w:cs="Times New Roman" w:eastAsiaTheme="minorEastAsia"/>
                <w:color w:val="000000" w:themeColor="text1"/>
                <w:sz w:val="21"/>
                <w:szCs w:val="21"/>
                <w:lang w:val="en-US" w:eastAsia="zh-CN"/>
                <w14:textFill>
                  <w14:solidFill>
                    <w14:schemeClr w14:val="tx1"/>
                  </w14:solidFill>
                </w14:textFill>
              </w:rPr>
              <w:t>废</w:t>
            </w:r>
            <w:r>
              <w:rPr>
                <w:rFonts w:hint="default" w:ascii="Times New Roman" w:hAnsi="Times New Roman" w:cs="Times New Roman" w:eastAsiaTheme="minorEastAsia"/>
                <w:color w:val="000000" w:themeColor="text1"/>
                <w:sz w:val="21"/>
                <w:szCs w:val="21"/>
                <w14:textFill>
                  <w14:solidFill>
                    <w14:schemeClr w14:val="tx1"/>
                  </w14:solidFill>
                </w14:textFill>
              </w:rPr>
              <w:t>水排放缓冲池或污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系统的阀门打开；且</w:t>
            </w:r>
          </w:p>
          <w:p w14:paraId="35180138">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（3）前述措施日常管理及维护良好，有专人负责阀门切换或设置自动切换措施，保证初期雨水、泄漏物和受污染的消防水排入污水系统。</w:t>
            </w:r>
          </w:p>
        </w:tc>
        <w:tc>
          <w:tcPr>
            <w:tcW w:w="540" w:type="dxa"/>
            <w:vAlign w:val="center"/>
          </w:tcPr>
          <w:p w14:paraId="1F57FAF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C32CA50">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①各个环境风险单元设防渗漏、防腐蚀、防淋溶、防流失措施；</w:t>
            </w:r>
          </w:p>
          <w:p w14:paraId="2D133DE1">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②雨水排口均设置切断阀，企业设有专人对厂区进行巡视，负责排水装置阀门切换。</w:t>
            </w:r>
          </w:p>
        </w:tc>
        <w:tc>
          <w:tcPr>
            <w:tcW w:w="612" w:type="dxa"/>
            <w:vMerge w:val="restart"/>
            <w:vAlign w:val="center"/>
          </w:tcPr>
          <w:p w14:paraId="5C8725D9">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3604D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01" w:type="dxa"/>
            <w:vMerge w:val="continue"/>
            <w:vAlign w:val="center"/>
          </w:tcPr>
          <w:p w14:paraId="3535316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4F92584">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有任意一个环境风险单元（包括可能发生液体泄漏或产生液体泄漏的危险废物贮存场所）的截流措施不符合上述任意一条要求的。</w:t>
            </w:r>
          </w:p>
        </w:tc>
        <w:tc>
          <w:tcPr>
            <w:tcW w:w="540" w:type="dxa"/>
            <w:vAlign w:val="center"/>
          </w:tcPr>
          <w:p w14:paraId="09DCFF3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7834162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656E5E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CD0F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502E1C3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事故废水收集措施</w:t>
            </w:r>
          </w:p>
        </w:tc>
        <w:tc>
          <w:tcPr>
            <w:tcW w:w="7376" w:type="dxa"/>
            <w:vAlign w:val="center"/>
          </w:tcPr>
          <w:p w14:paraId="361D11CF">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（1）按相关设计规范设置应急事故水池、事故存液池或清净废水排放缓冲池等事故排水收集设施，并根据相关设计规范、下游环境风险受体敏感程度和易发生极端天气情况，设计事故排水收集设施的容量；且</w:t>
            </w:r>
          </w:p>
          <w:p w14:paraId="2543F3EB">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（2）确保事故排水收集设施在事故状态下能顺利收集泄漏物和消防水，日常保持足够的事故排水缓冲容量，且</w:t>
            </w:r>
          </w:p>
          <w:p w14:paraId="2BA78FB9">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（3）通过协议单位或自建管线，能将所收集废水送至厂区内污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设施处理</w:t>
            </w:r>
          </w:p>
        </w:tc>
        <w:tc>
          <w:tcPr>
            <w:tcW w:w="540" w:type="dxa"/>
            <w:vAlign w:val="center"/>
          </w:tcPr>
          <w:p w14:paraId="07DA030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F0A3EF7">
            <w:pPr>
              <w:snapToGrid w:val="0"/>
              <w:rPr>
                <w:rFonts w:hint="default" w:ascii="Times New Roman" w:hAnsi="Times New Roman" w:cs="Times New Roman" w:eastAsiaTheme="minorEastAsia"/>
                <w:color w:val="000000" w:themeColor="text1"/>
                <w:kern w:val="0"/>
                <w:sz w:val="21"/>
                <w:szCs w:val="21"/>
                <w:vertAlign w:val="superscript"/>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w:t>
            </w:r>
            <w:r>
              <w:rPr>
                <w:rFonts w:hint="default" w:ascii="Times New Roman" w:hAnsi="Times New Roman" w:cs="Times New Roman" w:eastAsiaTheme="minorEastAsia"/>
                <w:color w:val="000000" w:themeColor="text1"/>
                <w:kern w:val="0"/>
                <w:sz w:val="21"/>
                <w:szCs w:val="21"/>
                <w14:textFill>
                  <w14:solidFill>
                    <w14:schemeClr w14:val="tx1"/>
                  </w14:solidFill>
                </w14:textFill>
              </w:rPr>
              <w:t>公司</w:t>
            </w:r>
            <w:r>
              <w:rPr>
                <w:rFonts w:hint="eastAsia" w:cs="Times New Roman" w:eastAsiaTheme="minorEastAsia"/>
                <w:color w:val="000000" w:themeColor="text1"/>
                <w:kern w:val="0"/>
                <w:sz w:val="21"/>
                <w:szCs w:val="21"/>
                <w:lang w:val="en-US" w:eastAsia="zh-CN"/>
                <w14:textFill>
                  <w14:solidFill>
                    <w14:schemeClr w14:val="tx1"/>
                  </w14:solidFill>
                </w14:textFill>
              </w:rPr>
              <w:t>依托租赁厂区设置300</w:t>
            </w:r>
            <w:r>
              <w:rPr>
                <w:rFonts w:hint="eastAsia" w:cs="Times New Roman" w:eastAsiaTheme="minorEastAsia"/>
                <w:color w:val="000000" w:themeColor="text1"/>
                <w:kern w:val="0"/>
                <w:sz w:val="21"/>
                <w:szCs w:val="21"/>
                <w:highlight w:val="none"/>
                <w:lang w:eastAsia="zh-CN"/>
                <w14:textFill>
                  <w14:solidFill>
                    <w14:schemeClr w14:val="tx1"/>
                  </w14:solidFill>
                </w14:textFill>
              </w:rPr>
              <w:t>m</w:t>
            </w:r>
            <w:r>
              <w:rPr>
                <w:rFonts w:hint="eastAsia" w:cs="Times New Roman" w:eastAsiaTheme="minorEastAsia"/>
                <w:color w:val="000000" w:themeColor="text1"/>
                <w:kern w:val="0"/>
                <w:sz w:val="21"/>
                <w:szCs w:val="21"/>
                <w:highlight w:val="none"/>
                <w:vertAlign w:val="superscript"/>
                <w:lang w:eastAsia="zh-CN"/>
                <w14:textFill>
                  <w14:solidFill>
                    <w14:schemeClr w14:val="tx1"/>
                  </w14:solidFill>
                </w14:textFill>
              </w:rPr>
              <w:t>3</w:t>
            </w:r>
            <w:r>
              <w:rPr>
                <w:rFonts w:hint="default" w:ascii="Times New Roman" w:hAnsi="Times New Roman" w:cs="Times New Roman" w:eastAsiaTheme="minorEastAsia"/>
                <w:color w:val="000000" w:themeColor="text1"/>
                <w:kern w:val="0"/>
                <w:sz w:val="21"/>
                <w:szCs w:val="21"/>
                <w14:textFill>
                  <w14:solidFill>
                    <w14:schemeClr w14:val="tx1"/>
                  </w14:solidFill>
                </w14:textFill>
              </w:rPr>
              <w:t>事故应急池</w:t>
            </w:r>
            <w:r>
              <w:rPr>
                <w:rFonts w:hint="eastAsia" w:ascii="Times New Roman" w:hAnsi="Times New Roman" w:cs="Times New Roman" w:eastAsiaTheme="minorEastAsia"/>
                <w:color w:val="000000" w:themeColor="text1"/>
                <w:kern w:val="0"/>
                <w:sz w:val="21"/>
                <w:szCs w:val="21"/>
                <w:lang w:val="en-US" w:eastAsia="zh-CN"/>
                <w14:textFill>
                  <w14:solidFill>
                    <w14:schemeClr w14:val="tx1"/>
                  </w14:solidFill>
                </w14:textFill>
              </w:rPr>
              <w:t>。</w:t>
            </w:r>
          </w:p>
          <w:p w14:paraId="474F764D">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（2）事故应急事池位置合理，各区域废水</w:t>
            </w:r>
            <w:r>
              <w:rPr>
                <w:rFonts w:hint="eastAsia" w:cs="Times New Roman" w:eastAsiaTheme="minorEastAsia"/>
                <w:color w:val="000000" w:themeColor="text1"/>
                <w:sz w:val="21"/>
                <w:szCs w:val="21"/>
                <w:lang w:val="en-US" w:eastAsia="zh-CN"/>
                <w14:textFill>
                  <w14:solidFill>
                    <w14:schemeClr w14:val="tx1"/>
                  </w14:solidFill>
                </w14:textFill>
              </w:rPr>
              <w:t>可自流</w:t>
            </w:r>
            <w:r>
              <w:rPr>
                <w:rFonts w:hint="default" w:ascii="Times New Roman" w:hAnsi="Times New Roman" w:cs="Times New Roman" w:eastAsiaTheme="minorEastAsia"/>
                <w:color w:val="000000" w:themeColor="text1"/>
                <w:sz w:val="21"/>
                <w:szCs w:val="21"/>
                <w14:textFill>
                  <w14:solidFill>
                    <w14:schemeClr w14:val="tx1"/>
                  </w14:solidFill>
                </w14:textFill>
              </w:rPr>
              <w:t>进事故池内</w:t>
            </w:r>
          </w:p>
          <w:p w14:paraId="7996E980">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restart"/>
            <w:vAlign w:val="center"/>
          </w:tcPr>
          <w:p w14:paraId="75D90AA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66155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287EA08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9DE2AFC">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有任意一个环境风险单元（包括可能发生液体泄漏或产生液体泄漏物的危险废物贮存场所）的事故排水收集措施不符合上述任意一条要求的</w:t>
            </w:r>
          </w:p>
        </w:tc>
        <w:tc>
          <w:tcPr>
            <w:tcW w:w="540" w:type="dxa"/>
            <w:vAlign w:val="center"/>
          </w:tcPr>
          <w:p w14:paraId="566F1D5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54037C0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B6B2D8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5AA9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72A77AE1">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清净废水系统风险防控措施</w:t>
            </w:r>
          </w:p>
        </w:tc>
        <w:tc>
          <w:tcPr>
            <w:tcW w:w="7376" w:type="dxa"/>
            <w:vAlign w:val="center"/>
          </w:tcPr>
          <w:p w14:paraId="201AAF3E">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清净废水</w:t>
            </w:r>
            <w:r>
              <w:rPr>
                <w:rFonts w:hint="eastAsia" w:cs="Times New Roman" w:eastAsiaTheme="minorEastAsia"/>
                <w:color w:val="000000" w:themeColor="text1"/>
                <w:sz w:val="21"/>
                <w:szCs w:val="21"/>
                <w:highlight w:val="none"/>
                <w:lang w:eastAsia="zh-CN"/>
                <w14:textFill>
                  <w14:solidFill>
                    <w14:schemeClr w14:val="tx1"/>
                  </w14:solidFill>
                </w14:textFill>
              </w:rPr>
              <w:t>；</w:t>
            </w:r>
            <w:r>
              <w:rPr>
                <w:rFonts w:hint="eastAsia" w:cs="Times New Roman" w:eastAsiaTheme="minorEastAsia"/>
                <w:color w:val="000000" w:themeColor="text1"/>
                <w:sz w:val="21"/>
                <w:szCs w:val="21"/>
                <w:highlight w:val="none"/>
                <w:lang w:val="en-US" w:eastAsia="zh-CN"/>
                <w14:textFill>
                  <w14:solidFill>
                    <w14:schemeClr w14:val="tx1"/>
                  </w14:solidFill>
                </w14:textFill>
              </w:rPr>
              <w:t>或</w:t>
            </w:r>
          </w:p>
          <w:p w14:paraId="3E6C5BF1">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（2）厂区内清净废水均可排入废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系统；或清污分流，且清净废水系统具有下述所有措施：</w:t>
            </w:r>
          </w:p>
          <w:p w14:paraId="0AB843F9">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具有收集受污染的清净废水</w:t>
            </w:r>
            <w:r>
              <w:rPr>
                <w:rFonts w:hint="eastAsia" w:cs="Times New Roman" w:eastAsiaTheme="minorEastAsia"/>
                <w:color w:val="000000" w:themeColor="text1"/>
                <w:spacing w:val="-4"/>
                <w:sz w:val="21"/>
                <w:szCs w:val="21"/>
                <w:lang w:val="en-US" w:eastAsia="zh-CN"/>
                <w14:textFill>
                  <w14:solidFill>
                    <w14:schemeClr w14:val="tx1"/>
                  </w14:solidFill>
                </w14:textFill>
              </w:rPr>
              <w:t>的缓冲池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（或收集池），池内日常保持足够的事故排水缓冲容量；池内设有提升设施或通过自流，能将所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14:paraId="359601E5">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具有清净废水系统的总排口监视及关闭设施，有专人负责在紧急情况下关闭清净废水总排口，防止受污染的清净废水和泄漏物进入外环境。</w:t>
            </w:r>
          </w:p>
        </w:tc>
        <w:tc>
          <w:tcPr>
            <w:tcW w:w="540" w:type="dxa"/>
            <w:vAlign w:val="center"/>
          </w:tcPr>
          <w:p w14:paraId="6BD6B256">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524B69C3">
            <w:pPr>
              <w:autoSpaceDE w:val="0"/>
              <w:autoSpaceDN w:val="0"/>
              <w:adjustRightInd w:val="0"/>
              <w:snapToGrid w:val="0"/>
              <w:rPr>
                <w:rFonts w:hint="default" w:ascii="Times New Roman" w:hAnsi="Times New Roman" w:cs="Times New Roman" w:eastAsiaTheme="minorEastAsia"/>
                <w:color w:val="000000" w:themeColor="text1"/>
                <w:sz w:val="21"/>
                <w:szCs w:val="21"/>
                <w:lang w:val="en-US"/>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不涉及清净废水。</w:t>
            </w:r>
          </w:p>
        </w:tc>
        <w:tc>
          <w:tcPr>
            <w:tcW w:w="612" w:type="dxa"/>
            <w:vMerge w:val="restart"/>
            <w:vAlign w:val="center"/>
          </w:tcPr>
          <w:p w14:paraId="438B93DF">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43B94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13E63F1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0C40C85">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涉及清净废水，有任意一个环境风险单元的清净废水系统风险防控措施不符合上述（2）要求的</w:t>
            </w:r>
          </w:p>
        </w:tc>
        <w:tc>
          <w:tcPr>
            <w:tcW w:w="540" w:type="dxa"/>
            <w:vAlign w:val="center"/>
          </w:tcPr>
          <w:p w14:paraId="18DEE93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4740C62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90B91D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8F5D5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5D8E6FB9">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雨排水系统风险防控措施</w:t>
            </w:r>
          </w:p>
        </w:tc>
        <w:tc>
          <w:tcPr>
            <w:tcW w:w="7376" w:type="dxa"/>
            <w:vAlign w:val="center"/>
          </w:tcPr>
          <w:p w14:paraId="2E5644B5">
            <w:pPr>
              <w:autoSpaceDE w:val="0"/>
              <w:autoSpaceDN w:val="0"/>
              <w:adjustRightInd w:val="0"/>
              <w:snapToGrid w:val="0"/>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（1）厂区内雨水均进入废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系统；或雨污分流，且雨</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排水系统具有下述所有措施：</w:t>
            </w:r>
          </w:p>
          <w:p w14:paraId="0D19C653">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highlight w:val="none"/>
                <w14:textFill>
                  <w14:solidFill>
                    <w14:schemeClr w14:val="tx1"/>
                  </w14:solidFill>
                </w14:textFill>
              </w:rPr>
              <w:t>具有收集初期雨水的收集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池或雨水监控池；池出水管上设置切断阀，正常情况下阀门关闭，防止受污染的雨水外排；池内设有提升设施或通过自流，能将所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14:paraId="44FA1AD8">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具有雨水系统外排总排口（含泄洪渠）监视及关闭设施，在紧急情况下有专人负责关闭雨水系统总排口（含与清净废水共用一套排水系统情况），防止雨水、消防水和泄漏物进入外环境；</w:t>
            </w:r>
          </w:p>
          <w:p w14:paraId="44D06E45">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（2）如果有排洪沟，排洪沟不通过生产区和罐区，或具有防止泄漏物和受污染的消防水等流入区域排洪沟的措施。</w:t>
            </w:r>
          </w:p>
        </w:tc>
        <w:tc>
          <w:tcPr>
            <w:tcW w:w="540" w:type="dxa"/>
            <w:vAlign w:val="center"/>
          </w:tcPr>
          <w:p w14:paraId="6BC49A30">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198CDD10">
            <w:pPr>
              <w:keepNext/>
              <w:keepLines/>
              <w:outlineLvl w:val="9"/>
              <w:rPr>
                <w:rFonts w:hint="default"/>
                <w:lang w:val="en-US" w:eastAsia="zh-CN"/>
              </w:rPr>
            </w:pPr>
            <w:bookmarkStart w:id="283" w:name="_Toc16736"/>
            <w:r>
              <w:rPr>
                <w:rFonts w:hint="default" w:ascii="Times New Roman" w:hAnsi="Times New Roman" w:cs="Times New Roman" w:eastAsiaTheme="minorEastAsia"/>
                <w:b w:val="0"/>
                <w:bCs w:val="0"/>
                <w:color w:val="000000" w:themeColor="text1"/>
                <w:spacing w:val="-4"/>
                <w:sz w:val="21"/>
                <w:szCs w:val="21"/>
                <w14:textFill>
                  <w14:solidFill>
                    <w14:schemeClr w14:val="tx1"/>
                  </w14:solidFill>
                </w14:textFill>
              </w:rPr>
              <w:t>厂区内雨污分流，</w:t>
            </w:r>
            <w:r>
              <w:rPr>
                <w:rFonts w:hint="eastAsia" w:cs="Times New Roman" w:eastAsiaTheme="minorEastAsia"/>
                <w:b w:val="0"/>
                <w:bCs w:val="0"/>
                <w:color w:val="000000" w:themeColor="text1"/>
                <w:spacing w:val="-4"/>
                <w:sz w:val="21"/>
                <w:szCs w:val="21"/>
                <w:lang w:val="en-US" w:eastAsia="zh-CN"/>
                <w14:textFill>
                  <w14:solidFill>
                    <w14:schemeClr w14:val="tx1"/>
                  </w14:solidFill>
                </w14:textFill>
              </w:rPr>
              <w:t>但无雨水收集池</w:t>
            </w:r>
            <w:bookmarkEnd w:id="283"/>
          </w:p>
        </w:tc>
        <w:tc>
          <w:tcPr>
            <w:tcW w:w="612" w:type="dxa"/>
            <w:vMerge w:val="restart"/>
            <w:vAlign w:val="center"/>
          </w:tcPr>
          <w:p w14:paraId="0FE8E741">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r w14:paraId="00869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163BA6E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561B087">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不符合上述要求的。</w:t>
            </w:r>
          </w:p>
        </w:tc>
        <w:tc>
          <w:tcPr>
            <w:tcW w:w="540" w:type="dxa"/>
            <w:vAlign w:val="center"/>
          </w:tcPr>
          <w:p w14:paraId="61906213">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0E6210A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8994E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52F6CD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72B46860">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生产废</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公司系统风险防控措施</w:t>
            </w:r>
          </w:p>
        </w:tc>
        <w:tc>
          <w:tcPr>
            <w:tcW w:w="7376" w:type="dxa"/>
            <w:vAlign w:val="center"/>
          </w:tcPr>
          <w:p w14:paraId="688A9FE3">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（1）无生产废水产生或外排；或</w:t>
            </w:r>
          </w:p>
          <w:p w14:paraId="277B8822">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（2）有废水外排时：</w:t>
            </w:r>
          </w:p>
          <w:p w14:paraId="38E4D6FF">
            <w:pPr>
              <w:autoSpaceDE w:val="0"/>
              <w:autoSpaceDN w:val="0"/>
              <w:adjustRightInd w:val="0"/>
              <w:snapToGrid w:val="0"/>
              <w:ind w:right="38" w:rightChars="16"/>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受污染的循环冷却水、雨水、消防水等排入生产污水系统或独立处理系统；</w:t>
            </w:r>
          </w:p>
          <w:p w14:paraId="50760BE8">
            <w:pPr>
              <w:autoSpaceDE w:val="0"/>
              <w:autoSpaceDN w:val="0"/>
              <w:adjustRightInd w:val="0"/>
              <w:snapToGrid w:val="0"/>
              <w:ind w:right="38" w:rightChars="16"/>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生产废水排放前设监控池，能够将不合格废水送废公司设施处理；</w:t>
            </w:r>
          </w:p>
          <w:p w14:paraId="0A9FBBE6">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③</w:t>
            </w:r>
            <w:r>
              <w:rPr>
                <w:rFonts w:hint="default" w:ascii="Times New Roman" w:hAnsi="Times New Roman" w:cs="Times New Roman" w:eastAsiaTheme="minorEastAsia"/>
                <w:color w:val="000000" w:themeColor="text1"/>
                <w:sz w:val="21"/>
                <w:szCs w:val="21"/>
                <w14:textFill>
                  <w14:solidFill>
                    <w14:schemeClr w14:val="tx1"/>
                  </w14:solidFill>
                </w14:textFill>
              </w:rPr>
              <w:t>如企业受污染的清净废水或雨水进入废公司系统处理，则废公司系统应设置事故水缓冲设施；</w:t>
            </w:r>
          </w:p>
          <w:p w14:paraId="0F4CFE4F">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④</w:t>
            </w:r>
            <w:r>
              <w:rPr>
                <w:rFonts w:hint="default" w:ascii="Times New Roman" w:hAnsi="Times New Roman" w:cs="Times New Roman" w:eastAsiaTheme="minorEastAsia"/>
                <w:color w:val="000000" w:themeColor="text1"/>
                <w:sz w:val="21"/>
                <w:szCs w:val="21"/>
                <w14:textFill>
                  <w14:solidFill>
                    <w14:schemeClr w14:val="tx1"/>
                  </w14:solidFill>
                </w14:textFill>
              </w:rPr>
              <w:t>具有生产废水总排口监视及关闭设施，有专人负责启闭，确保泄漏物、受污染的消防水、不合格废水不排出厂外。</w:t>
            </w:r>
          </w:p>
        </w:tc>
        <w:tc>
          <w:tcPr>
            <w:tcW w:w="540" w:type="dxa"/>
            <w:vAlign w:val="center"/>
          </w:tcPr>
          <w:p w14:paraId="4C243488">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8301591">
            <w:pPr>
              <w:autoSpaceDE w:val="0"/>
              <w:autoSpaceDN w:val="0"/>
              <w:adjustRightInd w:val="0"/>
              <w:snapToGrid w:val="0"/>
              <w:ind w:firstLine="0" w:firstLineChars="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企业无生产废水外排</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p>
        </w:tc>
        <w:tc>
          <w:tcPr>
            <w:tcW w:w="612" w:type="dxa"/>
            <w:vMerge w:val="restart"/>
            <w:vAlign w:val="center"/>
          </w:tcPr>
          <w:p w14:paraId="2640ED8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055EC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09C65CF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5AF9D87">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涉及废水排放，且不符合上述（2）中任意一条要求的。</w:t>
            </w:r>
          </w:p>
        </w:tc>
        <w:tc>
          <w:tcPr>
            <w:tcW w:w="540" w:type="dxa"/>
            <w:vAlign w:val="center"/>
          </w:tcPr>
          <w:p w14:paraId="262E9DD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5B08346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57123E4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F343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1FCDA75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废水排放去向</w:t>
            </w:r>
          </w:p>
        </w:tc>
        <w:tc>
          <w:tcPr>
            <w:tcW w:w="7376" w:type="dxa"/>
            <w:vAlign w:val="center"/>
          </w:tcPr>
          <w:p w14:paraId="4A3F7BD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无生产废水产生或外排</w:t>
            </w:r>
          </w:p>
        </w:tc>
        <w:tc>
          <w:tcPr>
            <w:tcW w:w="540" w:type="dxa"/>
            <w:vAlign w:val="center"/>
          </w:tcPr>
          <w:p w14:paraId="26BCAFD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6F28615A">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企业无生产废水外排</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p>
        </w:tc>
        <w:tc>
          <w:tcPr>
            <w:tcW w:w="612" w:type="dxa"/>
            <w:vMerge w:val="restart"/>
            <w:vAlign w:val="center"/>
          </w:tcPr>
          <w:p w14:paraId="4CCD20E6">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742D4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73B8A88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2932C31D">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（1）依法获取污水排入排水管网许可，进入城镇污公司厂；或</w:t>
            </w:r>
          </w:p>
          <w:p w14:paraId="758C2207">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（2）进去工业废水集中处理厂，或</w:t>
            </w:r>
          </w:p>
          <w:p w14:paraId="2F14B53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（3）进入其他单位</w:t>
            </w:r>
          </w:p>
        </w:tc>
        <w:tc>
          <w:tcPr>
            <w:tcW w:w="540" w:type="dxa"/>
            <w:vAlign w:val="center"/>
          </w:tcPr>
          <w:p w14:paraId="193BC8E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14:paraId="3CFDC66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086B1D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6A90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7C39184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41E348D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（1）直接进入海域或进入江、河、湖、库等水环境；或</w:t>
            </w:r>
          </w:p>
          <w:p w14:paraId="72F1A526">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（2）进入城市下水道再进入江、河、湖、库或再进入海域；或</w:t>
            </w:r>
          </w:p>
          <w:p w14:paraId="4BBF1811">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（3）未依法取得污水排入排水管网许可，进入城镇污公司厂；或</w:t>
            </w:r>
          </w:p>
          <w:p w14:paraId="71DC98BF">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（4）直接进入污灌农田或蒸发地</w:t>
            </w:r>
          </w:p>
        </w:tc>
        <w:tc>
          <w:tcPr>
            <w:tcW w:w="540" w:type="dxa"/>
            <w:vAlign w:val="center"/>
          </w:tcPr>
          <w:p w14:paraId="5D4DEB2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12</w:t>
            </w:r>
          </w:p>
        </w:tc>
        <w:tc>
          <w:tcPr>
            <w:tcW w:w="4188" w:type="dxa"/>
            <w:vMerge w:val="continue"/>
            <w:vAlign w:val="center"/>
          </w:tcPr>
          <w:p w14:paraId="147F096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E329EA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4ADEB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6716E76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厂区危险废物环境管理</w:t>
            </w:r>
          </w:p>
        </w:tc>
        <w:tc>
          <w:tcPr>
            <w:tcW w:w="7376" w:type="dxa"/>
            <w:vAlign w:val="center"/>
          </w:tcPr>
          <w:p w14:paraId="1680CF39">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（1）不涉及危险废物的；或</w:t>
            </w:r>
          </w:p>
          <w:p w14:paraId="26D7389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（2）针对危险废物分区贮存、运输、利用、处置具有完善的专业设施和风险防控措施</w:t>
            </w:r>
          </w:p>
        </w:tc>
        <w:tc>
          <w:tcPr>
            <w:tcW w:w="540" w:type="dxa"/>
            <w:vAlign w:val="center"/>
          </w:tcPr>
          <w:p w14:paraId="44A77EE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628E8204">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根据现场调查，企业危险废物具体防控措施如下：</w:t>
            </w:r>
          </w:p>
          <w:p w14:paraId="65170DCB">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（1）危险废物采用封闭厂房堆放，做到防风、防雨、防晒的要求。</w:t>
            </w:r>
          </w:p>
          <w:p w14:paraId="2810DCC9">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（2）各类危险废物按照性质进行分类堆放，并预留了搬运通道。</w:t>
            </w:r>
          </w:p>
          <w:p w14:paraId="5931348C">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（3）企业对危险废物均作了危险废物情况的记录，并在记录上注明了危险废物的名称、来源、数量、入库日期、存放库位、出库日期及接收单位名称等情况。</w:t>
            </w:r>
          </w:p>
          <w:p w14:paraId="0A3F6ACC">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（4）企业设置专门人员，定期对所贮存的危险废物包装容器及贮存设施进行检查，并对破损容器采取措施清理更换。</w:t>
            </w:r>
          </w:p>
        </w:tc>
        <w:tc>
          <w:tcPr>
            <w:tcW w:w="612" w:type="dxa"/>
            <w:vMerge w:val="restart"/>
            <w:vAlign w:val="center"/>
          </w:tcPr>
          <w:p w14:paraId="7BA4721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37EDA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740DA2C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49507B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不具备完善的危险废物贮存、运输、利用、处置设施和风险防控措施</w:t>
            </w:r>
          </w:p>
        </w:tc>
        <w:tc>
          <w:tcPr>
            <w:tcW w:w="540" w:type="dxa"/>
            <w:vAlign w:val="center"/>
          </w:tcPr>
          <w:p w14:paraId="2E1ED3A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4188" w:type="dxa"/>
            <w:vMerge w:val="continue"/>
            <w:vAlign w:val="center"/>
          </w:tcPr>
          <w:p w14:paraId="5978428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5FD367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1328A9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3E5966B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近3年突发水环境事件发生情况</w:t>
            </w:r>
          </w:p>
        </w:tc>
        <w:tc>
          <w:tcPr>
            <w:tcW w:w="7376" w:type="dxa"/>
            <w:vAlign w:val="center"/>
          </w:tcPr>
          <w:p w14:paraId="34CC902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发生过特别重大及重大等级突发水环境事件的</w:t>
            </w:r>
          </w:p>
        </w:tc>
        <w:tc>
          <w:tcPr>
            <w:tcW w:w="540" w:type="dxa"/>
            <w:vAlign w:val="center"/>
          </w:tcPr>
          <w:p w14:paraId="76E9D6B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restart"/>
            <w:vAlign w:val="center"/>
          </w:tcPr>
          <w:p w14:paraId="4F538CE3">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w:t>
            </w:r>
          </w:p>
        </w:tc>
        <w:tc>
          <w:tcPr>
            <w:tcW w:w="612" w:type="dxa"/>
            <w:vMerge w:val="restart"/>
            <w:vAlign w:val="center"/>
          </w:tcPr>
          <w:p w14:paraId="7E44501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40CD5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3432E84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359161C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发生过较大等级突发水环境事件的</w:t>
            </w:r>
          </w:p>
        </w:tc>
        <w:tc>
          <w:tcPr>
            <w:tcW w:w="540" w:type="dxa"/>
            <w:vAlign w:val="center"/>
          </w:tcPr>
          <w:p w14:paraId="5DD0890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14:paraId="56E0A72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5779148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9A299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0C41B99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71C9F47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发生过一般等级突发水环境事件的</w:t>
            </w:r>
          </w:p>
        </w:tc>
        <w:tc>
          <w:tcPr>
            <w:tcW w:w="540" w:type="dxa"/>
            <w:vAlign w:val="center"/>
          </w:tcPr>
          <w:p w14:paraId="4348DBE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w:t>
            </w:r>
          </w:p>
        </w:tc>
        <w:tc>
          <w:tcPr>
            <w:tcW w:w="4188" w:type="dxa"/>
            <w:vMerge w:val="continue"/>
            <w:vAlign w:val="center"/>
          </w:tcPr>
          <w:p w14:paraId="0FB275E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0DCEAF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F18C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07AD5FC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5F3C739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未发生突发水环境事件的</w:t>
            </w:r>
          </w:p>
        </w:tc>
        <w:tc>
          <w:tcPr>
            <w:tcW w:w="540" w:type="dxa"/>
            <w:vAlign w:val="center"/>
          </w:tcPr>
          <w:p w14:paraId="190B61B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continue"/>
            <w:vAlign w:val="center"/>
          </w:tcPr>
          <w:p w14:paraId="2E40A67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0F29531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0464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017" w:type="dxa"/>
            <w:gridSpan w:val="3"/>
            <w:vAlign w:val="center"/>
          </w:tcPr>
          <w:p w14:paraId="1964E24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合计</w:t>
            </w:r>
          </w:p>
        </w:tc>
        <w:tc>
          <w:tcPr>
            <w:tcW w:w="4188" w:type="dxa"/>
            <w:vAlign w:val="center"/>
          </w:tcPr>
          <w:p w14:paraId="0793243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612" w:type="dxa"/>
            <w:vAlign w:val="center"/>
          </w:tcPr>
          <w:p w14:paraId="2CA0AB68">
            <w:pPr>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bl>
    <w:p w14:paraId="7700D2FC">
      <w:pPr>
        <w:pStyle w:val="13"/>
        <w:spacing w:before="8"/>
        <w:rPr>
          <w:sz w:val="12"/>
        </w:rPr>
      </w:pPr>
    </w:p>
    <w:p w14:paraId="79B772DE">
      <w:pPr>
        <w:spacing w:after="0"/>
        <w:rPr>
          <w:sz w:val="21"/>
        </w:rPr>
        <w:sectPr>
          <w:footerReference r:id="rId11" w:type="default"/>
          <w:pgSz w:w="16840" w:h="11910" w:orient="landscape"/>
          <w:pgMar w:top="1180" w:right="1800" w:bottom="1200" w:left="1520" w:header="794" w:footer="1017" w:gutter="0"/>
          <w:pgBorders>
            <w:top w:val="none" w:sz="0" w:space="0"/>
            <w:left w:val="none" w:sz="0" w:space="0"/>
            <w:bottom w:val="none" w:sz="0" w:space="0"/>
            <w:right w:val="none" w:sz="0" w:space="0"/>
          </w:pgBorders>
          <w:cols w:space="720" w:num="1"/>
        </w:sectPr>
      </w:pPr>
    </w:p>
    <w:p w14:paraId="59684F62">
      <w:pPr>
        <w:pStyle w:val="13"/>
        <w:spacing w:line="20" w:lineRule="exact"/>
        <w:ind w:left="129"/>
        <w:rPr>
          <w:rFonts w:ascii="Times New Roman"/>
          <w:sz w:val="2"/>
        </w:rPr>
      </w:pPr>
    </w:p>
    <w:p w14:paraId="049F4D99">
      <w:pPr>
        <w:pStyle w:val="13"/>
        <w:numPr>
          <w:ilvl w:val="-1"/>
          <w:numId w:val="0"/>
        </w:numPr>
        <w:spacing w:before="0" w:after="0" w:line="500" w:lineRule="exact"/>
        <w:ind w:left="480" w:leftChars="200" w:right="0" w:firstLine="0" w:firstLineChars="0"/>
        <w:jc w:val="left"/>
        <w:rPr>
          <w:rFonts w:hint="eastAsia" w:ascii="Times New Roman" w:hAnsi="Times New Roman" w:eastAsia="宋体" w:cs="Times New Roman"/>
          <w:spacing w:val="-10"/>
          <w:sz w:val="24"/>
        </w:rPr>
      </w:pPr>
      <w:r>
        <w:rPr>
          <w:rFonts w:hint="eastAsia" w:ascii="Times New Roman" w:hAnsi="Times New Roman" w:eastAsia="宋体" w:cs="Times New Roman"/>
          <w:spacing w:val="-10"/>
          <w:sz w:val="24"/>
          <w:lang w:eastAsia="zh-CN"/>
        </w:rPr>
        <w:t>（</w:t>
      </w:r>
      <w:r>
        <w:rPr>
          <w:rFonts w:hint="eastAsia" w:ascii="Times New Roman" w:hAnsi="Times New Roman" w:eastAsia="宋体" w:cs="Times New Roman"/>
          <w:spacing w:val="-10"/>
          <w:sz w:val="24"/>
          <w:lang w:val="en-US" w:eastAsia="zh-CN"/>
        </w:rPr>
        <w:t>4</w:t>
      </w:r>
      <w:r>
        <w:rPr>
          <w:rFonts w:hint="eastAsia" w:ascii="Times New Roman" w:hAnsi="Times New Roman" w:eastAsia="宋体" w:cs="Times New Roman"/>
          <w:spacing w:val="-10"/>
          <w:sz w:val="24"/>
          <w:lang w:eastAsia="zh-CN"/>
        </w:rPr>
        <w:t>）</w:t>
      </w:r>
      <w:r>
        <w:rPr>
          <w:rFonts w:hint="eastAsia" w:ascii="Times New Roman" w:hAnsi="Times New Roman" w:eastAsia="宋体" w:cs="Times New Roman"/>
          <w:spacing w:val="-10"/>
          <w:sz w:val="24"/>
        </w:rPr>
        <w:t>企业生产工艺过程与大气环境风险控制水平</w:t>
      </w:r>
    </w:p>
    <w:p w14:paraId="50750719">
      <w:pPr>
        <w:pStyle w:val="13"/>
        <w:spacing w:before="0" w:after="0" w:line="500" w:lineRule="exact"/>
        <w:ind w:left="0" w:right="0" w:firstLine="440" w:firstLineChars="200"/>
        <w:jc w:val="left"/>
        <w:rPr>
          <w:rFonts w:hint="eastAsia" w:eastAsia="宋体"/>
          <w:spacing w:val="-10"/>
        </w:rPr>
      </w:pPr>
      <w:r>
        <w:rPr>
          <w:rFonts w:hint="eastAsia" w:eastAsia="宋体"/>
          <w:spacing w:val="-10"/>
        </w:rPr>
        <w:t>将企业生产工艺过程、水环境风险防控措施及突发水环境事件发生情况各项指标评估分值累加，得出生产工艺过程与大气环境风险控制水平值，按照表</w:t>
      </w:r>
      <w:r>
        <w:rPr>
          <w:rFonts w:hint="eastAsia" w:ascii="Times New Roman" w:eastAsia="宋体"/>
          <w:spacing w:val="-10"/>
        </w:rPr>
        <w:t>7-8</w:t>
      </w:r>
      <w:r>
        <w:rPr>
          <w:rFonts w:hint="eastAsia" w:eastAsia="宋体"/>
          <w:spacing w:val="-10"/>
        </w:rPr>
        <w:t>划分为</w:t>
      </w:r>
      <w:r>
        <w:rPr>
          <w:rFonts w:hint="eastAsia" w:ascii="Times New Roman" w:eastAsia="宋体"/>
          <w:spacing w:val="-10"/>
        </w:rPr>
        <w:t>4</w:t>
      </w:r>
      <w:r>
        <w:rPr>
          <w:rFonts w:hint="eastAsia" w:eastAsia="宋体"/>
          <w:spacing w:val="-10"/>
        </w:rPr>
        <w:t>个类型。</w:t>
      </w:r>
    </w:p>
    <w:p w14:paraId="320F70C6">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ascii="Times New Roman" w:hAnsi="Times New Roman" w:eastAsia="宋体" w:cs="Times New Roman"/>
          <w:b/>
          <w:bCs/>
          <w:snapToGrid w:val="0"/>
          <w:kern w:val="0"/>
          <w:sz w:val="24"/>
          <w:szCs w:val="24"/>
          <w:lang w:val="en-US" w:eastAsia="zh-CN"/>
        </w:rPr>
        <w:t>7-8</w:t>
      </w:r>
      <w:r>
        <w:rPr>
          <w:rFonts w:hint="default" w:ascii="Times New Roman" w:hAnsi="Times New Roman" w:eastAsia="宋体" w:cs="Times New Roman"/>
          <w:b/>
          <w:bCs/>
          <w:snapToGrid w:val="0"/>
          <w:kern w:val="0"/>
          <w:sz w:val="24"/>
          <w:szCs w:val="24"/>
        </w:rPr>
        <w:t>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14:paraId="1C24FB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585A113B">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14:paraId="0BEEB4A8">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14:paraId="322F6D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1B11169E">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14:paraId="2A151D91">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14:paraId="72E512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21C6D5BA">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14:paraId="6A06E8A0">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14:paraId="56EFED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3D38F20A">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14:paraId="137D7C34">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14:paraId="207771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0EF67CD5">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14:paraId="43A2E8BC">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14:paraId="451AC685">
      <w:pPr>
        <w:pStyle w:val="13"/>
        <w:spacing w:after="0" w:line="500" w:lineRule="exact"/>
        <w:ind w:left="0" w:right="0" w:firstLine="440" w:firstLineChars="200"/>
        <w:jc w:val="left"/>
        <w:rPr>
          <w:rFonts w:hint="eastAsia" w:eastAsia="宋体"/>
          <w:spacing w:val="-10"/>
        </w:rPr>
      </w:pPr>
      <w:r>
        <w:rPr>
          <w:rFonts w:hint="eastAsia" w:eastAsia="宋体"/>
          <w:spacing w:val="-10"/>
        </w:rPr>
        <w:t>由上文可知，公司环境风险及其控制水平（</w:t>
      </w:r>
      <w:r>
        <w:rPr>
          <w:rFonts w:hint="eastAsia" w:ascii="Times New Roman" w:eastAsia="宋体"/>
          <w:spacing w:val="-10"/>
        </w:rPr>
        <w:t>M</w:t>
      </w:r>
      <w:r>
        <w:rPr>
          <w:rFonts w:hint="eastAsia" w:eastAsia="宋体"/>
          <w:spacing w:val="-10"/>
        </w:rPr>
        <w:t>）现状得分</w:t>
      </w:r>
      <w:r>
        <w:rPr>
          <w:rFonts w:hint="eastAsia" w:eastAsia="宋体" w:cs="Times New Roman"/>
          <w:spacing w:val="-10"/>
          <w:lang w:val="en-US" w:eastAsia="zh-CN"/>
        </w:rPr>
        <w:t>13</w:t>
      </w:r>
      <w:r>
        <w:rPr>
          <w:rFonts w:hint="eastAsia" w:eastAsia="宋体"/>
          <w:spacing w:val="-10"/>
        </w:rPr>
        <w:t>分，企业环境风险及其控制水平为</w:t>
      </w:r>
      <w:r>
        <w:rPr>
          <w:rFonts w:hint="eastAsia" w:ascii="Times New Roman" w:eastAsia="宋体"/>
          <w:spacing w:val="-10"/>
        </w:rPr>
        <w:t>M1</w:t>
      </w:r>
      <w:r>
        <w:rPr>
          <w:rFonts w:hint="eastAsia" w:eastAsia="宋体"/>
          <w:spacing w:val="-10"/>
        </w:rPr>
        <w:t>类水平。</w:t>
      </w:r>
    </w:p>
    <w:p w14:paraId="461026B1">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84" w:name="7.2.3水环境风险受体敏感程度（E）评估"/>
      <w:bookmarkEnd w:id="284"/>
      <w:bookmarkStart w:id="285" w:name="_Toc9044"/>
      <w:bookmarkStart w:id="286" w:name="_Toc4249"/>
      <w:bookmarkStart w:id="287" w:name="_TOC_250013"/>
      <w:r>
        <w:rPr>
          <w:rFonts w:hint="eastAsia"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3水</w:t>
      </w:r>
      <w:r>
        <w:rPr>
          <w:rFonts w:hint="eastAsia" w:ascii="Times New Roman" w:hAnsi="Times New Roman" w:eastAsia="宋体" w:cs="Times New Roman"/>
          <w:color w:val="000000" w:themeColor="text1"/>
          <w14:textFill>
            <w14:solidFill>
              <w14:schemeClr w14:val="tx1"/>
            </w14:solidFill>
          </w14:textFill>
        </w:rPr>
        <w:t>环境风险受体敏感程度（E）评估</w:t>
      </w:r>
      <w:bookmarkEnd w:id="285"/>
      <w:bookmarkEnd w:id="286"/>
    </w:p>
    <w:bookmarkEnd w:id="287"/>
    <w:p w14:paraId="2ABBF2C6">
      <w:pPr>
        <w:pStyle w:val="13"/>
        <w:spacing w:before="0" w:after="0" w:line="500" w:lineRule="exact"/>
        <w:ind w:left="0" w:right="0" w:firstLine="440" w:firstLineChars="200"/>
        <w:jc w:val="left"/>
        <w:rPr>
          <w:rFonts w:hint="eastAsia" w:eastAsia="宋体"/>
          <w:spacing w:val="-10"/>
        </w:rPr>
      </w:pPr>
      <w:r>
        <w:rPr>
          <w:rFonts w:hint="eastAsia" w:eastAsia="宋体"/>
          <w:spacing w:val="-10"/>
        </w:rPr>
        <w:t>按照水环境风险受体敏感程度，同时考虑河流跨界的情况和可能造成土壤污染的情况，将水环境风险受体敏感程度类型划分为类型</w:t>
      </w:r>
      <w:r>
        <w:rPr>
          <w:rFonts w:hint="eastAsia" w:ascii="Times New Roman" w:eastAsia="宋体"/>
          <w:spacing w:val="-10"/>
        </w:rPr>
        <w:t>1</w:t>
      </w:r>
      <w:r>
        <w:rPr>
          <w:rFonts w:hint="eastAsia" w:eastAsia="宋体"/>
          <w:spacing w:val="-10"/>
        </w:rPr>
        <w:t>、类型</w:t>
      </w:r>
      <w:r>
        <w:rPr>
          <w:rFonts w:hint="eastAsia" w:ascii="Times New Roman" w:eastAsia="宋体"/>
          <w:spacing w:val="-10"/>
        </w:rPr>
        <w:t>2</w:t>
      </w:r>
      <w:r>
        <w:rPr>
          <w:rFonts w:hint="eastAsia" w:eastAsia="宋体"/>
          <w:spacing w:val="-10"/>
        </w:rPr>
        <w:t>和类型</w:t>
      </w:r>
      <w:r>
        <w:rPr>
          <w:rFonts w:hint="eastAsia" w:ascii="Times New Roman" w:eastAsia="宋体"/>
          <w:spacing w:val="-10"/>
        </w:rPr>
        <w:t>3</w:t>
      </w:r>
      <w:r>
        <w:rPr>
          <w:rFonts w:hint="eastAsia" w:eastAsia="宋体"/>
          <w:spacing w:val="-10"/>
        </w:rPr>
        <w:t>，分别以</w:t>
      </w:r>
      <w:r>
        <w:rPr>
          <w:rFonts w:hint="eastAsia" w:ascii="Times New Roman" w:eastAsia="宋体"/>
          <w:spacing w:val="-10"/>
        </w:rPr>
        <w:t>E1</w:t>
      </w:r>
      <w:r>
        <w:rPr>
          <w:rFonts w:hint="eastAsia" w:eastAsia="宋体"/>
          <w:spacing w:val="-10"/>
        </w:rPr>
        <w:t>、</w:t>
      </w:r>
      <w:r>
        <w:rPr>
          <w:rFonts w:hint="eastAsia" w:ascii="Times New Roman" w:eastAsia="宋体"/>
          <w:spacing w:val="-10"/>
        </w:rPr>
        <w:t>E2</w:t>
      </w:r>
      <w:r>
        <w:rPr>
          <w:rFonts w:hint="eastAsia" w:eastAsia="宋体"/>
          <w:spacing w:val="-10"/>
        </w:rPr>
        <w:t>和</w:t>
      </w:r>
      <w:r>
        <w:rPr>
          <w:rFonts w:hint="eastAsia" w:ascii="Times New Roman" w:eastAsia="宋体"/>
          <w:spacing w:val="-10"/>
        </w:rPr>
        <w:t>E3</w:t>
      </w:r>
      <w:r>
        <w:rPr>
          <w:rFonts w:hint="eastAsia" w:eastAsia="宋体"/>
          <w:spacing w:val="-10"/>
        </w:rPr>
        <w:t>表示，见表</w:t>
      </w:r>
      <w:r>
        <w:rPr>
          <w:rFonts w:hint="eastAsia" w:ascii="Times New Roman" w:eastAsia="宋体"/>
          <w:spacing w:val="-10"/>
        </w:rPr>
        <w:t>7-9</w:t>
      </w:r>
      <w:r>
        <w:rPr>
          <w:rFonts w:hint="eastAsia" w:eastAsia="宋体"/>
          <w:spacing w:val="-10"/>
        </w:rPr>
        <w:t>。</w:t>
      </w:r>
    </w:p>
    <w:p w14:paraId="56EEC169">
      <w:pPr>
        <w:pStyle w:val="13"/>
        <w:spacing w:after="0" w:line="500" w:lineRule="exact"/>
        <w:ind w:left="0" w:right="0" w:firstLine="440" w:firstLineChars="200"/>
        <w:jc w:val="left"/>
        <w:rPr>
          <w:rFonts w:hint="eastAsia" w:eastAsia="宋体"/>
          <w:spacing w:val="-10"/>
        </w:rPr>
      </w:pPr>
      <w:r>
        <w:rPr>
          <w:rFonts w:hint="eastAsia" w:eastAsia="宋体"/>
          <w:spacing w:val="-10"/>
        </w:rPr>
        <w:t>水环境风险受体敏感程度按类型</w:t>
      </w:r>
      <w:r>
        <w:rPr>
          <w:rFonts w:hint="eastAsia" w:ascii="Times New Roman" w:eastAsia="宋体"/>
          <w:spacing w:val="-10"/>
        </w:rPr>
        <w:t>1</w:t>
      </w:r>
      <w:r>
        <w:rPr>
          <w:rFonts w:hint="eastAsia" w:eastAsia="宋体"/>
          <w:spacing w:val="-10"/>
        </w:rPr>
        <w:t>、类型</w:t>
      </w:r>
      <w:r>
        <w:rPr>
          <w:rFonts w:hint="eastAsia" w:ascii="Times New Roman" w:eastAsia="宋体"/>
          <w:spacing w:val="-10"/>
        </w:rPr>
        <w:t>2</w:t>
      </w:r>
      <w:r>
        <w:rPr>
          <w:rFonts w:hint="eastAsia" w:eastAsia="宋体"/>
          <w:spacing w:val="-10"/>
        </w:rPr>
        <w:t>和类型</w:t>
      </w:r>
      <w:r>
        <w:rPr>
          <w:rFonts w:hint="eastAsia" w:ascii="Times New Roman" w:eastAsia="宋体"/>
          <w:spacing w:val="-10"/>
        </w:rPr>
        <w:t>3</w:t>
      </w:r>
      <w:r>
        <w:rPr>
          <w:rFonts w:hint="eastAsia" w:eastAsia="宋体"/>
          <w:spacing w:val="-10"/>
        </w:rPr>
        <w:t>顺序依次降低。若企业周边存在多种敏感程度类型的水环境风险受体，则按敏感程度高者确定企业水环境风险受体敏感程度类型。</w:t>
      </w:r>
    </w:p>
    <w:p w14:paraId="22ED39A9">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7-9</w:t>
      </w:r>
      <w:r>
        <w:rPr>
          <w:rFonts w:eastAsiaTheme="minorEastAsia"/>
          <w:b/>
          <w:color w:val="000000" w:themeColor="text1"/>
          <w:sz w:val="24"/>
          <w:szCs w:val="24"/>
          <w14:textFill>
            <w14:solidFill>
              <w14:schemeClr w14:val="tx1"/>
            </w14:solidFill>
          </w14:textFill>
        </w:rPr>
        <w:t>水环境风险受体敏感程度类型划分</w:t>
      </w:r>
    </w:p>
    <w:tbl>
      <w:tblPr>
        <w:tblStyle w:val="37"/>
        <w:tblW w:w="501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80"/>
        <w:gridCol w:w="7309"/>
      </w:tblGrid>
      <w:tr w14:paraId="3CFD0B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0" w:hRule="atLeast"/>
          <w:tblHeader/>
        </w:trPr>
        <w:tc>
          <w:tcPr>
            <w:tcW w:w="979" w:type="pct"/>
            <w:vAlign w:val="center"/>
          </w:tcPr>
          <w:p w14:paraId="2B11DEFF">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020" w:type="pct"/>
            <w:vAlign w:val="center"/>
          </w:tcPr>
          <w:p w14:paraId="25743A93">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水环境风险受体</w:t>
            </w:r>
          </w:p>
        </w:tc>
      </w:tr>
      <w:tr w14:paraId="70398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979" w:type="pct"/>
            <w:vAlign w:val="center"/>
          </w:tcPr>
          <w:p w14:paraId="04213E7D">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类型1（E1）</w:t>
            </w:r>
          </w:p>
        </w:tc>
        <w:tc>
          <w:tcPr>
            <w:tcW w:w="4020" w:type="pct"/>
            <w:vAlign w:val="center"/>
          </w:tcPr>
          <w:p w14:paraId="15D39357">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企业雨水排口、清净废水排口、污水排口下游10公里流经范围内有如下一类或多类环境风险受体：集中式地表水、地下饮用水水源保护区（包括一级保护区、二级保护区及准保护区）；农村及分散式饮用水水源保护区；</w:t>
            </w:r>
          </w:p>
          <w:p w14:paraId="0746A3D0">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14:paraId="42CC7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79" w:type="pct"/>
            <w:shd w:val="clear" w:color="auto" w:fill="auto"/>
            <w:vAlign w:val="center"/>
          </w:tcPr>
          <w:p w14:paraId="1538498E">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类型2（E2）</w:t>
            </w:r>
          </w:p>
        </w:tc>
        <w:tc>
          <w:tcPr>
            <w:tcW w:w="4020" w:type="pct"/>
            <w:shd w:val="clear" w:color="auto" w:fill="auto"/>
            <w:vAlign w:val="center"/>
          </w:tcPr>
          <w:p w14:paraId="1FE90C64">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14:paraId="5F8877F6">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（2）企业雨水排口、清净废水排口、污水排口下游10公里流经范围内涉及跨省界的</w:t>
            </w:r>
          </w:p>
          <w:p w14:paraId="0D4E2068">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（3）企业位于熔岩地貌、泄洪区、泥石流多发等地区</w:t>
            </w:r>
          </w:p>
        </w:tc>
      </w:tr>
      <w:tr w14:paraId="6467D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79" w:type="pct"/>
            <w:vAlign w:val="center"/>
          </w:tcPr>
          <w:p w14:paraId="7DE2EBF9">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类型3（E3）</w:t>
            </w:r>
          </w:p>
        </w:tc>
        <w:tc>
          <w:tcPr>
            <w:tcW w:w="4020" w:type="pct"/>
            <w:vAlign w:val="center"/>
          </w:tcPr>
          <w:p w14:paraId="4FF7A38F">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不涉及类型1和类型2情况的</w:t>
            </w:r>
          </w:p>
        </w:tc>
      </w:tr>
      <w:tr w14:paraId="3327A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5000" w:type="pct"/>
            <w:gridSpan w:val="2"/>
            <w:vAlign w:val="center"/>
          </w:tcPr>
          <w:p w14:paraId="1FFB1858">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14:paraId="6C34B8AF">
      <w:pPr>
        <w:spacing w:before="0" w:line="500" w:lineRule="exact"/>
        <w:ind w:left="0" w:right="0" w:firstLine="422" w:firstLineChars="200"/>
        <w:jc w:val="left"/>
        <w:rPr>
          <w:rFonts w:hint="default" w:eastAsia="宋体"/>
          <w:b/>
          <w:bCs/>
          <w:sz w:val="21"/>
        </w:rPr>
      </w:pPr>
      <w:r>
        <w:rPr>
          <w:rFonts w:hint="default" w:eastAsia="宋体"/>
          <w:b/>
          <w:bCs/>
          <w:sz w:val="21"/>
        </w:rPr>
        <w:t>注：本表中规定的距离范围以到各类水环境保护目标或保护区域的边界为准</w:t>
      </w:r>
    </w:p>
    <w:p w14:paraId="5061460A">
      <w:pPr>
        <w:pStyle w:val="13"/>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Times New Roman" w:hAnsi="Times New Roman" w:eastAsia="宋体" w:cs="Times New Roman"/>
          <w:spacing w:val="-10"/>
        </w:rPr>
      </w:pPr>
      <w:r>
        <w:rPr>
          <w:rFonts w:hint="eastAsia" w:eastAsia="宋体" w:cs="Times New Roman"/>
          <w:b w:val="0"/>
          <w:bCs/>
          <w:highlight w:val="none"/>
          <w:lang w:val="en-US" w:eastAsia="zh-CN"/>
        </w:rPr>
        <w:t>公司</w:t>
      </w:r>
      <w:r>
        <w:rPr>
          <w:rFonts w:hint="default" w:ascii="Times New Roman" w:hAnsi="Times New Roman" w:eastAsia="宋体" w:cs="Times New Roman"/>
          <w:highlight w:val="none"/>
        </w:rPr>
        <w:t>雨污水排口下游10公里内</w:t>
      </w:r>
      <w:r>
        <w:rPr>
          <w:rFonts w:hint="default" w:eastAsia="宋体" w:cs="Times New Roman"/>
          <w:highlight w:val="none"/>
          <w:lang w:val="en-US" w:eastAsia="zh-CN"/>
        </w:rPr>
        <w:t>无集中式地表水、地下饮用水水源保护区，农村及分散式饮用水水源保护区</w:t>
      </w:r>
      <w:r>
        <w:rPr>
          <w:rFonts w:hint="eastAsia" w:eastAsia="宋体" w:cs="Times New Roman"/>
          <w:highlight w:val="none"/>
          <w:lang w:val="en-US" w:eastAsia="zh-CN"/>
        </w:rPr>
        <w:t>及生态保护红线划定的或具有水生态服务功能的其他水生态环境敏感区和脆弱区</w:t>
      </w:r>
      <w:r>
        <w:rPr>
          <w:rFonts w:hint="default" w:eastAsia="宋体" w:cs="Times New Roman"/>
          <w:highlight w:val="none"/>
          <w:lang w:val="en-US" w:eastAsia="zh-CN"/>
        </w:rPr>
        <w:t>且废水排入受纳水体后24小时流经范围内未跨国界</w:t>
      </w:r>
      <w:r>
        <w:rPr>
          <w:rFonts w:hint="eastAsia" w:eastAsia="宋体" w:cs="Times New Roman"/>
          <w:highlight w:val="none"/>
          <w:lang w:val="en-US" w:eastAsia="zh-CN"/>
        </w:rPr>
        <w:t>及省界</w:t>
      </w:r>
      <w:r>
        <w:rPr>
          <w:rFonts w:hint="default" w:ascii="Times New Roman" w:hAnsi="Times New Roman" w:eastAsia="宋体" w:cs="Times New Roman"/>
          <w:highlight w:val="none"/>
        </w:rPr>
        <w:t>，因此环境风险受体划分为类型</w:t>
      </w:r>
      <w:r>
        <w:rPr>
          <w:rFonts w:hint="eastAsia" w:eastAsia="宋体" w:cs="Times New Roman"/>
          <w:highlight w:val="none"/>
          <w:lang w:val="en-US" w:eastAsia="zh-CN"/>
        </w:rPr>
        <w:t>3</w:t>
      </w:r>
      <w:r>
        <w:rPr>
          <w:rFonts w:hint="default" w:ascii="Times New Roman" w:hAnsi="Times New Roman" w:eastAsia="宋体" w:cs="Times New Roman"/>
          <w:highlight w:val="none"/>
        </w:rPr>
        <w:t>（E</w:t>
      </w:r>
      <w:r>
        <w:rPr>
          <w:rFonts w:hint="eastAsia" w:eastAsia="宋体" w:cs="Times New Roman"/>
          <w:highlight w:val="none"/>
          <w:lang w:val="en-US" w:eastAsia="zh-CN"/>
        </w:rPr>
        <w:t>3</w:t>
      </w:r>
      <w:r>
        <w:rPr>
          <w:rFonts w:hint="default" w:ascii="Times New Roman" w:hAnsi="Times New Roman" w:eastAsia="宋体" w:cs="Times New Roman"/>
          <w:highlight w:val="none"/>
        </w:rPr>
        <w:t>）</w:t>
      </w:r>
      <w:r>
        <w:rPr>
          <w:rFonts w:hint="eastAsia" w:ascii="Times New Roman" w:hAnsi="Times New Roman" w:eastAsia="宋体" w:cs="Times New Roman"/>
          <w:spacing w:val="-10"/>
        </w:rPr>
        <w:t>。</w:t>
      </w:r>
    </w:p>
    <w:p w14:paraId="6C39869A">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88" w:name="_Toc28884"/>
      <w:bookmarkStart w:id="289" w:name="_Toc18805"/>
      <w:r>
        <w:rPr>
          <w:rFonts w:hint="eastAsia"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突发</w:t>
      </w:r>
      <w:r>
        <w:rPr>
          <w:rFonts w:hint="eastAsia" w:ascii="Times New Roman" w:hAnsi="Times New Roman"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环境事件风险等级确定</w:t>
      </w:r>
      <w:bookmarkEnd w:id="288"/>
      <w:bookmarkEnd w:id="289"/>
    </w:p>
    <w:p w14:paraId="65053C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根据企业周边水环境风险受体敏感程度（E）、涉气/水风险物质数量与临界量比值（Q）和生产工艺过程与大气/水环境风险控制水平（M），分别确定企业突发大气/水环境事件风险等级。</w:t>
      </w:r>
    </w:p>
    <w:p w14:paraId="5CED562D">
      <w:pPr>
        <w:widowControl/>
        <w:adjustRightInd/>
        <w:snapToGrid/>
        <w:spacing w:line="240" w:lineRule="auto"/>
        <w:ind w:firstLine="0" w:firstLineChars="0"/>
        <w:jc w:val="center"/>
      </w:pPr>
      <w:r>
        <w:rPr>
          <w:rFonts w:hint="default" w:eastAsia="宋体"/>
          <w:b/>
          <w:bCs/>
          <w:lang w:val="en-US" w:eastAsia="zh-CN"/>
        </w:rPr>
        <w:t>表7-1</w:t>
      </w:r>
      <w:r>
        <w:rPr>
          <w:rFonts w:hint="eastAsia" w:eastAsia="宋体"/>
          <w:b/>
          <w:bCs/>
          <w:lang w:val="en-US" w:eastAsia="zh-CN"/>
        </w:rPr>
        <w:t>0</w:t>
      </w:r>
      <w:r>
        <w:rPr>
          <w:rFonts w:hint="default" w:eastAsia="宋体"/>
          <w:b/>
          <w:bCs/>
          <w:lang w:val="en-US" w:eastAsia="zh-CN"/>
        </w:rPr>
        <w:t>企业突发环境事件风险分级矩阵表</w:t>
      </w:r>
    </w:p>
    <w:tbl>
      <w:tblPr>
        <w:tblStyle w:val="3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516"/>
        <w:gridCol w:w="2018"/>
        <w:gridCol w:w="1378"/>
        <w:gridCol w:w="1380"/>
        <w:gridCol w:w="1378"/>
        <w:gridCol w:w="1382"/>
      </w:tblGrid>
      <w:tr w14:paraId="13608F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restart"/>
            <w:tcBorders>
              <w:tl2br w:val="nil"/>
              <w:tr2bl w:val="nil"/>
            </w:tcBorders>
            <w:vAlign w:val="center"/>
          </w:tcPr>
          <w:p w14:paraId="33036C22">
            <w:pPr>
              <w:pStyle w:val="140"/>
              <w:spacing w:before="0" w:line="240" w:lineRule="auto"/>
              <w:ind w:left="0" w:right="0" w:firstLine="0"/>
              <w:jc w:val="center"/>
              <w:rPr>
                <w:b/>
                <w:sz w:val="21"/>
              </w:rPr>
            </w:pPr>
            <w:r>
              <w:rPr>
                <w:b/>
                <w:sz w:val="21"/>
              </w:rPr>
              <w:t>环境风险受体敏感程度</w:t>
            </w:r>
            <w:r>
              <w:rPr>
                <w:b/>
                <w:spacing w:val="-5"/>
                <w:sz w:val="21"/>
              </w:rPr>
              <w:t>（</w:t>
            </w:r>
            <w:r>
              <w:rPr>
                <w:rFonts w:ascii="Times New Roman" w:eastAsia="Times New Roman"/>
                <w:b/>
                <w:spacing w:val="-5"/>
                <w:sz w:val="21"/>
              </w:rPr>
              <w:t>E</w:t>
            </w:r>
            <w:r>
              <w:rPr>
                <w:b/>
                <w:spacing w:val="-5"/>
                <w:sz w:val="21"/>
              </w:rPr>
              <w:t>）</w:t>
            </w:r>
          </w:p>
        </w:tc>
        <w:tc>
          <w:tcPr>
            <w:tcW w:w="1114" w:type="pct"/>
            <w:vMerge w:val="restart"/>
            <w:tcBorders>
              <w:tl2br w:val="nil"/>
              <w:tr2bl w:val="nil"/>
            </w:tcBorders>
            <w:vAlign w:val="center"/>
          </w:tcPr>
          <w:p w14:paraId="4A534F6C">
            <w:pPr>
              <w:pStyle w:val="140"/>
              <w:spacing w:before="0" w:line="240" w:lineRule="auto"/>
              <w:ind w:left="0" w:right="0" w:firstLine="0"/>
              <w:jc w:val="center"/>
              <w:rPr>
                <w:b/>
                <w:sz w:val="21"/>
              </w:rPr>
            </w:pPr>
            <w:r>
              <w:rPr>
                <w:b/>
                <w:sz w:val="21"/>
              </w:rPr>
              <w:t>风险物质数量与临界量比值（</w:t>
            </w:r>
            <w:r>
              <w:rPr>
                <w:rFonts w:ascii="Times New Roman" w:eastAsia="Times New Roman"/>
                <w:b/>
                <w:sz w:val="21"/>
              </w:rPr>
              <w:t>Q</w:t>
            </w:r>
            <w:r>
              <w:rPr>
                <w:b/>
                <w:sz w:val="21"/>
              </w:rPr>
              <w:t>）</w:t>
            </w:r>
          </w:p>
        </w:tc>
        <w:tc>
          <w:tcPr>
            <w:tcW w:w="3047" w:type="pct"/>
            <w:gridSpan w:val="4"/>
            <w:tcBorders>
              <w:tl2br w:val="nil"/>
              <w:tr2bl w:val="nil"/>
            </w:tcBorders>
            <w:vAlign w:val="center"/>
          </w:tcPr>
          <w:p w14:paraId="6A8767CD">
            <w:pPr>
              <w:pStyle w:val="140"/>
              <w:spacing w:before="0"/>
              <w:ind w:left="0"/>
              <w:jc w:val="center"/>
              <w:rPr>
                <w:b/>
                <w:sz w:val="21"/>
              </w:rPr>
            </w:pPr>
            <w:r>
              <w:rPr>
                <w:b/>
                <w:sz w:val="21"/>
              </w:rPr>
              <w:t>生产工艺过程与环境风险控制水平（</w:t>
            </w:r>
            <w:r>
              <w:rPr>
                <w:rFonts w:ascii="Times New Roman" w:eastAsia="Times New Roman"/>
                <w:b/>
                <w:sz w:val="21"/>
              </w:rPr>
              <w:t>M</w:t>
            </w:r>
            <w:r>
              <w:rPr>
                <w:b/>
                <w:sz w:val="21"/>
              </w:rPr>
              <w:t>）</w:t>
            </w:r>
          </w:p>
        </w:tc>
      </w:tr>
      <w:tr w14:paraId="01E19A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41E34DC8">
            <w:pPr>
              <w:jc w:val="center"/>
              <w:rPr>
                <w:sz w:val="2"/>
                <w:szCs w:val="2"/>
              </w:rPr>
            </w:pPr>
          </w:p>
        </w:tc>
        <w:tc>
          <w:tcPr>
            <w:tcW w:w="1114" w:type="pct"/>
            <w:vMerge w:val="continue"/>
            <w:tcBorders>
              <w:tl2br w:val="nil"/>
              <w:tr2bl w:val="nil"/>
            </w:tcBorders>
            <w:vAlign w:val="center"/>
          </w:tcPr>
          <w:p w14:paraId="475DC493">
            <w:pPr>
              <w:jc w:val="center"/>
              <w:rPr>
                <w:sz w:val="2"/>
                <w:szCs w:val="2"/>
              </w:rPr>
            </w:pPr>
          </w:p>
        </w:tc>
        <w:tc>
          <w:tcPr>
            <w:tcW w:w="761" w:type="pct"/>
            <w:tcBorders>
              <w:tl2br w:val="nil"/>
              <w:tr2bl w:val="nil"/>
            </w:tcBorders>
            <w:vAlign w:val="center"/>
          </w:tcPr>
          <w:p w14:paraId="3F34B445">
            <w:pPr>
              <w:pStyle w:val="140"/>
              <w:spacing w:before="0"/>
              <w:ind w:left="0" w:right="0"/>
              <w:rPr>
                <w:b/>
                <w:sz w:val="21"/>
              </w:rPr>
            </w:pPr>
            <w:r>
              <w:rPr>
                <w:rFonts w:ascii="Times New Roman" w:eastAsia="Times New Roman"/>
                <w:b/>
                <w:sz w:val="21"/>
              </w:rPr>
              <w:t>M1</w:t>
            </w:r>
            <w:r>
              <w:rPr>
                <w:b/>
                <w:sz w:val="21"/>
              </w:rPr>
              <w:t>类水平</w:t>
            </w:r>
          </w:p>
        </w:tc>
        <w:tc>
          <w:tcPr>
            <w:tcW w:w="762" w:type="pct"/>
            <w:tcBorders>
              <w:tl2br w:val="nil"/>
              <w:tr2bl w:val="nil"/>
            </w:tcBorders>
            <w:vAlign w:val="center"/>
          </w:tcPr>
          <w:p w14:paraId="04C0C0AA">
            <w:pPr>
              <w:pStyle w:val="140"/>
              <w:spacing w:before="0"/>
              <w:ind w:left="0" w:right="0"/>
              <w:rPr>
                <w:b/>
                <w:sz w:val="21"/>
              </w:rPr>
            </w:pPr>
            <w:r>
              <w:rPr>
                <w:rFonts w:ascii="Times New Roman" w:eastAsia="Times New Roman"/>
                <w:b/>
                <w:sz w:val="21"/>
              </w:rPr>
              <w:t>M2</w:t>
            </w:r>
            <w:r>
              <w:rPr>
                <w:b/>
                <w:sz w:val="21"/>
              </w:rPr>
              <w:t>类水平</w:t>
            </w:r>
          </w:p>
        </w:tc>
        <w:tc>
          <w:tcPr>
            <w:tcW w:w="761" w:type="pct"/>
            <w:tcBorders>
              <w:tl2br w:val="nil"/>
              <w:tr2bl w:val="nil"/>
            </w:tcBorders>
            <w:vAlign w:val="center"/>
          </w:tcPr>
          <w:p w14:paraId="7F5F8E51">
            <w:pPr>
              <w:pStyle w:val="140"/>
              <w:spacing w:before="0"/>
              <w:ind w:left="0" w:right="0"/>
              <w:rPr>
                <w:b/>
                <w:sz w:val="21"/>
              </w:rPr>
            </w:pPr>
            <w:r>
              <w:rPr>
                <w:rFonts w:ascii="Times New Roman" w:eastAsia="Times New Roman"/>
                <w:b/>
                <w:sz w:val="21"/>
              </w:rPr>
              <w:t>M3</w:t>
            </w:r>
            <w:r>
              <w:rPr>
                <w:b/>
                <w:sz w:val="21"/>
              </w:rPr>
              <w:t>类水平</w:t>
            </w:r>
          </w:p>
        </w:tc>
        <w:tc>
          <w:tcPr>
            <w:tcW w:w="762" w:type="pct"/>
            <w:tcBorders>
              <w:tl2br w:val="nil"/>
              <w:tr2bl w:val="nil"/>
            </w:tcBorders>
            <w:vAlign w:val="center"/>
          </w:tcPr>
          <w:p w14:paraId="31A02138">
            <w:pPr>
              <w:pStyle w:val="140"/>
              <w:spacing w:before="0"/>
              <w:ind w:left="0" w:right="0"/>
              <w:rPr>
                <w:b/>
                <w:sz w:val="21"/>
              </w:rPr>
            </w:pPr>
            <w:r>
              <w:rPr>
                <w:rFonts w:ascii="Times New Roman" w:eastAsia="Times New Roman"/>
                <w:b/>
                <w:sz w:val="21"/>
              </w:rPr>
              <w:t>M4</w:t>
            </w:r>
            <w:r>
              <w:rPr>
                <w:b/>
                <w:sz w:val="21"/>
              </w:rPr>
              <w:t>类水平</w:t>
            </w:r>
          </w:p>
        </w:tc>
      </w:tr>
      <w:tr w14:paraId="70C15D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2F240309">
            <w:pPr>
              <w:pStyle w:val="140"/>
              <w:spacing w:before="0"/>
              <w:ind w:left="0"/>
              <w:jc w:val="center"/>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114" w:type="pct"/>
            <w:tcBorders>
              <w:tl2br w:val="nil"/>
              <w:tr2bl w:val="nil"/>
            </w:tcBorders>
            <w:vAlign w:val="center"/>
          </w:tcPr>
          <w:p w14:paraId="0D2ACEBB">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41685BBB">
            <w:pPr>
              <w:pStyle w:val="140"/>
              <w:spacing w:before="0"/>
              <w:ind w:left="0" w:right="0"/>
              <w:rPr>
                <w:sz w:val="21"/>
              </w:rPr>
            </w:pPr>
            <w:r>
              <w:rPr>
                <w:sz w:val="21"/>
              </w:rPr>
              <w:t>较大</w:t>
            </w:r>
          </w:p>
        </w:tc>
        <w:tc>
          <w:tcPr>
            <w:tcW w:w="762" w:type="pct"/>
            <w:tcBorders>
              <w:tl2br w:val="nil"/>
              <w:tr2bl w:val="nil"/>
            </w:tcBorders>
            <w:vAlign w:val="center"/>
          </w:tcPr>
          <w:p w14:paraId="3735DE14">
            <w:pPr>
              <w:pStyle w:val="140"/>
              <w:spacing w:before="0"/>
              <w:ind w:left="0" w:right="0"/>
              <w:rPr>
                <w:sz w:val="21"/>
              </w:rPr>
            </w:pPr>
            <w:r>
              <w:rPr>
                <w:sz w:val="21"/>
              </w:rPr>
              <w:t>较大</w:t>
            </w:r>
          </w:p>
        </w:tc>
        <w:tc>
          <w:tcPr>
            <w:tcW w:w="761" w:type="pct"/>
            <w:tcBorders>
              <w:tl2br w:val="nil"/>
              <w:tr2bl w:val="nil"/>
            </w:tcBorders>
            <w:vAlign w:val="center"/>
          </w:tcPr>
          <w:p w14:paraId="02C62AC0">
            <w:pPr>
              <w:pStyle w:val="140"/>
              <w:spacing w:before="0"/>
              <w:ind w:left="0" w:right="0"/>
              <w:rPr>
                <w:sz w:val="21"/>
              </w:rPr>
            </w:pPr>
            <w:r>
              <w:rPr>
                <w:sz w:val="21"/>
              </w:rPr>
              <w:t>重大</w:t>
            </w:r>
          </w:p>
        </w:tc>
        <w:tc>
          <w:tcPr>
            <w:tcW w:w="762" w:type="pct"/>
            <w:tcBorders>
              <w:tl2br w:val="nil"/>
              <w:tr2bl w:val="nil"/>
            </w:tcBorders>
            <w:vAlign w:val="center"/>
          </w:tcPr>
          <w:p w14:paraId="4AD18D3D">
            <w:pPr>
              <w:pStyle w:val="140"/>
              <w:spacing w:before="0"/>
              <w:ind w:left="0" w:right="0"/>
              <w:rPr>
                <w:sz w:val="21"/>
              </w:rPr>
            </w:pPr>
            <w:r>
              <w:rPr>
                <w:sz w:val="21"/>
              </w:rPr>
              <w:t>重大</w:t>
            </w:r>
          </w:p>
        </w:tc>
      </w:tr>
      <w:tr w14:paraId="5A5B76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59074DDF">
            <w:pPr>
              <w:jc w:val="center"/>
              <w:rPr>
                <w:sz w:val="2"/>
                <w:szCs w:val="2"/>
              </w:rPr>
            </w:pPr>
          </w:p>
        </w:tc>
        <w:tc>
          <w:tcPr>
            <w:tcW w:w="1114" w:type="pct"/>
            <w:tcBorders>
              <w:tl2br w:val="nil"/>
              <w:tr2bl w:val="nil"/>
            </w:tcBorders>
            <w:vAlign w:val="center"/>
          </w:tcPr>
          <w:p w14:paraId="49055383">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661D09C9">
            <w:pPr>
              <w:pStyle w:val="140"/>
              <w:spacing w:before="0"/>
              <w:ind w:left="0" w:right="0"/>
              <w:rPr>
                <w:sz w:val="21"/>
              </w:rPr>
            </w:pPr>
            <w:r>
              <w:rPr>
                <w:sz w:val="21"/>
              </w:rPr>
              <w:t>较大</w:t>
            </w:r>
          </w:p>
        </w:tc>
        <w:tc>
          <w:tcPr>
            <w:tcW w:w="762" w:type="pct"/>
            <w:tcBorders>
              <w:tl2br w:val="nil"/>
              <w:tr2bl w:val="nil"/>
            </w:tcBorders>
            <w:vAlign w:val="center"/>
          </w:tcPr>
          <w:p w14:paraId="02B0E2D6">
            <w:pPr>
              <w:pStyle w:val="140"/>
              <w:spacing w:before="0"/>
              <w:ind w:left="0" w:right="0"/>
              <w:rPr>
                <w:sz w:val="21"/>
              </w:rPr>
            </w:pPr>
            <w:r>
              <w:rPr>
                <w:sz w:val="21"/>
              </w:rPr>
              <w:t>重大</w:t>
            </w:r>
          </w:p>
        </w:tc>
        <w:tc>
          <w:tcPr>
            <w:tcW w:w="761" w:type="pct"/>
            <w:tcBorders>
              <w:tl2br w:val="nil"/>
              <w:tr2bl w:val="nil"/>
            </w:tcBorders>
            <w:vAlign w:val="center"/>
          </w:tcPr>
          <w:p w14:paraId="1AC744D5">
            <w:pPr>
              <w:pStyle w:val="140"/>
              <w:spacing w:before="0"/>
              <w:ind w:left="0" w:right="0"/>
              <w:rPr>
                <w:sz w:val="21"/>
              </w:rPr>
            </w:pPr>
            <w:r>
              <w:rPr>
                <w:sz w:val="21"/>
              </w:rPr>
              <w:t>重大</w:t>
            </w:r>
          </w:p>
        </w:tc>
        <w:tc>
          <w:tcPr>
            <w:tcW w:w="762" w:type="pct"/>
            <w:tcBorders>
              <w:tl2br w:val="nil"/>
              <w:tr2bl w:val="nil"/>
            </w:tcBorders>
            <w:vAlign w:val="center"/>
          </w:tcPr>
          <w:p w14:paraId="620EABD4">
            <w:pPr>
              <w:pStyle w:val="140"/>
              <w:spacing w:before="0"/>
              <w:ind w:left="0" w:right="0"/>
              <w:rPr>
                <w:sz w:val="21"/>
              </w:rPr>
            </w:pPr>
            <w:r>
              <w:rPr>
                <w:sz w:val="21"/>
              </w:rPr>
              <w:t>重大</w:t>
            </w:r>
          </w:p>
        </w:tc>
      </w:tr>
      <w:tr w14:paraId="31F01D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7058780C">
            <w:pPr>
              <w:jc w:val="center"/>
              <w:rPr>
                <w:sz w:val="2"/>
                <w:szCs w:val="2"/>
              </w:rPr>
            </w:pPr>
          </w:p>
        </w:tc>
        <w:tc>
          <w:tcPr>
            <w:tcW w:w="1114" w:type="pct"/>
            <w:tcBorders>
              <w:tl2br w:val="nil"/>
              <w:tr2bl w:val="nil"/>
            </w:tcBorders>
            <w:vAlign w:val="center"/>
          </w:tcPr>
          <w:p w14:paraId="51368A03">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0A9A0184">
            <w:pPr>
              <w:pStyle w:val="140"/>
              <w:spacing w:before="0"/>
              <w:ind w:left="0" w:right="0"/>
              <w:rPr>
                <w:sz w:val="21"/>
              </w:rPr>
            </w:pPr>
            <w:r>
              <w:rPr>
                <w:sz w:val="21"/>
              </w:rPr>
              <w:t>重大</w:t>
            </w:r>
          </w:p>
        </w:tc>
        <w:tc>
          <w:tcPr>
            <w:tcW w:w="762" w:type="pct"/>
            <w:tcBorders>
              <w:tl2br w:val="nil"/>
              <w:tr2bl w:val="nil"/>
            </w:tcBorders>
            <w:vAlign w:val="center"/>
          </w:tcPr>
          <w:p w14:paraId="57808902">
            <w:pPr>
              <w:pStyle w:val="140"/>
              <w:spacing w:before="0"/>
              <w:ind w:left="0" w:right="0"/>
              <w:rPr>
                <w:sz w:val="21"/>
              </w:rPr>
            </w:pPr>
            <w:r>
              <w:rPr>
                <w:sz w:val="21"/>
              </w:rPr>
              <w:t>重大</w:t>
            </w:r>
          </w:p>
        </w:tc>
        <w:tc>
          <w:tcPr>
            <w:tcW w:w="761" w:type="pct"/>
            <w:tcBorders>
              <w:tl2br w:val="nil"/>
              <w:tr2bl w:val="nil"/>
            </w:tcBorders>
            <w:vAlign w:val="center"/>
          </w:tcPr>
          <w:p w14:paraId="1358CC91">
            <w:pPr>
              <w:pStyle w:val="140"/>
              <w:spacing w:before="0"/>
              <w:ind w:left="0" w:right="0"/>
              <w:rPr>
                <w:sz w:val="21"/>
              </w:rPr>
            </w:pPr>
            <w:r>
              <w:rPr>
                <w:sz w:val="21"/>
              </w:rPr>
              <w:t>重大</w:t>
            </w:r>
          </w:p>
        </w:tc>
        <w:tc>
          <w:tcPr>
            <w:tcW w:w="762" w:type="pct"/>
            <w:tcBorders>
              <w:tl2br w:val="nil"/>
              <w:tr2bl w:val="nil"/>
            </w:tcBorders>
            <w:vAlign w:val="center"/>
          </w:tcPr>
          <w:p w14:paraId="52235989">
            <w:pPr>
              <w:pStyle w:val="140"/>
              <w:spacing w:before="0"/>
              <w:ind w:left="0" w:right="0"/>
              <w:rPr>
                <w:sz w:val="21"/>
              </w:rPr>
            </w:pPr>
            <w:r>
              <w:rPr>
                <w:sz w:val="21"/>
              </w:rPr>
              <w:t>重大</w:t>
            </w:r>
          </w:p>
        </w:tc>
      </w:tr>
      <w:tr w14:paraId="04142C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4EFB2B56">
            <w:pPr>
              <w:pStyle w:val="140"/>
              <w:spacing w:before="0"/>
              <w:ind w:left="0"/>
              <w:jc w:val="center"/>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114" w:type="pct"/>
            <w:tcBorders>
              <w:tl2br w:val="nil"/>
              <w:tr2bl w:val="nil"/>
            </w:tcBorders>
            <w:vAlign w:val="center"/>
          </w:tcPr>
          <w:p w14:paraId="10DD621A">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3BDB8CFE">
            <w:pPr>
              <w:pStyle w:val="140"/>
              <w:spacing w:before="0"/>
              <w:ind w:left="0" w:right="0"/>
              <w:rPr>
                <w:sz w:val="21"/>
              </w:rPr>
            </w:pPr>
            <w:r>
              <w:rPr>
                <w:sz w:val="21"/>
              </w:rPr>
              <w:t>一般</w:t>
            </w:r>
          </w:p>
        </w:tc>
        <w:tc>
          <w:tcPr>
            <w:tcW w:w="762" w:type="pct"/>
            <w:tcBorders>
              <w:tl2br w:val="nil"/>
              <w:tr2bl w:val="nil"/>
            </w:tcBorders>
            <w:vAlign w:val="center"/>
          </w:tcPr>
          <w:p w14:paraId="6FFCB025">
            <w:pPr>
              <w:pStyle w:val="140"/>
              <w:spacing w:before="0"/>
              <w:ind w:left="0" w:right="0"/>
              <w:rPr>
                <w:sz w:val="21"/>
              </w:rPr>
            </w:pPr>
            <w:r>
              <w:rPr>
                <w:sz w:val="21"/>
              </w:rPr>
              <w:t>较大</w:t>
            </w:r>
          </w:p>
        </w:tc>
        <w:tc>
          <w:tcPr>
            <w:tcW w:w="761" w:type="pct"/>
            <w:tcBorders>
              <w:tl2br w:val="nil"/>
              <w:tr2bl w:val="nil"/>
            </w:tcBorders>
            <w:vAlign w:val="center"/>
          </w:tcPr>
          <w:p w14:paraId="448C34A2">
            <w:pPr>
              <w:pStyle w:val="140"/>
              <w:spacing w:before="0"/>
              <w:ind w:left="0" w:right="0"/>
              <w:rPr>
                <w:sz w:val="21"/>
              </w:rPr>
            </w:pPr>
            <w:r>
              <w:rPr>
                <w:sz w:val="21"/>
              </w:rPr>
              <w:t>较大</w:t>
            </w:r>
          </w:p>
        </w:tc>
        <w:tc>
          <w:tcPr>
            <w:tcW w:w="762" w:type="pct"/>
            <w:tcBorders>
              <w:tl2br w:val="nil"/>
              <w:tr2bl w:val="nil"/>
            </w:tcBorders>
            <w:vAlign w:val="center"/>
          </w:tcPr>
          <w:p w14:paraId="5CA42AA7">
            <w:pPr>
              <w:pStyle w:val="140"/>
              <w:spacing w:before="0"/>
              <w:ind w:left="0" w:right="0"/>
              <w:rPr>
                <w:sz w:val="21"/>
              </w:rPr>
            </w:pPr>
            <w:r>
              <w:rPr>
                <w:sz w:val="21"/>
              </w:rPr>
              <w:t>重大</w:t>
            </w:r>
          </w:p>
        </w:tc>
      </w:tr>
      <w:tr w14:paraId="6F8741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084772FC">
            <w:pPr>
              <w:jc w:val="center"/>
              <w:rPr>
                <w:sz w:val="2"/>
                <w:szCs w:val="2"/>
              </w:rPr>
            </w:pPr>
          </w:p>
        </w:tc>
        <w:tc>
          <w:tcPr>
            <w:tcW w:w="1114" w:type="pct"/>
            <w:tcBorders>
              <w:tl2br w:val="nil"/>
              <w:tr2bl w:val="nil"/>
            </w:tcBorders>
            <w:vAlign w:val="center"/>
          </w:tcPr>
          <w:p w14:paraId="22C1F0CC">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5EC4E7A7">
            <w:pPr>
              <w:pStyle w:val="140"/>
              <w:spacing w:before="0"/>
              <w:ind w:left="0" w:right="0"/>
              <w:rPr>
                <w:sz w:val="21"/>
              </w:rPr>
            </w:pPr>
            <w:r>
              <w:rPr>
                <w:sz w:val="21"/>
              </w:rPr>
              <w:t>较大</w:t>
            </w:r>
          </w:p>
        </w:tc>
        <w:tc>
          <w:tcPr>
            <w:tcW w:w="762" w:type="pct"/>
            <w:tcBorders>
              <w:tl2br w:val="nil"/>
              <w:tr2bl w:val="nil"/>
            </w:tcBorders>
            <w:vAlign w:val="center"/>
          </w:tcPr>
          <w:p w14:paraId="53D57417">
            <w:pPr>
              <w:pStyle w:val="140"/>
              <w:spacing w:before="0"/>
              <w:ind w:left="0" w:right="0"/>
              <w:rPr>
                <w:sz w:val="21"/>
              </w:rPr>
            </w:pPr>
            <w:r>
              <w:rPr>
                <w:sz w:val="21"/>
              </w:rPr>
              <w:t>较大</w:t>
            </w:r>
          </w:p>
        </w:tc>
        <w:tc>
          <w:tcPr>
            <w:tcW w:w="761" w:type="pct"/>
            <w:tcBorders>
              <w:tl2br w:val="nil"/>
              <w:tr2bl w:val="nil"/>
            </w:tcBorders>
            <w:vAlign w:val="center"/>
          </w:tcPr>
          <w:p w14:paraId="2E464193">
            <w:pPr>
              <w:pStyle w:val="140"/>
              <w:spacing w:before="0"/>
              <w:ind w:left="0" w:right="0"/>
              <w:rPr>
                <w:sz w:val="21"/>
              </w:rPr>
            </w:pPr>
            <w:r>
              <w:rPr>
                <w:sz w:val="21"/>
              </w:rPr>
              <w:t>重大</w:t>
            </w:r>
          </w:p>
        </w:tc>
        <w:tc>
          <w:tcPr>
            <w:tcW w:w="762" w:type="pct"/>
            <w:tcBorders>
              <w:tl2br w:val="nil"/>
              <w:tr2bl w:val="nil"/>
            </w:tcBorders>
            <w:vAlign w:val="center"/>
          </w:tcPr>
          <w:p w14:paraId="0B12169C">
            <w:pPr>
              <w:pStyle w:val="140"/>
              <w:spacing w:before="0"/>
              <w:ind w:left="0" w:right="0"/>
              <w:rPr>
                <w:sz w:val="21"/>
              </w:rPr>
            </w:pPr>
            <w:r>
              <w:rPr>
                <w:sz w:val="21"/>
              </w:rPr>
              <w:t>重大</w:t>
            </w:r>
          </w:p>
        </w:tc>
      </w:tr>
      <w:tr w14:paraId="05DC88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2A8A69C5">
            <w:pPr>
              <w:jc w:val="center"/>
              <w:rPr>
                <w:sz w:val="2"/>
                <w:szCs w:val="2"/>
              </w:rPr>
            </w:pPr>
          </w:p>
        </w:tc>
        <w:tc>
          <w:tcPr>
            <w:tcW w:w="1114" w:type="pct"/>
            <w:tcBorders>
              <w:tl2br w:val="nil"/>
              <w:tr2bl w:val="nil"/>
            </w:tcBorders>
            <w:vAlign w:val="center"/>
          </w:tcPr>
          <w:p w14:paraId="5444E184">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62E3A020">
            <w:pPr>
              <w:pStyle w:val="140"/>
              <w:spacing w:before="0"/>
              <w:ind w:left="0" w:right="0"/>
              <w:rPr>
                <w:sz w:val="21"/>
              </w:rPr>
            </w:pPr>
            <w:r>
              <w:rPr>
                <w:sz w:val="21"/>
              </w:rPr>
              <w:t>较大</w:t>
            </w:r>
          </w:p>
        </w:tc>
        <w:tc>
          <w:tcPr>
            <w:tcW w:w="762" w:type="pct"/>
            <w:tcBorders>
              <w:tl2br w:val="nil"/>
              <w:tr2bl w:val="nil"/>
            </w:tcBorders>
            <w:vAlign w:val="center"/>
          </w:tcPr>
          <w:p w14:paraId="5DE83025">
            <w:pPr>
              <w:pStyle w:val="140"/>
              <w:spacing w:before="0"/>
              <w:ind w:left="0" w:right="0"/>
              <w:rPr>
                <w:sz w:val="21"/>
              </w:rPr>
            </w:pPr>
            <w:r>
              <w:rPr>
                <w:sz w:val="21"/>
              </w:rPr>
              <w:t>重大</w:t>
            </w:r>
          </w:p>
        </w:tc>
        <w:tc>
          <w:tcPr>
            <w:tcW w:w="761" w:type="pct"/>
            <w:tcBorders>
              <w:tl2br w:val="nil"/>
              <w:tr2bl w:val="nil"/>
            </w:tcBorders>
            <w:vAlign w:val="center"/>
          </w:tcPr>
          <w:p w14:paraId="4F5F0BB7">
            <w:pPr>
              <w:pStyle w:val="140"/>
              <w:spacing w:before="0"/>
              <w:ind w:left="0" w:right="0"/>
              <w:rPr>
                <w:sz w:val="21"/>
              </w:rPr>
            </w:pPr>
            <w:r>
              <w:rPr>
                <w:sz w:val="21"/>
              </w:rPr>
              <w:t>重大</w:t>
            </w:r>
          </w:p>
        </w:tc>
        <w:tc>
          <w:tcPr>
            <w:tcW w:w="762" w:type="pct"/>
            <w:tcBorders>
              <w:tl2br w:val="nil"/>
              <w:tr2bl w:val="nil"/>
            </w:tcBorders>
            <w:vAlign w:val="center"/>
          </w:tcPr>
          <w:p w14:paraId="1FC61EFB">
            <w:pPr>
              <w:pStyle w:val="140"/>
              <w:spacing w:before="0"/>
              <w:ind w:left="0" w:right="0"/>
              <w:rPr>
                <w:sz w:val="21"/>
              </w:rPr>
            </w:pPr>
            <w:r>
              <w:rPr>
                <w:sz w:val="21"/>
              </w:rPr>
              <w:t>重大</w:t>
            </w:r>
          </w:p>
        </w:tc>
      </w:tr>
      <w:tr w14:paraId="347777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37" w:type="pct"/>
            <w:vMerge w:val="restart"/>
            <w:tcBorders>
              <w:tl2br w:val="nil"/>
              <w:tr2bl w:val="nil"/>
            </w:tcBorders>
            <w:vAlign w:val="center"/>
          </w:tcPr>
          <w:p w14:paraId="20B61EEB">
            <w:pPr>
              <w:pStyle w:val="140"/>
              <w:spacing w:before="0"/>
              <w:ind w:left="0"/>
              <w:jc w:val="center"/>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114" w:type="pct"/>
            <w:tcBorders>
              <w:tl2br w:val="nil"/>
              <w:tr2bl w:val="nil"/>
            </w:tcBorders>
            <w:vAlign w:val="center"/>
          </w:tcPr>
          <w:p w14:paraId="6A8D081A">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5929D064">
            <w:pPr>
              <w:pStyle w:val="140"/>
              <w:spacing w:before="0"/>
              <w:ind w:left="0" w:right="0"/>
              <w:rPr>
                <w:sz w:val="21"/>
              </w:rPr>
            </w:pPr>
            <w:r>
              <w:rPr>
                <w:sz w:val="21"/>
              </w:rPr>
              <w:t>一般</w:t>
            </w:r>
          </w:p>
        </w:tc>
        <w:tc>
          <w:tcPr>
            <w:tcW w:w="762" w:type="pct"/>
            <w:tcBorders>
              <w:tl2br w:val="nil"/>
              <w:tr2bl w:val="nil"/>
            </w:tcBorders>
            <w:vAlign w:val="center"/>
          </w:tcPr>
          <w:p w14:paraId="02163E37">
            <w:pPr>
              <w:pStyle w:val="140"/>
              <w:spacing w:before="0"/>
              <w:ind w:left="0" w:right="0"/>
              <w:rPr>
                <w:sz w:val="21"/>
              </w:rPr>
            </w:pPr>
            <w:r>
              <w:rPr>
                <w:sz w:val="21"/>
              </w:rPr>
              <w:t>一般</w:t>
            </w:r>
          </w:p>
        </w:tc>
        <w:tc>
          <w:tcPr>
            <w:tcW w:w="761" w:type="pct"/>
            <w:tcBorders>
              <w:tl2br w:val="nil"/>
              <w:tr2bl w:val="nil"/>
            </w:tcBorders>
            <w:vAlign w:val="center"/>
          </w:tcPr>
          <w:p w14:paraId="6896C4B2">
            <w:pPr>
              <w:pStyle w:val="140"/>
              <w:spacing w:before="0"/>
              <w:ind w:left="0" w:right="0"/>
              <w:rPr>
                <w:sz w:val="21"/>
              </w:rPr>
            </w:pPr>
            <w:r>
              <w:rPr>
                <w:sz w:val="21"/>
              </w:rPr>
              <w:t>较大</w:t>
            </w:r>
          </w:p>
        </w:tc>
        <w:tc>
          <w:tcPr>
            <w:tcW w:w="762" w:type="pct"/>
            <w:tcBorders>
              <w:tl2br w:val="nil"/>
              <w:tr2bl w:val="nil"/>
            </w:tcBorders>
            <w:vAlign w:val="center"/>
          </w:tcPr>
          <w:p w14:paraId="1530EFA2">
            <w:pPr>
              <w:pStyle w:val="140"/>
              <w:spacing w:before="0"/>
              <w:ind w:left="0" w:right="0"/>
              <w:rPr>
                <w:sz w:val="21"/>
              </w:rPr>
            </w:pPr>
            <w:r>
              <w:rPr>
                <w:sz w:val="21"/>
              </w:rPr>
              <w:t>较大</w:t>
            </w:r>
          </w:p>
        </w:tc>
      </w:tr>
      <w:tr w14:paraId="45015F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7" w:type="pct"/>
            <w:vMerge w:val="continue"/>
            <w:tcBorders>
              <w:tl2br w:val="nil"/>
              <w:tr2bl w:val="nil"/>
            </w:tcBorders>
            <w:vAlign w:val="center"/>
          </w:tcPr>
          <w:p w14:paraId="12E9AEC6">
            <w:pPr>
              <w:jc w:val="center"/>
              <w:rPr>
                <w:sz w:val="2"/>
                <w:szCs w:val="2"/>
              </w:rPr>
            </w:pPr>
          </w:p>
        </w:tc>
        <w:tc>
          <w:tcPr>
            <w:tcW w:w="1114" w:type="pct"/>
            <w:tcBorders>
              <w:tl2br w:val="nil"/>
              <w:tr2bl w:val="nil"/>
            </w:tcBorders>
            <w:vAlign w:val="center"/>
          </w:tcPr>
          <w:p w14:paraId="0DC07955">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45B0B6BF">
            <w:pPr>
              <w:pStyle w:val="140"/>
              <w:spacing w:before="0"/>
              <w:ind w:left="0" w:right="0"/>
              <w:rPr>
                <w:sz w:val="21"/>
              </w:rPr>
            </w:pPr>
            <w:r>
              <w:rPr>
                <w:sz w:val="21"/>
              </w:rPr>
              <w:t>一般</w:t>
            </w:r>
          </w:p>
        </w:tc>
        <w:tc>
          <w:tcPr>
            <w:tcW w:w="762" w:type="pct"/>
            <w:tcBorders>
              <w:tl2br w:val="nil"/>
              <w:tr2bl w:val="nil"/>
            </w:tcBorders>
            <w:vAlign w:val="center"/>
          </w:tcPr>
          <w:p w14:paraId="5B914620">
            <w:pPr>
              <w:pStyle w:val="140"/>
              <w:spacing w:before="0"/>
              <w:ind w:left="0" w:right="0"/>
              <w:rPr>
                <w:sz w:val="21"/>
              </w:rPr>
            </w:pPr>
            <w:r>
              <w:rPr>
                <w:sz w:val="21"/>
              </w:rPr>
              <w:t>较大</w:t>
            </w:r>
          </w:p>
        </w:tc>
        <w:tc>
          <w:tcPr>
            <w:tcW w:w="761" w:type="pct"/>
            <w:tcBorders>
              <w:tl2br w:val="nil"/>
              <w:tr2bl w:val="nil"/>
            </w:tcBorders>
            <w:vAlign w:val="center"/>
          </w:tcPr>
          <w:p w14:paraId="16583BCE">
            <w:pPr>
              <w:pStyle w:val="140"/>
              <w:spacing w:before="0"/>
              <w:ind w:left="0" w:right="0"/>
              <w:rPr>
                <w:sz w:val="21"/>
              </w:rPr>
            </w:pPr>
            <w:r>
              <w:rPr>
                <w:sz w:val="21"/>
              </w:rPr>
              <w:t>较大</w:t>
            </w:r>
          </w:p>
        </w:tc>
        <w:tc>
          <w:tcPr>
            <w:tcW w:w="762" w:type="pct"/>
            <w:tcBorders>
              <w:tl2br w:val="nil"/>
              <w:tr2bl w:val="nil"/>
            </w:tcBorders>
            <w:vAlign w:val="center"/>
          </w:tcPr>
          <w:p w14:paraId="51E6CBB6">
            <w:pPr>
              <w:pStyle w:val="140"/>
              <w:spacing w:before="0"/>
              <w:ind w:left="0" w:right="0"/>
              <w:rPr>
                <w:sz w:val="21"/>
              </w:rPr>
            </w:pPr>
            <w:r>
              <w:rPr>
                <w:sz w:val="21"/>
              </w:rPr>
              <w:t>重大</w:t>
            </w:r>
          </w:p>
        </w:tc>
      </w:tr>
      <w:tr w14:paraId="329132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09FE4FDF">
            <w:pPr>
              <w:jc w:val="center"/>
              <w:rPr>
                <w:sz w:val="2"/>
                <w:szCs w:val="2"/>
              </w:rPr>
            </w:pPr>
          </w:p>
        </w:tc>
        <w:tc>
          <w:tcPr>
            <w:tcW w:w="1114" w:type="pct"/>
            <w:tcBorders>
              <w:tl2br w:val="nil"/>
              <w:tr2bl w:val="nil"/>
            </w:tcBorders>
            <w:vAlign w:val="center"/>
          </w:tcPr>
          <w:p w14:paraId="55F3AE29">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2801F1AE">
            <w:pPr>
              <w:pStyle w:val="140"/>
              <w:spacing w:before="0"/>
              <w:ind w:left="0" w:right="0"/>
              <w:rPr>
                <w:sz w:val="21"/>
              </w:rPr>
            </w:pPr>
            <w:r>
              <w:rPr>
                <w:sz w:val="21"/>
              </w:rPr>
              <w:t>较大</w:t>
            </w:r>
          </w:p>
        </w:tc>
        <w:tc>
          <w:tcPr>
            <w:tcW w:w="762" w:type="pct"/>
            <w:tcBorders>
              <w:tl2br w:val="nil"/>
              <w:tr2bl w:val="nil"/>
            </w:tcBorders>
            <w:vAlign w:val="center"/>
          </w:tcPr>
          <w:p w14:paraId="416EDB64">
            <w:pPr>
              <w:pStyle w:val="140"/>
              <w:spacing w:before="0"/>
              <w:ind w:left="0" w:right="0"/>
              <w:rPr>
                <w:sz w:val="21"/>
              </w:rPr>
            </w:pPr>
            <w:r>
              <w:rPr>
                <w:sz w:val="21"/>
              </w:rPr>
              <w:t>较大</w:t>
            </w:r>
          </w:p>
        </w:tc>
        <w:tc>
          <w:tcPr>
            <w:tcW w:w="761" w:type="pct"/>
            <w:tcBorders>
              <w:tl2br w:val="nil"/>
              <w:tr2bl w:val="nil"/>
            </w:tcBorders>
            <w:vAlign w:val="center"/>
          </w:tcPr>
          <w:p w14:paraId="6BB4447A">
            <w:pPr>
              <w:pStyle w:val="140"/>
              <w:spacing w:before="0"/>
              <w:ind w:left="0" w:right="0"/>
              <w:rPr>
                <w:sz w:val="21"/>
              </w:rPr>
            </w:pPr>
            <w:r>
              <w:rPr>
                <w:sz w:val="21"/>
              </w:rPr>
              <w:t>重大</w:t>
            </w:r>
          </w:p>
        </w:tc>
        <w:tc>
          <w:tcPr>
            <w:tcW w:w="762" w:type="pct"/>
            <w:tcBorders>
              <w:tl2br w:val="nil"/>
              <w:tr2bl w:val="nil"/>
            </w:tcBorders>
            <w:vAlign w:val="center"/>
          </w:tcPr>
          <w:p w14:paraId="39C51A45">
            <w:pPr>
              <w:pStyle w:val="140"/>
              <w:spacing w:before="0"/>
              <w:ind w:left="0" w:right="0"/>
              <w:rPr>
                <w:sz w:val="21"/>
              </w:rPr>
            </w:pPr>
            <w:r>
              <w:rPr>
                <w:sz w:val="21"/>
              </w:rPr>
              <w:t>重大</w:t>
            </w:r>
          </w:p>
        </w:tc>
      </w:tr>
    </w:tbl>
    <w:p w14:paraId="2D053305">
      <w:pPr>
        <w:widowControl/>
        <w:adjustRightInd/>
        <w:snapToGrid/>
        <w:spacing w:line="240" w:lineRule="auto"/>
        <w:ind w:firstLine="0" w:firstLineChars="0"/>
        <w:jc w:val="center"/>
      </w:pPr>
    </w:p>
    <w:p w14:paraId="4477F988">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90" w:name="_Toc11255"/>
      <w:bookmarkStart w:id="291" w:name="_Toc6239"/>
      <w:bookmarkStart w:id="292" w:name="_Toc402776227"/>
      <w:r>
        <w:rPr>
          <w:rFonts w:hint="eastAsia" w:ascii="Times New Roman" w:hAnsi="Times New Roman" w:eastAsia="宋体" w:cs="Times New Roman"/>
          <w:color w:val="000000" w:themeColor="text1"/>
          <w:lang w:val="en-US" w:eastAsia="zh-CN"/>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2.5</w:t>
      </w:r>
      <w:r>
        <w:rPr>
          <w:rFonts w:hint="eastAsia" w:ascii="Times New Roman" w:hAnsi="Times New Roman" w:eastAsia="宋体" w:cs="Times New Roman"/>
          <w:color w:val="000000" w:themeColor="text1"/>
          <w:lang w:val="en-US" w:eastAsia="zh-CN"/>
          <w14:textFill>
            <w14:solidFill>
              <w14:schemeClr w14:val="tx1"/>
            </w14:solidFill>
          </w14:textFill>
        </w:rPr>
        <w:t>突发</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lang w:val="en-US" w:eastAsia="zh-CN"/>
          <w14:textFill>
            <w14:solidFill>
              <w14:schemeClr w14:val="tx1"/>
            </w14:solidFill>
          </w14:textFill>
        </w:rPr>
        <w:t>环境事件风险等级表征</w:t>
      </w:r>
      <w:bookmarkEnd w:id="290"/>
      <w:bookmarkEnd w:id="291"/>
    </w:p>
    <w:p w14:paraId="44152933">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环境事件风险等级表征分为两种情况：</w:t>
      </w:r>
    </w:p>
    <w:p w14:paraId="7B81E374">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（1）Q＜1，企业突发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环境事件风险等级表示为“一般</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（Q0）”；</w:t>
      </w:r>
    </w:p>
    <w:p w14:paraId="6E085548">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（2）Q≥1，企业突发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环境事件风险等级表示为“环境风险等级</w:t>
      </w:r>
      <w:r>
        <w:rPr>
          <w:rFonts w:hint="eastAsia" w:eastAsia="宋体"/>
          <w:color w:val="000000" w:themeColor="text1"/>
          <w:lang w:val="en-US" w:eastAsia="zh-CN"/>
          <w14:textFill>
            <w14:solidFill>
              <w14:schemeClr w14:val="tx1"/>
            </w14:solidFill>
          </w14:textFill>
        </w:rPr>
        <w:t>一水</w:t>
      </w:r>
      <w:r>
        <w:rPr>
          <w:rFonts w:hint="default" w:eastAsia="宋体"/>
          <w:color w:val="000000" w:themeColor="text1"/>
          <w:lang w:val="en-US" w:eastAsia="zh-CN"/>
          <w14:textFill>
            <w14:solidFill>
              <w14:schemeClr w14:val="tx1"/>
            </w14:solidFill>
          </w14:textFill>
        </w:rPr>
        <w:t>（Q水平-M类型-E类型）”。</w:t>
      </w:r>
    </w:p>
    <w:p w14:paraId="70333702">
      <w:pPr>
        <w:adjustRightInd w:val="0"/>
        <w:snapToGrid w:val="0"/>
        <w:spacing w:line="500" w:lineRule="exact"/>
        <w:ind w:firstLine="480" w:firstLineChars="200"/>
        <w:rPr>
          <w:rFonts w:hint="default"/>
        </w:rPr>
      </w:pPr>
      <w:r>
        <w:rPr>
          <w:rFonts w:hint="eastAsia" w:eastAsia="宋体" w:cs="Times New Roman"/>
          <w:color w:val="000000" w:themeColor="text1"/>
          <w:lang w:val="en-US" w:eastAsia="zh-CN"/>
          <w14:textFill>
            <w14:solidFill>
              <w14:schemeClr w14:val="tx1"/>
            </w14:solidFill>
          </w14:textFill>
        </w:rPr>
        <w:t>海安帝洁雅家具有限公司</w:t>
      </w:r>
      <w:r>
        <w:rPr>
          <w:rFonts w:hint="eastAsia" w:eastAsia="宋体" w:cs="Times New Roman"/>
          <w:color w:val="000000" w:themeColor="text1"/>
          <w:lang w:val="en-US" w:eastAsia="zh-CN"/>
          <w14:textFill>
            <w14:solidFill>
              <w14:schemeClr w14:val="tx1"/>
            </w14:solidFill>
          </w14:textFill>
        </w:rPr>
        <w:tab/>
      </w:r>
      <w:r>
        <w:rPr>
          <w:rFonts w:ascii="Times New Roman" w:hAnsi="Times New Roman" w:eastAsia="宋体"/>
          <w:b w:val="0"/>
          <w:color w:val="000000" w:themeColor="text1"/>
          <w:spacing w:val="0"/>
          <w14:textFill>
            <w14:solidFill>
              <w14:schemeClr w14:val="tx1"/>
            </w14:solidFill>
          </w14:textFill>
        </w:rPr>
        <w:t>Q</w:t>
      </w:r>
      <w:r>
        <w:rPr>
          <w:rFonts w:eastAsia="宋体"/>
          <w:b w:val="0"/>
          <w:color w:val="000000" w:themeColor="text1"/>
          <w14:textFill>
            <w14:solidFill>
              <w14:schemeClr w14:val="tx1"/>
            </w14:solidFill>
          </w14:textFill>
        </w:rPr>
        <w:t>＜</w:t>
      </w:r>
      <w:r>
        <w:rPr>
          <w:rFonts w:ascii="Times New Roman" w:hAnsi="Times New Roman" w:eastAsia="宋体"/>
          <w:b w:val="0"/>
          <w:color w:val="000000" w:themeColor="text1"/>
          <w:spacing w:val="0"/>
          <w14:textFill>
            <w14:solidFill>
              <w14:schemeClr w14:val="tx1"/>
            </w14:solidFill>
          </w14:textFill>
        </w:rPr>
        <w:t>1</w:t>
      </w:r>
      <w:r>
        <w:rPr>
          <w:rFonts w:eastAsia="宋体"/>
          <w:color w:val="000000" w:themeColor="text1"/>
          <w:w w:val="100"/>
          <w14:textFill>
            <w14:solidFill>
              <w14:schemeClr w14:val="tx1"/>
            </w14:solidFill>
          </w14:textFill>
        </w:rPr>
        <w:t>（</w:t>
      </w:r>
      <w:r>
        <w:rPr>
          <w:rFonts w:ascii="Times New Roman" w:hAnsi="Times New Roman" w:eastAsia="宋体"/>
          <w:color w:val="000000" w:themeColor="text1"/>
          <w14:textFill>
            <w14:solidFill>
              <w14:schemeClr w14:val="tx1"/>
            </w14:solidFill>
          </w14:textFill>
        </w:rPr>
        <w:t>Q0</w:t>
      </w:r>
      <w:r>
        <w:rPr>
          <w:rFonts w:eastAsia="宋体"/>
          <w:color w:val="000000" w:themeColor="text1"/>
          <w:spacing w:val="0"/>
          <w:w w:val="100"/>
          <w14:textFill>
            <w14:solidFill>
              <w14:schemeClr w14:val="tx1"/>
            </w14:solidFill>
          </w14:textFill>
        </w:rPr>
        <w:t>）</w:t>
      </w:r>
      <w:r>
        <w:rPr>
          <w:rFonts w:hint="default" w:eastAsia="宋体"/>
          <w:color w:val="000000" w:themeColor="text1"/>
          <w:spacing w:val="0"/>
          <w:w w:val="100"/>
          <w:lang w:eastAsia="zh-CN"/>
          <w14:textFill>
            <w14:solidFill>
              <w14:schemeClr w14:val="tx1"/>
            </w14:solidFill>
          </w14:textFill>
        </w:rPr>
        <w:t>，</w:t>
      </w:r>
      <w:r>
        <w:rPr>
          <w:rFonts w:hint="default" w:eastAsia="宋体"/>
          <w:color w:val="000000" w:themeColor="text1"/>
          <w:spacing w:val="0"/>
          <w:w w:val="100"/>
          <w:lang w:val="en-US" w:eastAsia="zh-CN"/>
          <w14:textFill>
            <w14:solidFill>
              <w14:schemeClr w14:val="tx1"/>
            </w14:solidFill>
          </w14:textFill>
        </w:rPr>
        <w:t>因此</w:t>
      </w:r>
      <w:r>
        <w:rPr>
          <w:rFonts w:hint="default"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lang w:val="en-US" w:eastAsia="zh-CN"/>
          <w14:textFill>
            <w14:solidFill>
              <w14:schemeClr w14:val="tx1"/>
            </w14:solidFill>
          </w14:textFill>
        </w:rPr>
        <w:t>风险等级</w:t>
      </w:r>
      <w:r>
        <w:rPr>
          <w:rFonts w:hint="eastAsia" w:eastAsia="宋体" w:cs="Times New Roman"/>
          <w:color w:val="000000" w:themeColor="text1"/>
          <w:lang w:val="en-US" w:eastAsia="zh-CN"/>
          <w14:textFill>
            <w14:solidFill>
              <w14:schemeClr w14:val="tx1"/>
            </w14:solidFill>
          </w14:textFill>
        </w:rPr>
        <w:t>表示</w:t>
      </w:r>
      <w:r>
        <w:rPr>
          <w:rFonts w:hint="default" w:ascii="Times New Roman" w:hAnsi="Times New Roman" w:eastAsia="宋体" w:cs="Times New Roman"/>
          <w:color w:val="000000" w:themeColor="text1"/>
          <w:lang w:val="en-US" w:eastAsia="zh-CN"/>
          <w14:textFill>
            <w14:solidFill>
              <w14:schemeClr w14:val="tx1"/>
            </w14:solidFill>
          </w14:textFill>
        </w:rPr>
        <w:t>为</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一般</w:t>
      </w:r>
      <w:r>
        <w:rPr>
          <w:rFonts w:hint="eastAsia"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lang w:val="en-US" w:eastAsia="zh-CN"/>
          <w14:textFill>
            <w14:solidFill>
              <w14:schemeClr w14:val="tx1"/>
            </w14:solidFill>
          </w14:textFill>
        </w:rPr>
        <w:t>（Q0）</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w:t>
      </w:r>
    </w:p>
    <w:bookmarkEnd w:id="292"/>
    <w:p w14:paraId="2CA34675">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93" w:name="_Toc535516089"/>
      <w:bookmarkStart w:id="294" w:name="_Toc27337"/>
      <w:bookmarkStart w:id="295" w:name="_Toc16652"/>
      <w:bookmarkStart w:id="296" w:name="_Toc534722046"/>
      <w:bookmarkStart w:id="297" w:name="_Toc6943"/>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风险等级调整</w:t>
      </w:r>
      <w:bookmarkEnd w:id="293"/>
      <w:bookmarkEnd w:id="294"/>
      <w:bookmarkEnd w:id="295"/>
      <w:bookmarkEnd w:id="296"/>
      <w:bookmarkEnd w:id="297"/>
    </w:p>
    <w:p w14:paraId="7D5B7A2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根据《企业突发环境事件风险分级分</w:t>
      </w:r>
      <w:r>
        <w:rPr>
          <w:rFonts w:hint="default" w:ascii="Times New Roman" w:hAnsi="Times New Roman" w:eastAsia="宋体" w:cs="Times New Roman"/>
          <w:snapToGrid w:val="0"/>
          <w:color w:val="000000" w:themeColor="text1"/>
          <w:kern w:val="0"/>
          <w14:textFill>
            <w14:solidFill>
              <w14:schemeClr w14:val="tx1"/>
            </w14:solidFill>
          </w14:textFill>
        </w:rPr>
        <w:t>级方法》（HJ941-2018）要</w:t>
      </w:r>
      <w:r>
        <w:rPr>
          <w:rFonts w:hint="eastAsia" w:ascii="宋体" w:hAnsi="宋体" w:eastAsia="宋体" w:cs="宋体"/>
          <w:snapToGrid w:val="0"/>
          <w:color w:val="000000" w:themeColor="text1"/>
          <w:kern w:val="0"/>
          <w14:textFill>
            <w14:solidFill>
              <w14:schemeClr w14:val="tx1"/>
            </w14:solidFill>
          </w14:textFill>
        </w:rPr>
        <w:t>求，近三年内因违法排放污染物、非法转移处置危险废物等行为受到环境保护主管部门处罚的企业，在已评定的突发环境事件风险等级基础上调高一级，最高等级为重大。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14:paraId="577BE42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snapToGrid w:val="0"/>
          <w:kern w:val="0"/>
        </w:rPr>
        <w:t>通过上述分析</w:t>
      </w:r>
      <w:r>
        <w:rPr>
          <w:rFonts w:hint="default" w:ascii="Times New Roman" w:hAnsi="Times New Roman" w:eastAsia="宋体" w:cs="Times New Roman"/>
        </w:rPr>
        <w:t>，公司突发环境事件风险等级为：</w:t>
      </w:r>
      <w:bookmarkStart w:id="298" w:name="_Hlk5802374"/>
      <w:r>
        <w:rPr>
          <w:rFonts w:hint="default" w:ascii="Times New Roman" w:hAnsi="Times New Roman" w:eastAsia="宋体" w:cs="Times New Roman"/>
          <w:b/>
        </w:rPr>
        <w:t>一般［一般</w:t>
      </w:r>
      <w:r>
        <w:rPr>
          <w:rFonts w:hint="eastAsia" w:eastAsia="宋体" w:cs="Times New Roman"/>
          <w:b/>
          <w:lang w:eastAsia="zh-CN"/>
        </w:rPr>
        <w:t>－</w:t>
      </w:r>
      <w:r>
        <w:rPr>
          <w:rFonts w:hint="default" w:ascii="Times New Roman" w:hAnsi="Times New Roman" w:eastAsia="宋体" w:cs="Times New Roman"/>
          <w:b/>
        </w:rPr>
        <w:t>大气（Q0）+一般</w:t>
      </w:r>
      <w:r>
        <w:rPr>
          <w:rFonts w:hint="eastAsia" w:eastAsia="宋体" w:cs="Times New Roman"/>
          <w:b/>
          <w:lang w:eastAsia="zh-CN"/>
        </w:rPr>
        <w:t>－</w:t>
      </w:r>
      <w:r>
        <w:rPr>
          <w:rFonts w:hint="default" w:ascii="Times New Roman" w:hAnsi="Times New Roman" w:eastAsia="宋体" w:cs="Times New Roman"/>
          <w:b/>
        </w:rPr>
        <w:t>水（</w:t>
      </w:r>
      <w:r>
        <w:rPr>
          <w:rFonts w:hint="default" w:ascii="Times New Roman" w:hAnsi="Times New Roman" w:eastAsia="宋体" w:cs="Times New Roman"/>
          <w:b/>
          <w:lang w:val="en-US" w:eastAsia="zh-CN"/>
        </w:rPr>
        <w:t>Q</w:t>
      </w:r>
      <w:r>
        <w:rPr>
          <w:rFonts w:hint="eastAsia" w:eastAsia="宋体" w:cs="Times New Roman"/>
          <w:b/>
          <w:lang w:val="en-US" w:eastAsia="zh-CN"/>
        </w:rPr>
        <w:t>0</w:t>
      </w:r>
      <w:r>
        <w:rPr>
          <w:rFonts w:hint="default" w:ascii="Times New Roman" w:hAnsi="Times New Roman" w:eastAsia="宋体" w:cs="Times New Roman"/>
          <w:b/>
        </w:rPr>
        <w:t>）］</w:t>
      </w:r>
      <w:r>
        <w:rPr>
          <w:rFonts w:hint="default" w:ascii="Times New Roman" w:hAnsi="Times New Roman" w:eastAsia="宋体" w:cs="Times New Roman"/>
        </w:rPr>
        <w:t>。</w:t>
      </w:r>
      <w:bookmarkEnd w:id="298"/>
    </w:p>
    <w:p w14:paraId="0AF5BED6">
      <w:pPr>
        <w:adjustRightInd w:val="0"/>
        <w:snapToGrid w:val="0"/>
        <w:spacing w:line="500" w:lineRule="exact"/>
        <w:ind w:firstLine="480" w:firstLineChars="200"/>
        <w:rPr>
          <w:rFonts w:hint="eastAsia" w:ascii="宋体" w:hAnsi="宋体" w:eastAsia="宋体" w:cs="宋体"/>
          <w:lang w:eastAsia="zh-CN"/>
        </w:rPr>
      </w:pPr>
      <w:r>
        <w:rPr>
          <w:rFonts w:hint="default" w:ascii="Times New Roman" w:hAnsi="Times New Roman" w:eastAsia="宋体" w:cs="Times New Roman"/>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bookmarkEnd w:id="1"/>
      <w:bookmarkEnd w:id="2"/>
      <w:bookmarkEnd w:id="246"/>
    </w:p>
    <w:p w14:paraId="0B6E7776">
      <w:pPr>
        <w:adjustRightInd w:val="0"/>
        <w:snapToGrid w:val="0"/>
        <w:spacing w:line="500" w:lineRule="exact"/>
        <w:ind w:firstLine="480" w:firstLineChars="200"/>
        <w:rPr>
          <w:rFonts w:hint="eastAsia" w:ascii="宋体" w:hAnsi="宋体" w:eastAsia="宋体" w:cs="宋体"/>
          <w:lang w:eastAsia="zh-CN"/>
        </w:rPr>
      </w:pPr>
    </w:p>
    <w:sectPr>
      <w:footerReference r:id="rId12" w:type="default"/>
      <w:footerReference r:id="rId13" w:type="even"/>
      <w:pgSz w:w="11906" w:h="16838"/>
      <w:pgMar w:top="1440" w:right="1440" w:bottom="1440" w:left="1440" w:header="964"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67A1C">
    <w:pPr>
      <w:pStyle w:val="22"/>
      <w:framePr w:wrap="around" w:vAnchor="text" w:hAnchor="margin" w:xAlign="center" w:y="1"/>
      <w:rPr>
        <w:rFonts w:hint="eastAsia" w:eastAsia="仿宋_GB2312"/>
        <w:lang w:eastAsia="zh-CN"/>
      </w:rPr>
    </w:pPr>
    <w:r>
      <w:fldChar w:fldCharType="begin"/>
    </w:r>
    <w:r>
      <w:rPr>
        <w:rStyle w:val="41"/>
      </w:rPr>
      <w:instrText xml:space="preserve">PAGE  </w:instrText>
    </w:r>
    <w:r>
      <w:fldChar w:fldCharType="end"/>
    </w:r>
  </w:p>
  <w:p w14:paraId="2267D679">
    <w:pPr>
      <w:pStyle w:val="22"/>
      <w:framePr w:wrap="around" w:vAnchor="text" w:hAnchor="margin" w:xAlign="center" w:y="1"/>
      <w:rPr>
        <w:rFonts w:hint="eastAsia" w:eastAsia="仿宋_GB2312"/>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112A">
    <w:pPr>
      <w:pStyle w:val="22"/>
      <w:jc w:val="center"/>
    </w:pPr>
    <w:r>
      <w:fldChar w:fldCharType="begin"/>
    </w:r>
    <w:r>
      <w:instrText xml:space="preserve"> PAGE   \* MERGEFORMAT </w:instrText>
    </w:r>
    <w:r>
      <w:fldChar w:fldCharType="separate"/>
    </w:r>
    <w: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FE1D1">
    <w:pPr>
      <w:pStyle w:val="1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6F686AA8">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7216;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BvMIoruwEAAHMDAAAOAAAAAAAAAAEAIAAAACkBAABkcnMvZTJvRG9jLnht&#10;bFBLBQYAAAAABgAGAFkBAABWBQAAAAA=&#10;">
              <v:fill on="f" focussize="0,0"/>
              <v:stroke on="f"/>
              <v:imagedata o:title=""/>
              <o:lock v:ext="edit" aspectratio="f"/>
              <v:textbox inset="0mm,0mm,0mm,0mm">
                <w:txbxContent>
                  <w:p w14:paraId="6F686AA8">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A9ED0">
    <w:pPr>
      <w:pStyle w:val="1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04078CBF">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4144;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mN7/NoAAAANAQAADwAAAAAAAAABACAAAAAiAAAAZHJzL2Rvd25yZXYueG1sUEsB&#10;AhQAFAAAAAgAh07iQH3Rmhq6AQAAcwMAAA4AAAAAAAAAAQAgAAAAKQEAAGRycy9lMm9Eb2MueG1s&#10;UEsFBgAAAAAGAAYAWQEAAFUFAAAAAA==&#10;">
              <v:fill on="f" focussize="0,0"/>
              <v:stroke on="f"/>
              <v:imagedata o:title=""/>
              <o:lock v:ext="edit" aspectratio="f"/>
              <v:textbox inset="0mm,0mm,0mm,0mm">
                <w:txbxContent>
                  <w:p w14:paraId="04078CBF">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9D852">
    <w:pPr>
      <w:pStyle w:val="13"/>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5172710</wp:posOffset>
              </wp:positionH>
              <wp:positionV relativeFrom="page">
                <wp:posOffset>6774180</wp:posOffset>
              </wp:positionV>
              <wp:extent cx="166370" cy="1524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104C9E94">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56</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7.3pt;margin-top:533.4pt;height:12pt;width:13.1pt;mso-position-horizontal-relative:page;mso-position-vertical-relative:page;z-index:-251653120;mso-width-relative:page;mso-height-relative:page;" filled="f" stroked="f" coordsize="21600,21600" o:gfxdata="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jaUPrXAAAADQEAAA8AAAAAAAAAAQAgAAAAIgAAAGRycy9kb3ducmV2LnhtbFBLAQIU&#10;ABQAAAAIAIdO4kAg0YynuwEAAHMDAAAOAAAAAAAAAAEAIAAAACYBAABkcnMvZTJvRG9jLnhtbFBL&#10;BQYAAAAABgAGAFkBAABTBQAAAAA=&#10;">
              <v:fill on="f" focussize="0,0"/>
              <v:stroke on="f"/>
              <v:imagedata o:title=""/>
              <o:lock v:ext="edit" aspectratio="f"/>
              <v:textbox inset="0mm,0mm,0mm,0mm">
                <w:txbxContent>
                  <w:p w14:paraId="104C9E94">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F69C8">
    <w:pPr>
      <w:pStyle w:val="13"/>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4ACE0B2E">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59</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1072;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AwWn9CuwEAAHMDAAAOAAAAAAAAAAEAIAAAACkBAABkcnMvZTJvRG9jLnht&#10;bFBLBQYAAAAABgAGAFkBAABWBQAAAAA=&#10;">
              <v:fill on="f" focussize="0,0"/>
              <v:stroke on="f"/>
              <v:imagedata o:title=""/>
              <o:lock v:ext="edit" aspectratio="f"/>
              <v:textbox inset="0mm,0mm,0mm,0mm">
                <w:txbxContent>
                  <w:p w14:paraId="4ACE0B2E">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C34E0">
    <w:pPr>
      <w:pStyle w:val="22"/>
      <w:framePr w:wrap="around" w:vAnchor="text" w:hAnchor="margin" w:xAlign="center" w:y="1"/>
      <w:rPr>
        <w:rFonts w:hint="eastAsia" w:eastAsia="仿宋_GB2312"/>
        <w:lang w:eastAsia="zh-CN"/>
      </w:rPr>
    </w:pPr>
    <w:r>
      <w:fldChar w:fldCharType="begin"/>
    </w:r>
    <w:r>
      <w:rPr>
        <w:rStyle w:val="41"/>
      </w:rPr>
      <w:instrText xml:space="preserve">PAGE  </w:instrText>
    </w:r>
    <w:r>
      <w:fldChar w:fldCharType="end"/>
    </w:r>
  </w:p>
  <w:p w14:paraId="45F43D42">
    <w:pPr>
      <w:pStyle w:val="22"/>
      <w:framePr w:wrap="around" w:vAnchor="text" w:hAnchor="margin" w:xAlign="center" w:y="1"/>
      <w:rPr>
        <w:rFonts w:hint="eastAsia" w:eastAsia="仿宋_GB2312"/>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1E842">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1DA06">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E9DC1">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05C5E">
    <w:pPr>
      <w:pStyle w:val="23"/>
      <w:rPr>
        <w:rFonts w:ascii="仿宋" w:hAnsi="仿宋" w:eastAsia="仿宋"/>
      </w:rPr>
    </w:pPr>
    <w:r>
      <w:rPr>
        <w:rFonts w:hint="eastAsia" w:ascii="仿宋" w:hAnsi="仿宋" w:eastAsia="仿宋"/>
        <w:lang w:eastAsia="zh-CN"/>
      </w:rPr>
      <w:t>海安帝洁雅家具有限公司</w:t>
    </w:r>
    <w:r>
      <w:rPr>
        <w:rFonts w:hint="eastAsia" w:ascii="仿宋" w:hAnsi="仿宋" w:eastAsia="仿宋"/>
        <w:lang w:val="en-US" w:eastAsia="zh-CN"/>
      </w:rPr>
      <w:t>突发环境事件</w:t>
    </w:r>
    <w:r>
      <w:rPr>
        <w:rFonts w:hint="eastAsia" w:ascii="仿宋" w:hAnsi="仿宋" w:eastAsia="仿宋"/>
      </w:rPr>
      <w:t>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923771"/>
    <w:multiLevelType w:val="multilevel"/>
    <w:tmpl w:val="BE923771"/>
    <w:lvl w:ilvl="0" w:tentative="0">
      <w:start w:val="1"/>
      <w:numFmt w:val="decimal"/>
      <w:lvlText w:val="（%1）"/>
      <w:lvlJc w:val="left"/>
      <w:pPr>
        <w:ind w:left="1378" w:hanging="60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2150" w:hanging="601"/>
      </w:pPr>
      <w:rPr>
        <w:rFonts w:hint="default"/>
        <w:lang w:val="zh-CN" w:eastAsia="zh-CN" w:bidi="zh-CN"/>
      </w:rPr>
    </w:lvl>
    <w:lvl w:ilvl="2" w:tentative="0">
      <w:start w:val="0"/>
      <w:numFmt w:val="bullet"/>
      <w:lvlText w:val="•"/>
      <w:lvlJc w:val="left"/>
      <w:pPr>
        <w:ind w:left="2921" w:hanging="601"/>
      </w:pPr>
      <w:rPr>
        <w:rFonts w:hint="default"/>
        <w:lang w:val="zh-CN" w:eastAsia="zh-CN" w:bidi="zh-CN"/>
      </w:rPr>
    </w:lvl>
    <w:lvl w:ilvl="3" w:tentative="0">
      <w:start w:val="0"/>
      <w:numFmt w:val="bullet"/>
      <w:lvlText w:val="•"/>
      <w:lvlJc w:val="left"/>
      <w:pPr>
        <w:ind w:left="3691" w:hanging="601"/>
      </w:pPr>
      <w:rPr>
        <w:rFonts w:hint="default"/>
        <w:lang w:val="zh-CN" w:eastAsia="zh-CN" w:bidi="zh-CN"/>
      </w:rPr>
    </w:lvl>
    <w:lvl w:ilvl="4" w:tentative="0">
      <w:start w:val="0"/>
      <w:numFmt w:val="bullet"/>
      <w:lvlText w:val="•"/>
      <w:lvlJc w:val="left"/>
      <w:pPr>
        <w:ind w:left="4462" w:hanging="601"/>
      </w:pPr>
      <w:rPr>
        <w:rFonts w:hint="default"/>
        <w:lang w:val="zh-CN" w:eastAsia="zh-CN" w:bidi="zh-CN"/>
      </w:rPr>
    </w:lvl>
    <w:lvl w:ilvl="5" w:tentative="0">
      <w:start w:val="0"/>
      <w:numFmt w:val="bullet"/>
      <w:lvlText w:val="•"/>
      <w:lvlJc w:val="left"/>
      <w:pPr>
        <w:ind w:left="5233" w:hanging="601"/>
      </w:pPr>
      <w:rPr>
        <w:rFonts w:hint="default"/>
        <w:lang w:val="zh-CN" w:eastAsia="zh-CN" w:bidi="zh-CN"/>
      </w:rPr>
    </w:lvl>
    <w:lvl w:ilvl="6" w:tentative="0">
      <w:start w:val="0"/>
      <w:numFmt w:val="bullet"/>
      <w:lvlText w:val="•"/>
      <w:lvlJc w:val="left"/>
      <w:pPr>
        <w:ind w:left="6003" w:hanging="601"/>
      </w:pPr>
      <w:rPr>
        <w:rFonts w:hint="default"/>
        <w:lang w:val="zh-CN" w:eastAsia="zh-CN" w:bidi="zh-CN"/>
      </w:rPr>
    </w:lvl>
    <w:lvl w:ilvl="7" w:tentative="0">
      <w:start w:val="0"/>
      <w:numFmt w:val="bullet"/>
      <w:lvlText w:val="•"/>
      <w:lvlJc w:val="left"/>
      <w:pPr>
        <w:ind w:left="6774" w:hanging="601"/>
      </w:pPr>
      <w:rPr>
        <w:rFonts w:hint="default"/>
        <w:lang w:val="zh-CN" w:eastAsia="zh-CN" w:bidi="zh-CN"/>
      </w:rPr>
    </w:lvl>
    <w:lvl w:ilvl="8" w:tentative="0">
      <w:start w:val="0"/>
      <w:numFmt w:val="bullet"/>
      <w:lvlText w:val="•"/>
      <w:lvlJc w:val="left"/>
      <w:pPr>
        <w:ind w:left="7544" w:hanging="601"/>
      </w:pPr>
      <w:rPr>
        <w:rFonts w:hint="default"/>
        <w:lang w:val="zh-CN" w:eastAsia="zh-CN" w:bidi="zh-CN"/>
      </w:rPr>
    </w:lvl>
  </w:abstractNum>
  <w:abstractNum w:abstractNumId="1">
    <w:nsid w:val="CC07C0A9"/>
    <w:multiLevelType w:val="singleLevel"/>
    <w:tmpl w:val="CC07C0A9"/>
    <w:lvl w:ilvl="0" w:tentative="0">
      <w:start w:val="1"/>
      <w:numFmt w:val="decimal"/>
      <w:suff w:val="nothing"/>
      <w:lvlText w:val="（%1）"/>
      <w:lvlJc w:val="left"/>
    </w:lvl>
  </w:abstractNum>
  <w:abstractNum w:abstractNumId="2">
    <w:nsid w:val="EC931113"/>
    <w:multiLevelType w:val="singleLevel"/>
    <w:tmpl w:val="EC931113"/>
    <w:lvl w:ilvl="0" w:tentative="0">
      <w:start w:val="1"/>
      <w:numFmt w:val="decimal"/>
      <w:suff w:val="nothing"/>
      <w:lvlText w:val="（%1）"/>
      <w:lvlJc w:val="left"/>
    </w:lvl>
  </w:abstractNum>
  <w:abstractNum w:abstractNumId="3">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4">
    <w:nsid w:val="594B169E"/>
    <w:multiLevelType w:val="singleLevel"/>
    <w:tmpl w:val="594B169E"/>
    <w:lvl w:ilvl="0" w:tentative="0">
      <w:start w:val="2"/>
      <w:numFmt w:val="decimal"/>
      <w:suff w:val="nothing"/>
      <w:lvlText w:val="（%1）"/>
      <w:lvlJc w:val="left"/>
    </w:lvl>
  </w:abstractNum>
  <w:abstractNum w:abstractNumId="5">
    <w:nsid w:val="5B96E60B"/>
    <w:multiLevelType w:val="singleLevel"/>
    <w:tmpl w:val="5B96E60B"/>
    <w:lvl w:ilvl="0" w:tentative="0">
      <w:start w:val="3"/>
      <w:numFmt w:val="decimal"/>
      <w:suff w:val="nothing"/>
      <w:lvlText w:val="%1、"/>
      <w:lvlJc w:val="left"/>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NjhmZmQ2NzdmOTEyNWVlNjA1MTAwZTIwMjE3OGQifQ=="/>
  </w:docVars>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3B1"/>
    <w:rsid w:val="001D0AE6"/>
    <w:rsid w:val="001D1930"/>
    <w:rsid w:val="001D3062"/>
    <w:rsid w:val="001D3846"/>
    <w:rsid w:val="001D43BB"/>
    <w:rsid w:val="001D4737"/>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0027"/>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4960"/>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97C4E"/>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135705"/>
    <w:rsid w:val="01390BCC"/>
    <w:rsid w:val="015651CB"/>
    <w:rsid w:val="015C4234"/>
    <w:rsid w:val="01666558"/>
    <w:rsid w:val="01951891"/>
    <w:rsid w:val="0196004B"/>
    <w:rsid w:val="01DE6C1C"/>
    <w:rsid w:val="01F319A2"/>
    <w:rsid w:val="01F44222"/>
    <w:rsid w:val="02010A8E"/>
    <w:rsid w:val="023A4AFE"/>
    <w:rsid w:val="024A3371"/>
    <w:rsid w:val="025342FC"/>
    <w:rsid w:val="027020A3"/>
    <w:rsid w:val="02844EF0"/>
    <w:rsid w:val="02A320BD"/>
    <w:rsid w:val="02A40DDE"/>
    <w:rsid w:val="02A721CC"/>
    <w:rsid w:val="02AE7314"/>
    <w:rsid w:val="02F32FFC"/>
    <w:rsid w:val="02F67A53"/>
    <w:rsid w:val="03015CA8"/>
    <w:rsid w:val="030465D4"/>
    <w:rsid w:val="0306040C"/>
    <w:rsid w:val="031F1E04"/>
    <w:rsid w:val="032478F0"/>
    <w:rsid w:val="03301197"/>
    <w:rsid w:val="034C4F1B"/>
    <w:rsid w:val="036B611E"/>
    <w:rsid w:val="03B460E6"/>
    <w:rsid w:val="03BD711C"/>
    <w:rsid w:val="03E05B99"/>
    <w:rsid w:val="03ED0B73"/>
    <w:rsid w:val="03F826EF"/>
    <w:rsid w:val="040D4647"/>
    <w:rsid w:val="04193F84"/>
    <w:rsid w:val="041C1EA4"/>
    <w:rsid w:val="045D37F5"/>
    <w:rsid w:val="04910518"/>
    <w:rsid w:val="04C22816"/>
    <w:rsid w:val="04E62E18"/>
    <w:rsid w:val="04F507E0"/>
    <w:rsid w:val="04FD3DB2"/>
    <w:rsid w:val="0502151A"/>
    <w:rsid w:val="05125682"/>
    <w:rsid w:val="053E54C2"/>
    <w:rsid w:val="054260F9"/>
    <w:rsid w:val="057335C1"/>
    <w:rsid w:val="058B5B44"/>
    <w:rsid w:val="05B21A86"/>
    <w:rsid w:val="05FF342F"/>
    <w:rsid w:val="060D04D1"/>
    <w:rsid w:val="06144F13"/>
    <w:rsid w:val="06347FAA"/>
    <w:rsid w:val="06840B3B"/>
    <w:rsid w:val="0687353C"/>
    <w:rsid w:val="06A03611"/>
    <w:rsid w:val="06AD3DF6"/>
    <w:rsid w:val="06B548C2"/>
    <w:rsid w:val="06CB77F8"/>
    <w:rsid w:val="06D94A2A"/>
    <w:rsid w:val="07001C9F"/>
    <w:rsid w:val="0731545B"/>
    <w:rsid w:val="07840838"/>
    <w:rsid w:val="07A6120A"/>
    <w:rsid w:val="07B635D8"/>
    <w:rsid w:val="080136D5"/>
    <w:rsid w:val="08073233"/>
    <w:rsid w:val="080A092D"/>
    <w:rsid w:val="08766E28"/>
    <w:rsid w:val="088C4FBB"/>
    <w:rsid w:val="089A2375"/>
    <w:rsid w:val="08AC03F8"/>
    <w:rsid w:val="08D27E05"/>
    <w:rsid w:val="08E26E3A"/>
    <w:rsid w:val="08EF4796"/>
    <w:rsid w:val="08F63846"/>
    <w:rsid w:val="090F4267"/>
    <w:rsid w:val="091308EE"/>
    <w:rsid w:val="09130EA8"/>
    <w:rsid w:val="09440A55"/>
    <w:rsid w:val="096716D2"/>
    <w:rsid w:val="09752731"/>
    <w:rsid w:val="097B1990"/>
    <w:rsid w:val="09BF288E"/>
    <w:rsid w:val="09E607A8"/>
    <w:rsid w:val="09F6675B"/>
    <w:rsid w:val="0A1F04A2"/>
    <w:rsid w:val="0A2967BB"/>
    <w:rsid w:val="0A35663D"/>
    <w:rsid w:val="0A356F09"/>
    <w:rsid w:val="0A3F53B7"/>
    <w:rsid w:val="0A424F95"/>
    <w:rsid w:val="0A427060"/>
    <w:rsid w:val="0A4976CC"/>
    <w:rsid w:val="0A4D06EB"/>
    <w:rsid w:val="0A5019AF"/>
    <w:rsid w:val="0A573B2B"/>
    <w:rsid w:val="0A9D4DDA"/>
    <w:rsid w:val="0AB84854"/>
    <w:rsid w:val="0AB90523"/>
    <w:rsid w:val="0AB97741"/>
    <w:rsid w:val="0ABA7636"/>
    <w:rsid w:val="0ACB4B88"/>
    <w:rsid w:val="0AD37E61"/>
    <w:rsid w:val="0AD506BE"/>
    <w:rsid w:val="0AE8794C"/>
    <w:rsid w:val="0B2A1067"/>
    <w:rsid w:val="0B3D000D"/>
    <w:rsid w:val="0B521208"/>
    <w:rsid w:val="0B847AD1"/>
    <w:rsid w:val="0B997C9E"/>
    <w:rsid w:val="0BA25756"/>
    <w:rsid w:val="0BE0373D"/>
    <w:rsid w:val="0C610511"/>
    <w:rsid w:val="0C6403F1"/>
    <w:rsid w:val="0CBC7E52"/>
    <w:rsid w:val="0CC9509F"/>
    <w:rsid w:val="0CD4732C"/>
    <w:rsid w:val="0D044A13"/>
    <w:rsid w:val="0D1060C8"/>
    <w:rsid w:val="0D163B1B"/>
    <w:rsid w:val="0D2F10B2"/>
    <w:rsid w:val="0D4E5218"/>
    <w:rsid w:val="0D600B32"/>
    <w:rsid w:val="0D652DDF"/>
    <w:rsid w:val="0DA55244"/>
    <w:rsid w:val="0DCF2C91"/>
    <w:rsid w:val="0DE37DAB"/>
    <w:rsid w:val="0DE63D1B"/>
    <w:rsid w:val="0E007773"/>
    <w:rsid w:val="0E05432C"/>
    <w:rsid w:val="0E230A9C"/>
    <w:rsid w:val="0E3916B2"/>
    <w:rsid w:val="0E587898"/>
    <w:rsid w:val="0E624A26"/>
    <w:rsid w:val="0E966CBC"/>
    <w:rsid w:val="0F010813"/>
    <w:rsid w:val="0F5041E1"/>
    <w:rsid w:val="0F5F5DEF"/>
    <w:rsid w:val="0F6578F8"/>
    <w:rsid w:val="0F741646"/>
    <w:rsid w:val="0F762A88"/>
    <w:rsid w:val="0F845151"/>
    <w:rsid w:val="0FA66F21"/>
    <w:rsid w:val="0FC55172"/>
    <w:rsid w:val="0FC84887"/>
    <w:rsid w:val="0FEC2D8E"/>
    <w:rsid w:val="0FF30FEA"/>
    <w:rsid w:val="1001144E"/>
    <w:rsid w:val="10297BF6"/>
    <w:rsid w:val="10496292"/>
    <w:rsid w:val="105A4DF7"/>
    <w:rsid w:val="10E41AA8"/>
    <w:rsid w:val="10E50428"/>
    <w:rsid w:val="10E84CC4"/>
    <w:rsid w:val="10F13271"/>
    <w:rsid w:val="110A4333"/>
    <w:rsid w:val="1118155D"/>
    <w:rsid w:val="11587417"/>
    <w:rsid w:val="117C6CDD"/>
    <w:rsid w:val="119254E8"/>
    <w:rsid w:val="119C3D87"/>
    <w:rsid w:val="11B86C8E"/>
    <w:rsid w:val="11DC2678"/>
    <w:rsid w:val="11F37AAF"/>
    <w:rsid w:val="1231505F"/>
    <w:rsid w:val="12490C1A"/>
    <w:rsid w:val="126A3E6B"/>
    <w:rsid w:val="126C326A"/>
    <w:rsid w:val="12815AEB"/>
    <w:rsid w:val="12C337DE"/>
    <w:rsid w:val="13017C14"/>
    <w:rsid w:val="13083EAD"/>
    <w:rsid w:val="131C3227"/>
    <w:rsid w:val="13215E10"/>
    <w:rsid w:val="13283DEC"/>
    <w:rsid w:val="1338026C"/>
    <w:rsid w:val="13544C3F"/>
    <w:rsid w:val="135F0B15"/>
    <w:rsid w:val="13634DDD"/>
    <w:rsid w:val="13856446"/>
    <w:rsid w:val="1396747A"/>
    <w:rsid w:val="13A3130F"/>
    <w:rsid w:val="13E82F19"/>
    <w:rsid w:val="14010C77"/>
    <w:rsid w:val="140356B0"/>
    <w:rsid w:val="141D30BE"/>
    <w:rsid w:val="14587E57"/>
    <w:rsid w:val="145A2571"/>
    <w:rsid w:val="14741441"/>
    <w:rsid w:val="14BB1C9F"/>
    <w:rsid w:val="15094C5D"/>
    <w:rsid w:val="15316317"/>
    <w:rsid w:val="155906E9"/>
    <w:rsid w:val="155E2E9F"/>
    <w:rsid w:val="156247B4"/>
    <w:rsid w:val="1570752D"/>
    <w:rsid w:val="15770229"/>
    <w:rsid w:val="158826C2"/>
    <w:rsid w:val="15AF273C"/>
    <w:rsid w:val="15B14CD7"/>
    <w:rsid w:val="15D07525"/>
    <w:rsid w:val="15E2544F"/>
    <w:rsid w:val="1600098F"/>
    <w:rsid w:val="160E0B58"/>
    <w:rsid w:val="165A62EF"/>
    <w:rsid w:val="165B5E1A"/>
    <w:rsid w:val="16620A0C"/>
    <w:rsid w:val="16745DD3"/>
    <w:rsid w:val="16846772"/>
    <w:rsid w:val="16DD0CDF"/>
    <w:rsid w:val="16EE4C4E"/>
    <w:rsid w:val="16F10978"/>
    <w:rsid w:val="16FA509C"/>
    <w:rsid w:val="17072B4C"/>
    <w:rsid w:val="170D12AB"/>
    <w:rsid w:val="171A3ED5"/>
    <w:rsid w:val="17205BE7"/>
    <w:rsid w:val="17465AAA"/>
    <w:rsid w:val="17503104"/>
    <w:rsid w:val="17505D4E"/>
    <w:rsid w:val="17783BE3"/>
    <w:rsid w:val="1779628A"/>
    <w:rsid w:val="17815854"/>
    <w:rsid w:val="17925175"/>
    <w:rsid w:val="17C01CAC"/>
    <w:rsid w:val="17E37BDB"/>
    <w:rsid w:val="17EF3F70"/>
    <w:rsid w:val="17F142A9"/>
    <w:rsid w:val="18063F3F"/>
    <w:rsid w:val="180A4E9A"/>
    <w:rsid w:val="180D7251"/>
    <w:rsid w:val="18165E8A"/>
    <w:rsid w:val="188D5D73"/>
    <w:rsid w:val="189169E3"/>
    <w:rsid w:val="18925E68"/>
    <w:rsid w:val="18A66EE8"/>
    <w:rsid w:val="18B164AA"/>
    <w:rsid w:val="18D314AE"/>
    <w:rsid w:val="18D32768"/>
    <w:rsid w:val="190A363B"/>
    <w:rsid w:val="190D75D7"/>
    <w:rsid w:val="19127E89"/>
    <w:rsid w:val="193D60D8"/>
    <w:rsid w:val="195329B1"/>
    <w:rsid w:val="1960212B"/>
    <w:rsid w:val="196E31B2"/>
    <w:rsid w:val="19B060A9"/>
    <w:rsid w:val="19B51C74"/>
    <w:rsid w:val="19B94B48"/>
    <w:rsid w:val="19DA77B2"/>
    <w:rsid w:val="19E6067F"/>
    <w:rsid w:val="1A26411C"/>
    <w:rsid w:val="1A6A1583"/>
    <w:rsid w:val="1A6A6181"/>
    <w:rsid w:val="1A9F6FC9"/>
    <w:rsid w:val="1ADD5F89"/>
    <w:rsid w:val="1AE2457F"/>
    <w:rsid w:val="1AF220BF"/>
    <w:rsid w:val="1B284842"/>
    <w:rsid w:val="1B2D3FA1"/>
    <w:rsid w:val="1B761192"/>
    <w:rsid w:val="1BB644AB"/>
    <w:rsid w:val="1BD64C8E"/>
    <w:rsid w:val="1BE21A22"/>
    <w:rsid w:val="1BEF6945"/>
    <w:rsid w:val="1BF3421B"/>
    <w:rsid w:val="1C314E69"/>
    <w:rsid w:val="1C526C57"/>
    <w:rsid w:val="1C89589E"/>
    <w:rsid w:val="1CAC2742"/>
    <w:rsid w:val="1CB51740"/>
    <w:rsid w:val="1CBA6476"/>
    <w:rsid w:val="1CE263F6"/>
    <w:rsid w:val="1CEB63B0"/>
    <w:rsid w:val="1CF702F6"/>
    <w:rsid w:val="1D00452D"/>
    <w:rsid w:val="1D0C33F7"/>
    <w:rsid w:val="1D301CD2"/>
    <w:rsid w:val="1D3D0078"/>
    <w:rsid w:val="1D5645F1"/>
    <w:rsid w:val="1D6C1236"/>
    <w:rsid w:val="1D7D6E22"/>
    <w:rsid w:val="1D8E222D"/>
    <w:rsid w:val="1D937159"/>
    <w:rsid w:val="1DCB56F0"/>
    <w:rsid w:val="1DCF0410"/>
    <w:rsid w:val="1E132454"/>
    <w:rsid w:val="1E687CCB"/>
    <w:rsid w:val="1E827766"/>
    <w:rsid w:val="1ED33B65"/>
    <w:rsid w:val="1EE91E3A"/>
    <w:rsid w:val="1EFD4A3C"/>
    <w:rsid w:val="1F302632"/>
    <w:rsid w:val="1F5E3452"/>
    <w:rsid w:val="1F627CDB"/>
    <w:rsid w:val="1F6E5430"/>
    <w:rsid w:val="1F813E90"/>
    <w:rsid w:val="1F814CE7"/>
    <w:rsid w:val="1F8877F4"/>
    <w:rsid w:val="1F9E7C4F"/>
    <w:rsid w:val="1FAB150A"/>
    <w:rsid w:val="1FBC46FD"/>
    <w:rsid w:val="1FBD4AD7"/>
    <w:rsid w:val="1FCC3129"/>
    <w:rsid w:val="1FEA11D0"/>
    <w:rsid w:val="202371A4"/>
    <w:rsid w:val="20265D36"/>
    <w:rsid w:val="20316401"/>
    <w:rsid w:val="20596293"/>
    <w:rsid w:val="207634F3"/>
    <w:rsid w:val="207E788B"/>
    <w:rsid w:val="20C77F50"/>
    <w:rsid w:val="20D672A3"/>
    <w:rsid w:val="20EF1DAA"/>
    <w:rsid w:val="20F8426A"/>
    <w:rsid w:val="20FA635E"/>
    <w:rsid w:val="214D78C2"/>
    <w:rsid w:val="21601DC7"/>
    <w:rsid w:val="21825951"/>
    <w:rsid w:val="21D13511"/>
    <w:rsid w:val="21F6317C"/>
    <w:rsid w:val="21FC43D6"/>
    <w:rsid w:val="2216596C"/>
    <w:rsid w:val="22203CFA"/>
    <w:rsid w:val="2232482A"/>
    <w:rsid w:val="22423F2D"/>
    <w:rsid w:val="22DB083E"/>
    <w:rsid w:val="22F24A52"/>
    <w:rsid w:val="22F73287"/>
    <w:rsid w:val="2319221E"/>
    <w:rsid w:val="23382842"/>
    <w:rsid w:val="23447230"/>
    <w:rsid w:val="23493CFD"/>
    <w:rsid w:val="23554AEF"/>
    <w:rsid w:val="237C3E17"/>
    <w:rsid w:val="23947C71"/>
    <w:rsid w:val="23987695"/>
    <w:rsid w:val="23B26825"/>
    <w:rsid w:val="23B30D5C"/>
    <w:rsid w:val="23C16DA8"/>
    <w:rsid w:val="23E541A0"/>
    <w:rsid w:val="23EC6A96"/>
    <w:rsid w:val="243214AC"/>
    <w:rsid w:val="244E1D75"/>
    <w:rsid w:val="248A0D43"/>
    <w:rsid w:val="24C936DE"/>
    <w:rsid w:val="24D2541A"/>
    <w:rsid w:val="24EA1C35"/>
    <w:rsid w:val="24F047B2"/>
    <w:rsid w:val="25076033"/>
    <w:rsid w:val="25273046"/>
    <w:rsid w:val="25295FE1"/>
    <w:rsid w:val="25326E9F"/>
    <w:rsid w:val="253438E4"/>
    <w:rsid w:val="253B6AE0"/>
    <w:rsid w:val="2554693F"/>
    <w:rsid w:val="255B1F82"/>
    <w:rsid w:val="25661D8D"/>
    <w:rsid w:val="25761E8D"/>
    <w:rsid w:val="25770B75"/>
    <w:rsid w:val="257A4861"/>
    <w:rsid w:val="25B82BBC"/>
    <w:rsid w:val="25DF6383"/>
    <w:rsid w:val="261B5D49"/>
    <w:rsid w:val="262D4128"/>
    <w:rsid w:val="26444377"/>
    <w:rsid w:val="264D084B"/>
    <w:rsid w:val="26582017"/>
    <w:rsid w:val="265D2253"/>
    <w:rsid w:val="2670658E"/>
    <w:rsid w:val="26727712"/>
    <w:rsid w:val="26806B74"/>
    <w:rsid w:val="268F36B5"/>
    <w:rsid w:val="26B11F2B"/>
    <w:rsid w:val="26D65E39"/>
    <w:rsid w:val="27040920"/>
    <w:rsid w:val="27201D55"/>
    <w:rsid w:val="27AD4773"/>
    <w:rsid w:val="27C91384"/>
    <w:rsid w:val="2817634E"/>
    <w:rsid w:val="281F3170"/>
    <w:rsid w:val="2839516E"/>
    <w:rsid w:val="28536865"/>
    <w:rsid w:val="289C5AFE"/>
    <w:rsid w:val="28CC3895"/>
    <w:rsid w:val="28D10479"/>
    <w:rsid w:val="28E842AD"/>
    <w:rsid w:val="28ED237F"/>
    <w:rsid w:val="28FE3E6E"/>
    <w:rsid w:val="29117EC5"/>
    <w:rsid w:val="29121A59"/>
    <w:rsid w:val="294A756A"/>
    <w:rsid w:val="296B725B"/>
    <w:rsid w:val="29BB0A8A"/>
    <w:rsid w:val="29CB3010"/>
    <w:rsid w:val="29E037B8"/>
    <w:rsid w:val="2A2121D6"/>
    <w:rsid w:val="2A3A45AD"/>
    <w:rsid w:val="2A540D79"/>
    <w:rsid w:val="2A906A52"/>
    <w:rsid w:val="2AAB41E7"/>
    <w:rsid w:val="2AB12EA9"/>
    <w:rsid w:val="2AB63832"/>
    <w:rsid w:val="2AC06EE5"/>
    <w:rsid w:val="2ADC175C"/>
    <w:rsid w:val="2AEE77EB"/>
    <w:rsid w:val="2AF87143"/>
    <w:rsid w:val="2B001D28"/>
    <w:rsid w:val="2B057FA2"/>
    <w:rsid w:val="2B0A6EE2"/>
    <w:rsid w:val="2B0E2FF3"/>
    <w:rsid w:val="2B1F4CEF"/>
    <w:rsid w:val="2B3F2705"/>
    <w:rsid w:val="2B4033B7"/>
    <w:rsid w:val="2B4C3852"/>
    <w:rsid w:val="2B4E49C8"/>
    <w:rsid w:val="2B717A4A"/>
    <w:rsid w:val="2B890A17"/>
    <w:rsid w:val="2B8E5A5D"/>
    <w:rsid w:val="2B9A0631"/>
    <w:rsid w:val="2BA51A6A"/>
    <w:rsid w:val="2BA967CA"/>
    <w:rsid w:val="2BAD2116"/>
    <w:rsid w:val="2BB24BD2"/>
    <w:rsid w:val="2BC93699"/>
    <w:rsid w:val="2BD036E0"/>
    <w:rsid w:val="2BD47CF4"/>
    <w:rsid w:val="2BDC39E5"/>
    <w:rsid w:val="2BE64890"/>
    <w:rsid w:val="2C1E6B55"/>
    <w:rsid w:val="2C36072E"/>
    <w:rsid w:val="2C376167"/>
    <w:rsid w:val="2C44722F"/>
    <w:rsid w:val="2C974BF3"/>
    <w:rsid w:val="2CAD724B"/>
    <w:rsid w:val="2CFE4FF5"/>
    <w:rsid w:val="2CFF170E"/>
    <w:rsid w:val="2D0205FD"/>
    <w:rsid w:val="2D052134"/>
    <w:rsid w:val="2D111B87"/>
    <w:rsid w:val="2D167DF1"/>
    <w:rsid w:val="2D52454B"/>
    <w:rsid w:val="2D686B24"/>
    <w:rsid w:val="2D8728DE"/>
    <w:rsid w:val="2DA4532F"/>
    <w:rsid w:val="2DBC7251"/>
    <w:rsid w:val="2DBF4931"/>
    <w:rsid w:val="2DF424CA"/>
    <w:rsid w:val="2DFC4B6C"/>
    <w:rsid w:val="2DFC5C0B"/>
    <w:rsid w:val="2E0E2C84"/>
    <w:rsid w:val="2E556993"/>
    <w:rsid w:val="2E59454D"/>
    <w:rsid w:val="2E8B30FF"/>
    <w:rsid w:val="2EAB2BF5"/>
    <w:rsid w:val="2EAD2E4C"/>
    <w:rsid w:val="2EBA6F40"/>
    <w:rsid w:val="2EC24664"/>
    <w:rsid w:val="2EEA2C98"/>
    <w:rsid w:val="2EF02780"/>
    <w:rsid w:val="2F051999"/>
    <w:rsid w:val="2F0543B1"/>
    <w:rsid w:val="2F066B65"/>
    <w:rsid w:val="2F186318"/>
    <w:rsid w:val="2F2347D9"/>
    <w:rsid w:val="2F332883"/>
    <w:rsid w:val="2F3A598B"/>
    <w:rsid w:val="2F3F1261"/>
    <w:rsid w:val="2F554CA2"/>
    <w:rsid w:val="2F596F0E"/>
    <w:rsid w:val="2F7505A7"/>
    <w:rsid w:val="2F861641"/>
    <w:rsid w:val="2FD55BB1"/>
    <w:rsid w:val="30020D67"/>
    <w:rsid w:val="300800B8"/>
    <w:rsid w:val="30225FF8"/>
    <w:rsid w:val="30327F7C"/>
    <w:rsid w:val="303A5CBE"/>
    <w:rsid w:val="304A074B"/>
    <w:rsid w:val="305019D6"/>
    <w:rsid w:val="306929CC"/>
    <w:rsid w:val="307D56A8"/>
    <w:rsid w:val="30BF5C4B"/>
    <w:rsid w:val="30C07829"/>
    <w:rsid w:val="30C67684"/>
    <w:rsid w:val="30CE6CD3"/>
    <w:rsid w:val="30F566E1"/>
    <w:rsid w:val="3122767C"/>
    <w:rsid w:val="31286FBC"/>
    <w:rsid w:val="3137341C"/>
    <w:rsid w:val="314F2144"/>
    <w:rsid w:val="31501496"/>
    <w:rsid w:val="315E2A05"/>
    <w:rsid w:val="316664D7"/>
    <w:rsid w:val="316B7CCB"/>
    <w:rsid w:val="316D2FA8"/>
    <w:rsid w:val="31DB0C31"/>
    <w:rsid w:val="324C57A9"/>
    <w:rsid w:val="325E0BE8"/>
    <w:rsid w:val="32614C75"/>
    <w:rsid w:val="32815CBA"/>
    <w:rsid w:val="32951F6D"/>
    <w:rsid w:val="32A6032C"/>
    <w:rsid w:val="32AC17D7"/>
    <w:rsid w:val="32C26BEC"/>
    <w:rsid w:val="33121F64"/>
    <w:rsid w:val="33143EED"/>
    <w:rsid w:val="33487206"/>
    <w:rsid w:val="33746E64"/>
    <w:rsid w:val="337C4435"/>
    <w:rsid w:val="33880EEF"/>
    <w:rsid w:val="33C32C8F"/>
    <w:rsid w:val="33C75BC6"/>
    <w:rsid w:val="33F42EE9"/>
    <w:rsid w:val="33F74503"/>
    <w:rsid w:val="341772D9"/>
    <w:rsid w:val="342D5ABF"/>
    <w:rsid w:val="343A01EC"/>
    <w:rsid w:val="343F6199"/>
    <w:rsid w:val="34843873"/>
    <w:rsid w:val="34B06097"/>
    <w:rsid w:val="34D25746"/>
    <w:rsid w:val="3546112B"/>
    <w:rsid w:val="35501D28"/>
    <w:rsid w:val="35915CA4"/>
    <w:rsid w:val="35A342E5"/>
    <w:rsid w:val="35C0683A"/>
    <w:rsid w:val="35D435F2"/>
    <w:rsid w:val="35EC1514"/>
    <w:rsid w:val="363E0752"/>
    <w:rsid w:val="364361AA"/>
    <w:rsid w:val="3645702F"/>
    <w:rsid w:val="36585E53"/>
    <w:rsid w:val="366F6D31"/>
    <w:rsid w:val="36871C73"/>
    <w:rsid w:val="37016216"/>
    <w:rsid w:val="37055AD0"/>
    <w:rsid w:val="37121810"/>
    <w:rsid w:val="37144761"/>
    <w:rsid w:val="371E410C"/>
    <w:rsid w:val="3735522D"/>
    <w:rsid w:val="374F3DD7"/>
    <w:rsid w:val="375F706D"/>
    <w:rsid w:val="376932B2"/>
    <w:rsid w:val="376F0CE2"/>
    <w:rsid w:val="3781684D"/>
    <w:rsid w:val="37844799"/>
    <w:rsid w:val="37905FFF"/>
    <w:rsid w:val="37AC4983"/>
    <w:rsid w:val="37AF432A"/>
    <w:rsid w:val="37B31F85"/>
    <w:rsid w:val="37E65331"/>
    <w:rsid w:val="38104301"/>
    <w:rsid w:val="3860298E"/>
    <w:rsid w:val="38863971"/>
    <w:rsid w:val="38923D3A"/>
    <w:rsid w:val="389D1318"/>
    <w:rsid w:val="38A504D3"/>
    <w:rsid w:val="38E5618A"/>
    <w:rsid w:val="38FB43DD"/>
    <w:rsid w:val="391F0993"/>
    <w:rsid w:val="39467F6B"/>
    <w:rsid w:val="394A4223"/>
    <w:rsid w:val="397D3717"/>
    <w:rsid w:val="39812B32"/>
    <w:rsid w:val="39B33F02"/>
    <w:rsid w:val="39CA4D5D"/>
    <w:rsid w:val="39D16A0A"/>
    <w:rsid w:val="39DC0EE3"/>
    <w:rsid w:val="3A06607F"/>
    <w:rsid w:val="3A0D6B07"/>
    <w:rsid w:val="3A1A1B7E"/>
    <w:rsid w:val="3A307DFC"/>
    <w:rsid w:val="3A4B1045"/>
    <w:rsid w:val="3A746C63"/>
    <w:rsid w:val="3A764D56"/>
    <w:rsid w:val="3A7D15F0"/>
    <w:rsid w:val="3ABB3D95"/>
    <w:rsid w:val="3AC16F61"/>
    <w:rsid w:val="3AEC0481"/>
    <w:rsid w:val="3AF50C27"/>
    <w:rsid w:val="3AFB35FA"/>
    <w:rsid w:val="3B383BC4"/>
    <w:rsid w:val="3B3865EE"/>
    <w:rsid w:val="3B3918BC"/>
    <w:rsid w:val="3B54246C"/>
    <w:rsid w:val="3BA52A51"/>
    <w:rsid w:val="3BB056E6"/>
    <w:rsid w:val="3BC5559F"/>
    <w:rsid w:val="3BCF0513"/>
    <w:rsid w:val="3BD03C0A"/>
    <w:rsid w:val="3BEB0215"/>
    <w:rsid w:val="3C0B3935"/>
    <w:rsid w:val="3C2639EF"/>
    <w:rsid w:val="3C395671"/>
    <w:rsid w:val="3C3976F6"/>
    <w:rsid w:val="3C3E4D7A"/>
    <w:rsid w:val="3C53257C"/>
    <w:rsid w:val="3C6C64DA"/>
    <w:rsid w:val="3C723DB5"/>
    <w:rsid w:val="3C8D0566"/>
    <w:rsid w:val="3CBE720A"/>
    <w:rsid w:val="3CBF3D1B"/>
    <w:rsid w:val="3CE14232"/>
    <w:rsid w:val="3CE300AA"/>
    <w:rsid w:val="3CFF0F0A"/>
    <w:rsid w:val="3D364D81"/>
    <w:rsid w:val="3D374A0B"/>
    <w:rsid w:val="3D572BF0"/>
    <w:rsid w:val="3D5F56B5"/>
    <w:rsid w:val="3DA83D0A"/>
    <w:rsid w:val="3DD20B6C"/>
    <w:rsid w:val="3DDD4B2B"/>
    <w:rsid w:val="3DE11D43"/>
    <w:rsid w:val="3E0A46F6"/>
    <w:rsid w:val="3E110C94"/>
    <w:rsid w:val="3E2231DF"/>
    <w:rsid w:val="3E2717D1"/>
    <w:rsid w:val="3E3914AB"/>
    <w:rsid w:val="3E47171B"/>
    <w:rsid w:val="3E62523C"/>
    <w:rsid w:val="3E6560C0"/>
    <w:rsid w:val="3E790550"/>
    <w:rsid w:val="3E933053"/>
    <w:rsid w:val="3EB34B10"/>
    <w:rsid w:val="3EB97E84"/>
    <w:rsid w:val="3EC10D7D"/>
    <w:rsid w:val="3EC373DD"/>
    <w:rsid w:val="3EC66B2E"/>
    <w:rsid w:val="3ECB3B4A"/>
    <w:rsid w:val="3EEA65C3"/>
    <w:rsid w:val="3F0804FF"/>
    <w:rsid w:val="3F137F44"/>
    <w:rsid w:val="3F1C7AA1"/>
    <w:rsid w:val="3F253896"/>
    <w:rsid w:val="3F4F2A01"/>
    <w:rsid w:val="3F94017C"/>
    <w:rsid w:val="3FAB729B"/>
    <w:rsid w:val="3FC879D5"/>
    <w:rsid w:val="3FC928A4"/>
    <w:rsid w:val="3FFB0D98"/>
    <w:rsid w:val="3FFE0267"/>
    <w:rsid w:val="402C4DF9"/>
    <w:rsid w:val="40427BD5"/>
    <w:rsid w:val="40553718"/>
    <w:rsid w:val="40553BBD"/>
    <w:rsid w:val="407F77F4"/>
    <w:rsid w:val="40932C0F"/>
    <w:rsid w:val="409723EF"/>
    <w:rsid w:val="40AB43D5"/>
    <w:rsid w:val="40C854ED"/>
    <w:rsid w:val="40C92324"/>
    <w:rsid w:val="40E37B40"/>
    <w:rsid w:val="40F50ED0"/>
    <w:rsid w:val="40FF4477"/>
    <w:rsid w:val="412E6E5A"/>
    <w:rsid w:val="413F001C"/>
    <w:rsid w:val="4154495F"/>
    <w:rsid w:val="415C0B59"/>
    <w:rsid w:val="41834159"/>
    <w:rsid w:val="418A72E4"/>
    <w:rsid w:val="41A907FD"/>
    <w:rsid w:val="41C458B1"/>
    <w:rsid w:val="41D34D41"/>
    <w:rsid w:val="42167845"/>
    <w:rsid w:val="42341EC6"/>
    <w:rsid w:val="4234324C"/>
    <w:rsid w:val="423C7F07"/>
    <w:rsid w:val="42652706"/>
    <w:rsid w:val="42672BE1"/>
    <w:rsid w:val="4287046B"/>
    <w:rsid w:val="42AA6321"/>
    <w:rsid w:val="42BA4D90"/>
    <w:rsid w:val="42C149A3"/>
    <w:rsid w:val="42E172A2"/>
    <w:rsid w:val="42EA799C"/>
    <w:rsid w:val="431E58A5"/>
    <w:rsid w:val="432B7898"/>
    <w:rsid w:val="433E1001"/>
    <w:rsid w:val="434D5B39"/>
    <w:rsid w:val="43656B48"/>
    <w:rsid w:val="43780CB2"/>
    <w:rsid w:val="439B1895"/>
    <w:rsid w:val="439E195A"/>
    <w:rsid w:val="43A763AF"/>
    <w:rsid w:val="43B637EA"/>
    <w:rsid w:val="43CB3A74"/>
    <w:rsid w:val="43EA3450"/>
    <w:rsid w:val="43F3642E"/>
    <w:rsid w:val="44001119"/>
    <w:rsid w:val="445F7654"/>
    <w:rsid w:val="447F6556"/>
    <w:rsid w:val="449F1494"/>
    <w:rsid w:val="44AC3DE0"/>
    <w:rsid w:val="44CA7D5F"/>
    <w:rsid w:val="45111DC2"/>
    <w:rsid w:val="451820F7"/>
    <w:rsid w:val="452303E7"/>
    <w:rsid w:val="45332881"/>
    <w:rsid w:val="45AD136E"/>
    <w:rsid w:val="45B217F4"/>
    <w:rsid w:val="460E66D2"/>
    <w:rsid w:val="461B516D"/>
    <w:rsid w:val="462C31F9"/>
    <w:rsid w:val="4633108F"/>
    <w:rsid w:val="463915B4"/>
    <w:rsid w:val="464E6DE6"/>
    <w:rsid w:val="46676552"/>
    <w:rsid w:val="469E2915"/>
    <w:rsid w:val="46B73022"/>
    <w:rsid w:val="46DC6ABE"/>
    <w:rsid w:val="46F338EC"/>
    <w:rsid w:val="470B449A"/>
    <w:rsid w:val="47152470"/>
    <w:rsid w:val="471D2263"/>
    <w:rsid w:val="47317D83"/>
    <w:rsid w:val="4733491E"/>
    <w:rsid w:val="47340FA9"/>
    <w:rsid w:val="473D0EC0"/>
    <w:rsid w:val="47450A06"/>
    <w:rsid w:val="47507E13"/>
    <w:rsid w:val="47565211"/>
    <w:rsid w:val="475D477B"/>
    <w:rsid w:val="47A32D6E"/>
    <w:rsid w:val="47A529DC"/>
    <w:rsid w:val="47B4010D"/>
    <w:rsid w:val="47BA0320"/>
    <w:rsid w:val="47C37714"/>
    <w:rsid w:val="47CE47C7"/>
    <w:rsid w:val="47DB2908"/>
    <w:rsid w:val="47DE2F16"/>
    <w:rsid w:val="47E20C13"/>
    <w:rsid w:val="47E56984"/>
    <w:rsid w:val="47EB405B"/>
    <w:rsid w:val="47EC7E63"/>
    <w:rsid w:val="480422F5"/>
    <w:rsid w:val="483A1316"/>
    <w:rsid w:val="48583952"/>
    <w:rsid w:val="48815B5A"/>
    <w:rsid w:val="489D2B6A"/>
    <w:rsid w:val="48AF1A2C"/>
    <w:rsid w:val="48C02F86"/>
    <w:rsid w:val="48C742DC"/>
    <w:rsid w:val="48C926EA"/>
    <w:rsid w:val="48DA1AF1"/>
    <w:rsid w:val="493966A3"/>
    <w:rsid w:val="49573279"/>
    <w:rsid w:val="495E5E4C"/>
    <w:rsid w:val="49BE68A4"/>
    <w:rsid w:val="49CA3159"/>
    <w:rsid w:val="49E54E4D"/>
    <w:rsid w:val="4A567E57"/>
    <w:rsid w:val="4A573A86"/>
    <w:rsid w:val="4A8F4985"/>
    <w:rsid w:val="4AAB71D8"/>
    <w:rsid w:val="4ABA3692"/>
    <w:rsid w:val="4ABE09B1"/>
    <w:rsid w:val="4AC64C9B"/>
    <w:rsid w:val="4B000CAC"/>
    <w:rsid w:val="4B022A13"/>
    <w:rsid w:val="4B2B05A4"/>
    <w:rsid w:val="4B353CB6"/>
    <w:rsid w:val="4B467083"/>
    <w:rsid w:val="4B651038"/>
    <w:rsid w:val="4B681907"/>
    <w:rsid w:val="4B6B75E9"/>
    <w:rsid w:val="4B7E47FB"/>
    <w:rsid w:val="4B7E4935"/>
    <w:rsid w:val="4B8054BF"/>
    <w:rsid w:val="4B885624"/>
    <w:rsid w:val="4BA86FA1"/>
    <w:rsid w:val="4BB70DBC"/>
    <w:rsid w:val="4BC92FA9"/>
    <w:rsid w:val="4BD7705A"/>
    <w:rsid w:val="4BE83D28"/>
    <w:rsid w:val="4C3F2C68"/>
    <w:rsid w:val="4C78193D"/>
    <w:rsid w:val="4C8229F4"/>
    <w:rsid w:val="4CA76AC5"/>
    <w:rsid w:val="4CF10FC1"/>
    <w:rsid w:val="4CF82CB6"/>
    <w:rsid w:val="4D124768"/>
    <w:rsid w:val="4D264F17"/>
    <w:rsid w:val="4D2B0086"/>
    <w:rsid w:val="4D2E4497"/>
    <w:rsid w:val="4D4F6924"/>
    <w:rsid w:val="4D6A60AC"/>
    <w:rsid w:val="4DC32AA3"/>
    <w:rsid w:val="4E0803D6"/>
    <w:rsid w:val="4E0B07C7"/>
    <w:rsid w:val="4E2D23E1"/>
    <w:rsid w:val="4E490F71"/>
    <w:rsid w:val="4E904B1F"/>
    <w:rsid w:val="4E9C6DB8"/>
    <w:rsid w:val="4EC23EAE"/>
    <w:rsid w:val="4F192B86"/>
    <w:rsid w:val="4F1E3B41"/>
    <w:rsid w:val="4F1F0560"/>
    <w:rsid w:val="4F543C53"/>
    <w:rsid w:val="4F8B35E0"/>
    <w:rsid w:val="4F9E734F"/>
    <w:rsid w:val="4FA61BE4"/>
    <w:rsid w:val="4FD67DC7"/>
    <w:rsid w:val="500269F8"/>
    <w:rsid w:val="50267B2F"/>
    <w:rsid w:val="503009B9"/>
    <w:rsid w:val="503B2047"/>
    <w:rsid w:val="505D17E0"/>
    <w:rsid w:val="50974C0C"/>
    <w:rsid w:val="50981A6E"/>
    <w:rsid w:val="509E7747"/>
    <w:rsid w:val="50A711A6"/>
    <w:rsid w:val="50A82BEE"/>
    <w:rsid w:val="50B53652"/>
    <w:rsid w:val="50B57780"/>
    <w:rsid w:val="50C51293"/>
    <w:rsid w:val="50CE4F37"/>
    <w:rsid w:val="50E23D3A"/>
    <w:rsid w:val="512A2805"/>
    <w:rsid w:val="51340528"/>
    <w:rsid w:val="51533E8D"/>
    <w:rsid w:val="517133B1"/>
    <w:rsid w:val="51743E58"/>
    <w:rsid w:val="51D5580D"/>
    <w:rsid w:val="521B7772"/>
    <w:rsid w:val="52251994"/>
    <w:rsid w:val="5233351C"/>
    <w:rsid w:val="52560348"/>
    <w:rsid w:val="52632802"/>
    <w:rsid w:val="527B077E"/>
    <w:rsid w:val="52AE24B8"/>
    <w:rsid w:val="52E3483D"/>
    <w:rsid w:val="531C02C3"/>
    <w:rsid w:val="531C21C9"/>
    <w:rsid w:val="532E28B8"/>
    <w:rsid w:val="533471AB"/>
    <w:rsid w:val="536B671A"/>
    <w:rsid w:val="53896791"/>
    <w:rsid w:val="53A01641"/>
    <w:rsid w:val="53A47420"/>
    <w:rsid w:val="53B5288A"/>
    <w:rsid w:val="53BA18F2"/>
    <w:rsid w:val="53D732AC"/>
    <w:rsid w:val="54013224"/>
    <w:rsid w:val="540378ED"/>
    <w:rsid w:val="54082164"/>
    <w:rsid w:val="54396A35"/>
    <w:rsid w:val="543C34A3"/>
    <w:rsid w:val="54493A26"/>
    <w:rsid w:val="54495D99"/>
    <w:rsid w:val="545E6E35"/>
    <w:rsid w:val="54822EB0"/>
    <w:rsid w:val="54933E92"/>
    <w:rsid w:val="54B11725"/>
    <w:rsid w:val="54B45976"/>
    <w:rsid w:val="54C8391A"/>
    <w:rsid w:val="5507301C"/>
    <w:rsid w:val="5512548F"/>
    <w:rsid w:val="554A6AC3"/>
    <w:rsid w:val="554C0C46"/>
    <w:rsid w:val="55831706"/>
    <w:rsid w:val="55896CEB"/>
    <w:rsid w:val="55A241E9"/>
    <w:rsid w:val="55AB0A8B"/>
    <w:rsid w:val="55E34263"/>
    <w:rsid w:val="55E77811"/>
    <w:rsid w:val="5646016B"/>
    <w:rsid w:val="565A207E"/>
    <w:rsid w:val="566B1EEC"/>
    <w:rsid w:val="566C6470"/>
    <w:rsid w:val="56904833"/>
    <w:rsid w:val="56B47A9C"/>
    <w:rsid w:val="56C03C97"/>
    <w:rsid w:val="56D64074"/>
    <w:rsid w:val="56DB0CD7"/>
    <w:rsid w:val="56DE503C"/>
    <w:rsid w:val="5708640C"/>
    <w:rsid w:val="5712053B"/>
    <w:rsid w:val="574079C4"/>
    <w:rsid w:val="574B0EE7"/>
    <w:rsid w:val="57603878"/>
    <w:rsid w:val="576F318D"/>
    <w:rsid w:val="57832510"/>
    <w:rsid w:val="57851087"/>
    <w:rsid w:val="57CC6606"/>
    <w:rsid w:val="58075C53"/>
    <w:rsid w:val="5838442C"/>
    <w:rsid w:val="58694A68"/>
    <w:rsid w:val="58736030"/>
    <w:rsid w:val="5886515C"/>
    <w:rsid w:val="588A06AC"/>
    <w:rsid w:val="588A0DE3"/>
    <w:rsid w:val="5899246A"/>
    <w:rsid w:val="58A27144"/>
    <w:rsid w:val="58CC23A5"/>
    <w:rsid w:val="58E078FA"/>
    <w:rsid w:val="58F5045B"/>
    <w:rsid w:val="58FB7812"/>
    <w:rsid w:val="592B4FF1"/>
    <w:rsid w:val="595521F6"/>
    <w:rsid w:val="596E01EF"/>
    <w:rsid w:val="59AF293C"/>
    <w:rsid w:val="59B02104"/>
    <w:rsid w:val="59C029AB"/>
    <w:rsid w:val="59C53DC0"/>
    <w:rsid w:val="59CA28B4"/>
    <w:rsid w:val="5A012E6F"/>
    <w:rsid w:val="5A042931"/>
    <w:rsid w:val="5A154996"/>
    <w:rsid w:val="5A21340C"/>
    <w:rsid w:val="5A24049E"/>
    <w:rsid w:val="5A4E57AF"/>
    <w:rsid w:val="5A50477F"/>
    <w:rsid w:val="5A542A36"/>
    <w:rsid w:val="5A696F62"/>
    <w:rsid w:val="5B1519A6"/>
    <w:rsid w:val="5B173022"/>
    <w:rsid w:val="5B2A102F"/>
    <w:rsid w:val="5B380D01"/>
    <w:rsid w:val="5B3C35EA"/>
    <w:rsid w:val="5B4218D9"/>
    <w:rsid w:val="5B6078C9"/>
    <w:rsid w:val="5B761406"/>
    <w:rsid w:val="5B963C33"/>
    <w:rsid w:val="5BA71510"/>
    <w:rsid w:val="5BC61520"/>
    <w:rsid w:val="5BCF63CA"/>
    <w:rsid w:val="5C084598"/>
    <w:rsid w:val="5C1271C4"/>
    <w:rsid w:val="5C144FF2"/>
    <w:rsid w:val="5C23541B"/>
    <w:rsid w:val="5C4872F9"/>
    <w:rsid w:val="5C4E5D1A"/>
    <w:rsid w:val="5C5141BF"/>
    <w:rsid w:val="5C665E30"/>
    <w:rsid w:val="5C74248A"/>
    <w:rsid w:val="5C7D7C2D"/>
    <w:rsid w:val="5C8C4A3B"/>
    <w:rsid w:val="5CA42D69"/>
    <w:rsid w:val="5CAC5F4C"/>
    <w:rsid w:val="5CC04FCD"/>
    <w:rsid w:val="5CE6733E"/>
    <w:rsid w:val="5CF04AD8"/>
    <w:rsid w:val="5D021CBF"/>
    <w:rsid w:val="5D1A63CA"/>
    <w:rsid w:val="5D1E1174"/>
    <w:rsid w:val="5D262EA1"/>
    <w:rsid w:val="5D386854"/>
    <w:rsid w:val="5D4A0968"/>
    <w:rsid w:val="5D636E8D"/>
    <w:rsid w:val="5D652CD9"/>
    <w:rsid w:val="5DB828D3"/>
    <w:rsid w:val="5DD67928"/>
    <w:rsid w:val="5DE145FD"/>
    <w:rsid w:val="5E1B0B4B"/>
    <w:rsid w:val="5E287980"/>
    <w:rsid w:val="5E4B3709"/>
    <w:rsid w:val="5E525231"/>
    <w:rsid w:val="5E611ED0"/>
    <w:rsid w:val="5E8472FE"/>
    <w:rsid w:val="5ED5144F"/>
    <w:rsid w:val="5EE56320"/>
    <w:rsid w:val="5EEC0607"/>
    <w:rsid w:val="5EF96D08"/>
    <w:rsid w:val="5F266950"/>
    <w:rsid w:val="5F282AC1"/>
    <w:rsid w:val="5F4139E5"/>
    <w:rsid w:val="5F4B3119"/>
    <w:rsid w:val="5F6B51A4"/>
    <w:rsid w:val="5F7A5E4D"/>
    <w:rsid w:val="5F8E34E5"/>
    <w:rsid w:val="5FB3346D"/>
    <w:rsid w:val="5FE76F6C"/>
    <w:rsid w:val="5FF00D08"/>
    <w:rsid w:val="60066A9A"/>
    <w:rsid w:val="60185F91"/>
    <w:rsid w:val="60A64894"/>
    <w:rsid w:val="60D3730C"/>
    <w:rsid w:val="60E102C1"/>
    <w:rsid w:val="61067614"/>
    <w:rsid w:val="61101775"/>
    <w:rsid w:val="61262D0F"/>
    <w:rsid w:val="61280BDB"/>
    <w:rsid w:val="61291238"/>
    <w:rsid w:val="613520D4"/>
    <w:rsid w:val="616426A1"/>
    <w:rsid w:val="61803737"/>
    <w:rsid w:val="61AC794F"/>
    <w:rsid w:val="61BA1757"/>
    <w:rsid w:val="61C15914"/>
    <w:rsid w:val="61F424AA"/>
    <w:rsid w:val="622C5B89"/>
    <w:rsid w:val="62715800"/>
    <w:rsid w:val="627B35CE"/>
    <w:rsid w:val="629E4E86"/>
    <w:rsid w:val="62A17DFA"/>
    <w:rsid w:val="62C82302"/>
    <w:rsid w:val="62E13641"/>
    <w:rsid w:val="62EC6198"/>
    <w:rsid w:val="630436AD"/>
    <w:rsid w:val="634E2D1B"/>
    <w:rsid w:val="63566A2B"/>
    <w:rsid w:val="636B4B11"/>
    <w:rsid w:val="637C5F97"/>
    <w:rsid w:val="638124D2"/>
    <w:rsid w:val="63A252D2"/>
    <w:rsid w:val="63A66DE8"/>
    <w:rsid w:val="63BE647A"/>
    <w:rsid w:val="63FA19B1"/>
    <w:rsid w:val="6403539E"/>
    <w:rsid w:val="64043A7E"/>
    <w:rsid w:val="642304BF"/>
    <w:rsid w:val="64252C77"/>
    <w:rsid w:val="64253428"/>
    <w:rsid w:val="64474FAC"/>
    <w:rsid w:val="646E14B1"/>
    <w:rsid w:val="647913D5"/>
    <w:rsid w:val="648C1BAD"/>
    <w:rsid w:val="649E258C"/>
    <w:rsid w:val="64BD34E5"/>
    <w:rsid w:val="64CE2822"/>
    <w:rsid w:val="65044496"/>
    <w:rsid w:val="6522763F"/>
    <w:rsid w:val="653B067B"/>
    <w:rsid w:val="65464CEE"/>
    <w:rsid w:val="6548619E"/>
    <w:rsid w:val="65582C42"/>
    <w:rsid w:val="656F125D"/>
    <w:rsid w:val="657905F9"/>
    <w:rsid w:val="65C47395"/>
    <w:rsid w:val="65D210E9"/>
    <w:rsid w:val="65F318BA"/>
    <w:rsid w:val="661F26C9"/>
    <w:rsid w:val="6620249E"/>
    <w:rsid w:val="66273FCF"/>
    <w:rsid w:val="662D2B8F"/>
    <w:rsid w:val="663B4E40"/>
    <w:rsid w:val="664A5D68"/>
    <w:rsid w:val="666C76FE"/>
    <w:rsid w:val="6678612C"/>
    <w:rsid w:val="66832D2C"/>
    <w:rsid w:val="66891537"/>
    <w:rsid w:val="669805A7"/>
    <w:rsid w:val="66CF7EB2"/>
    <w:rsid w:val="67823458"/>
    <w:rsid w:val="6788680F"/>
    <w:rsid w:val="67CC59D6"/>
    <w:rsid w:val="67E46633"/>
    <w:rsid w:val="67F143E8"/>
    <w:rsid w:val="68015BF8"/>
    <w:rsid w:val="68176E77"/>
    <w:rsid w:val="68295DE1"/>
    <w:rsid w:val="6837097A"/>
    <w:rsid w:val="685776E6"/>
    <w:rsid w:val="685974EC"/>
    <w:rsid w:val="68966840"/>
    <w:rsid w:val="68AD4F28"/>
    <w:rsid w:val="68BA3B7B"/>
    <w:rsid w:val="68D523A0"/>
    <w:rsid w:val="68DF29EB"/>
    <w:rsid w:val="691D1214"/>
    <w:rsid w:val="69702F6D"/>
    <w:rsid w:val="69AB5C05"/>
    <w:rsid w:val="69C908E1"/>
    <w:rsid w:val="69D86E8B"/>
    <w:rsid w:val="69DD1C9D"/>
    <w:rsid w:val="69F92A6F"/>
    <w:rsid w:val="6A072B7C"/>
    <w:rsid w:val="6A3F070D"/>
    <w:rsid w:val="6A4B7F5F"/>
    <w:rsid w:val="6A541948"/>
    <w:rsid w:val="6A797AD4"/>
    <w:rsid w:val="6A97297F"/>
    <w:rsid w:val="6A9935E9"/>
    <w:rsid w:val="6AAA7CC8"/>
    <w:rsid w:val="6ACF0B94"/>
    <w:rsid w:val="6AD101E9"/>
    <w:rsid w:val="6B1804B8"/>
    <w:rsid w:val="6B3D6358"/>
    <w:rsid w:val="6B4B64EA"/>
    <w:rsid w:val="6B5F7C7C"/>
    <w:rsid w:val="6B61569E"/>
    <w:rsid w:val="6B7E7510"/>
    <w:rsid w:val="6BFB73F1"/>
    <w:rsid w:val="6BFE1CB3"/>
    <w:rsid w:val="6C027255"/>
    <w:rsid w:val="6C151BCA"/>
    <w:rsid w:val="6C1A6F6B"/>
    <w:rsid w:val="6C1E310D"/>
    <w:rsid w:val="6C2D3BD7"/>
    <w:rsid w:val="6C5F56A8"/>
    <w:rsid w:val="6C6120A9"/>
    <w:rsid w:val="6C8B0467"/>
    <w:rsid w:val="6C962C00"/>
    <w:rsid w:val="6CE728BF"/>
    <w:rsid w:val="6D061E2A"/>
    <w:rsid w:val="6D186E37"/>
    <w:rsid w:val="6D1D1013"/>
    <w:rsid w:val="6D2E67BF"/>
    <w:rsid w:val="6D483774"/>
    <w:rsid w:val="6D5F6AF1"/>
    <w:rsid w:val="6D6830E8"/>
    <w:rsid w:val="6D707BA9"/>
    <w:rsid w:val="6D9E77AA"/>
    <w:rsid w:val="6DD578B5"/>
    <w:rsid w:val="6DDC6247"/>
    <w:rsid w:val="6E15327B"/>
    <w:rsid w:val="6E165CD3"/>
    <w:rsid w:val="6E172307"/>
    <w:rsid w:val="6E61763F"/>
    <w:rsid w:val="6E6E472E"/>
    <w:rsid w:val="6E7066F8"/>
    <w:rsid w:val="6E743036"/>
    <w:rsid w:val="6E85777F"/>
    <w:rsid w:val="6EAC686C"/>
    <w:rsid w:val="6ED153FA"/>
    <w:rsid w:val="6EE5616F"/>
    <w:rsid w:val="6F230A1B"/>
    <w:rsid w:val="6F54305B"/>
    <w:rsid w:val="6F6523C6"/>
    <w:rsid w:val="6F837DD6"/>
    <w:rsid w:val="6F8947A5"/>
    <w:rsid w:val="6F8D0647"/>
    <w:rsid w:val="6FE237AB"/>
    <w:rsid w:val="704D5F28"/>
    <w:rsid w:val="705D4357"/>
    <w:rsid w:val="706A1F82"/>
    <w:rsid w:val="706C53D5"/>
    <w:rsid w:val="70C45466"/>
    <w:rsid w:val="70CA7CFB"/>
    <w:rsid w:val="70DF0681"/>
    <w:rsid w:val="710469C6"/>
    <w:rsid w:val="710D0D68"/>
    <w:rsid w:val="71190F3E"/>
    <w:rsid w:val="713F1B87"/>
    <w:rsid w:val="7140267B"/>
    <w:rsid w:val="71634D02"/>
    <w:rsid w:val="71A71F1F"/>
    <w:rsid w:val="72092685"/>
    <w:rsid w:val="725D51E5"/>
    <w:rsid w:val="72853A81"/>
    <w:rsid w:val="72B4341C"/>
    <w:rsid w:val="72BB0D0C"/>
    <w:rsid w:val="72F9009A"/>
    <w:rsid w:val="73134194"/>
    <w:rsid w:val="732A685E"/>
    <w:rsid w:val="7358323E"/>
    <w:rsid w:val="735838D0"/>
    <w:rsid w:val="737319BE"/>
    <w:rsid w:val="73833B4D"/>
    <w:rsid w:val="73A76797"/>
    <w:rsid w:val="73AD22F8"/>
    <w:rsid w:val="73D51CD9"/>
    <w:rsid w:val="73DF088B"/>
    <w:rsid w:val="73E3796C"/>
    <w:rsid w:val="73EC3B7D"/>
    <w:rsid w:val="740976D0"/>
    <w:rsid w:val="74251108"/>
    <w:rsid w:val="74777A6A"/>
    <w:rsid w:val="747A44A0"/>
    <w:rsid w:val="74CD034B"/>
    <w:rsid w:val="74E85D51"/>
    <w:rsid w:val="74E96A98"/>
    <w:rsid w:val="75002292"/>
    <w:rsid w:val="75111D43"/>
    <w:rsid w:val="751579F6"/>
    <w:rsid w:val="75330B7C"/>
    <w:rsid w:val="753462A4"/>
    <w:rsid w:val="753A73E9"/>
    <w:rsid w:val="753C13D3"/>
    <w:rsid w:val="755E792B"/>
    <w:rsid w:val="75644ADD"/>
    <w:rsid w:val="75701E2F"/>
    <w:rsid w:val="758D59FD"/>
    <w:rsid w:val="75932CCC"/>
    <w:rsid w:val="759467DB"/>
    <w:rsid w:val="75A63893"/>
    <w:rsid w:val="75D73501"/>
    <w:rsid w:val="75FD6817"/>
    <w:rsid w:val="76206054"/>
    <w:rsid w:val="762E2976"/>
    <w:rsid w:val="764A5060"/>
    <w:rsid w:val="765448FD"/>
    <w:rsid w:val="76666500"/>
    <w:rsid w:val="766A3833"/>
    <w:rsid w:val="76752674"/>
    <w:rsid w:val="76A03F37"/>
    <w:rsid w:val="76EE541F"/>
    <w:rsid w:val="76FB7B7D"/>
    <w:rsid w:val="7771498F"/>
    <w:rsid w:val="7774530C"/>
    <w:rsid w:val="777534EF"/>
    <w:rsid w:val="777C5714"/>
    <w:rsid w:val="7782228E"/>
    <w:rsid w:val="77856090"/>
    <w:rsid w:val="77B34464"/>
    <w:rsid w:val="77BA58D3"/>
    <w:rsid w:val="77C45E43"/>
    <w:rsid w:val="77CE00AF"/>
    <w:rsid w:val="77F34723"/>
    <w:rsid w:val="78122A81"/>
    <w:rsid w:val="78224A42"/>
    <w:rsid w:val="78293DC0"/>
    <w:rsid w:val="782E6F80"/>
    <w:rsid w:val="78573BA6"/>
    <w:rsid w:val="78D35541"/>
    <w:rsid w:val="78F21606"/>
    <w:rsid w:val="79140A19"/>
    <w:rsid w:val="794433FE"/>
    <w:rsid w:val="794F159E"/>
    <w:rsid w:val="79567023"/>
    <w:rsid w:val="795D4D79"/>
    <w:rsid w:val="79752E91"/>
    <w:rsid w:val="797734EB"/>
    <w:rsid w:val="799B00AD"/>
    <w:rsid w:val="79BB5611"/>
    <w:rsid w:val="79CE43D6"/>
    <w:rsid w:val="79DB6F73"/>
    <w:rsid w:val="7A325CD7"/>
    <w:rsid w:val="7A3857E5"/>
    <w:rsid w:val="7A5639E9"/>
    <w:rsid w:val="7A761036"/>
    <w:rsid w:val="7A841815"/>
    <w:rsid w:val="7AB14D32"/>
    <w:rsid w:val="7ABF584C"/>
    <w:rsid w:val="7AE82A2B"/>
    <w:rsid w:val="7AF0448B"/>
    <w:rsid w:val="7B05641A"/>
    <w:rsid w:val="7B143565"/>
    <w:rsid w:val="7B1534E2"/>
    <w:rsid w:val="7B191EC6"/>
    <w:rsid w:val="7B202F7E"/>
    <w:rsid w:val="7B24078B"/>
    <w:rsid w:val="7B4B71EC"/>
    <w:rsid w:val="7B5344E4"/>
    <w:rsid w:val="7B553073"/>
    <w:rsid w:val="7BA140DD"/>
    <w:rsid w:val="7BB64ADB"/>
    <w:rsid w:val="7BB82A8D"/>
    <w:rsid w:val="7BD66CE1"/>
    <w:rsid w:val="7BDA7BBE"/>
    <w:rsid w:val="7BF2699E"/>
    <w:rsid w:val="7C2B3097"/>
    <w:rsid w:val="7C6E5087"/>
    <w:rsid w:val="7C73640D"/>
    <w:rsid w:val="7C925305"/>
    <w:rsid w:val="7CA213E1"/>
    <w:rsid w:val="7CA86964"/>
    <w:rsid w:val="7CCA7D32"/>
    <w:rsid w:val="7CEF35A8"/>
    <w:rsid w:val="7CF43304"/>
    <w:rsid w:val="7D030107"/>
    <w:rsid w:val="7D174F1A"/>
    <w:rsid w:val="7D334B54"/>
    <w:rsid w:val="7D631915"/>
    <w:rsid w:val="7D681564"/>
    <w:rsid w:val="7D854F5D"/>
    <w:rsid w:val="7D894D45"/>
    <w:rsid w:val="7DB639FC"/>
    <w:rsid w:val="7DE76108"/>
    <w:rsid w:val="7E115459"/>
    <w:rsid w:val="7E2B6A66"/>
    <w:rsid w:val="7EA90CE6"/>
    <w:rsid w:val="7EAA7A04"/>
    <w:rsid w:val="7EDD6453"/>
    <w:rsid w:val="7EE44685"/>
    <w:rsid w:val="7EEF04B2"/>
    <w:rsid w:val="7F037C9F"/>
    <w:rsid w:val="7F0A20F8"/>
    <w:rsid w:val="7F1255AA"/>
    <w:rsid w:val="7F333AC8"/>
    <w:rsid w:val="7F652269"/>
    <w:rsid w:val="7F695BC7"/>
    <w:rsid w:val="7F735654"/>
    <w:rsid w:val="7F7E134B"/>
    <w:rsid w:val="7F926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47"/>
    <w:autoRedefine/>
    <w:qFormat/>
    <w:uiPriority w:val="0"/>
    <w:pPr>
      <w:keepNext/>
      <w:keepLines/>
      <w:spacing w:line="360" w:lineRule="auto"/>
      <w:outlineLvl w:val="0"/>
    </w:pPr>
    <w:rPr>
      <w:b/>
      <w:bCs/>
      <w:kern w:val="44"/>
      <w:sz w:val="32"/>
      <w:szCs w:val="44"/>
    </w:rPr>
  </w:style>
  <w:style w:type="paragraph" w:styleId="3">
    <w:name w:val="heading 2"/>
    <w:basedOn w:val="1"/>
    <w:next w:val="4"/>
    <w:link w:val="48"/>
    <w:autoRedefine/>
    <w:qFormat/>
    <w:uiPriority w:val="0"/>
    <w:pPr>
      <w:keepNext/>
      <w:keepLines/>
      <w:spacing w:line="360" w:lineRule="auto"/>
      <w:outlineLvl w:val="1"/>
    </w:pPr>
    <w:rPr>
      <w:b/>
      <w:bCs/>
      <w:sz w:val="28"/>
      <w:szCs w:val="32"/>
    </w:rPr>
  </w:style>
  <w:style w:type="paragraph" w:styleId="5">
    <w:name w:val="heading 3"/>
    <w:basedOn w:val="1"/>
    <w:next w:val="1"/>
    <w:link w:val="49"/>
    <w:autoRedefine/>
    <w:qFormat/>
    <w:uiPriority w:val="99"/>
    <w:pPr>
      <w:keepNext/>
      <w:keepLines/>
      <w:spacing w:line="360" w:lineRule="auto"/>
      <w:outlineLvl w:val="2"/>
    </w:pPr>
    <w:rPr>
      <w:b/>
      <w:bCs/>
      <w:szCs w:val="32"/>
    </w:rPr>
  </w:style>
  <w:style w:type="paragraph" w:styleId="6">
    <w:name w:val="heading 4"/>
    <w:basedOn w:val="1"/>
    <w:next w:val="1"/>
    <w:link w:val="50"/>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80"/>
    <w:autoRedefine/>
    <w:qFormat/>
    <w:uiPriority w:val="0"/>
    <w:pPr>
      <w:ind w:firstLine="420" w:firstLineChars="200"/>
    </w:pPr>
  </w:style>
  <w:style w:type="paragraph" w:styleId="7">
    <w:name w:val="toc 7"/>
    <w:basedOn w:val="1"/>
    <w:next w:val="1"/>
    <w:autoRedefine/>
    <w:semiHidden/>
    <w:qFormat/>
    <w:uiPriority w:val="0"/>
    <w:pPr>
      <w:ind w:left="1440"/>
      <w:jc w:val="left"/>
    </w:pPr>
    <w:rPr>
      <w:rFonts w:asciiTheme="minorHAnsi" w:hAnsiTheme="minorHAnsi" w:cstheme="minorHAnsi"/>
      <w:sz w:val="18"/>
      <w:szCs w:val="18"/>
    </w:rPr>
  </w:style>
  <w:style w:type="paragraph" w:styleId="8">
    <w:name w:val="caption"/>
    <w:basedOn w:val="1"/>
    <w:next w:val="1"/>
    <w:link w:val="76"/>
    <w:autoRedefine/>
    <w:qFormat/>
    <w:uiPriority w:val="99"/>
    <w:pPr>
      <w:keepNext/>
      <w:widowControl/>
      <w:adjustRightInd w:val="0"/>
      <w:snapToGrid w:val="0"/>
      <w:jc w:val="center"/>
    </w:pPr>
    <w:rPr>
      <w:rFonts w:ascii="仿宋_GB2312"/>
      <w:b/>
      <w:kern w:val="0"/>
      <w:sz w:val="28"/>
      <w:szCs w:val="28"/>
    </w:rPr>
  </w:style>
  <w:style w:type="paragraph" w:styleId="9">
    <w:name w:val="List Bullet"/>
    <w:basedOn w:val="1"/>
    <w:autoRedefine/>
    <w:semiHidden/>
    <w:unhideWhenUsed/>
    <w:qFormat/>
    <w:uiPriority w:val="0"/>
    <w:pPr>
      <w:numPr>
        <w:ilvl w:val="0"/>
        <w:numId w:val="1"/>
      </w:numPr>
      <w:contextualSpacing/>
    </w:pPr>
  </w:style>
  <w:style w:type="paragraph" w:styleId="10">
    <w:name w:val="Document Map"/>
    <w:basedOn w:val="1"/>
    <w:link w:val="53"/>
    <w:autoRedefine/>
    <w:semiHidden/>
    <w:qFormat/>
    <w:uiPriority w:val="0"/>
    <w:pPr>
      <w:shd w:val="clear" w:color="auto" w:fill="000080"/>
    </w:pPr>
  </w:style>
  <w:style w:type="paragraph" w:styleId="11">
    <w:name w:val="toa heading"/>
    <w:basedOn w:val="1"/>
    <w:next w:val="1"/>
    <w:autoRedefine/>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1"/>
    <w:autoRedefine/>
    <w:unhideWhenUsed/>
    <w:qFormat/>
    <w:uiPriority w:val="99"/>
    <w:pPr>
      <w:jc w:val="left"/>
    </w:pPr>
  </w:style>
  <w:style w:type="paragraph" w:styleId="13">
    <w:name w:val="Body Text"/>
    <w:basedOn w:val="1"/>
    <w:next w:val="1"/>
    <w:link w:val="54"/>
    <w:autoRedefine/>
    <w:qFormat/>
    <w:uiPriority w:val="0"/>
    <w:pPr>
      <w:spacing w:after="120"/>
    </w:pPr>
  </w:style>
  <w:style w:type="paragraph" w:styleId="14">
    <w:name w:val="Body Text Indent"/>
    <w:basedOn w:val="1"/>
    <w:link w:val="55"/>
    <w:autoRedefine/>
    <w:qFormat/>
    <w:uiPriority w:val="0"/>
    <w:pPr>
      <w:spacing w:after="120"/>
      <w:ind w:left="420" w:leftChars="200"/>
    </w:pPr>
  </w:style>
  <w:style w:type="paragraph" w:styleId="15">
    <w:name w:val="toc 5"/>
    <w:basedOn w:val="1"/>
    <w:next w:val="1"/>
    <w:autoRedefine/>
    <w:semiHidden/>
    <w:qFormat/>
    <w:uiPriority w:val="0"/>
    <w:pPr>
      <w:ind w:left="960"/>
      <w:jc w:val="left"/>
    </w:pPr>
    <w:rPr>
      <w:rFonts w:asciiTheme="minorHAnsi" w:hAnsiTheme="minorHAnsi" w:cstheme="minorHAnsi"/>
      <w:sz w:val="18"/>
      <w:szCs w:val="18"/>
    </w:rPr>
  </w:style>
  <w:style w:type="paragraph" w:styleId="16">
    <w:name w:val="toc 3"/>
    <w:basedOn w:val="1"/>
    <w:next w:val="1"/>
    <w:autoRedefine/>
    <w:qFormat/>
    <w:uiPriority w:val="39"/>
    <w:pPr>
      <w:ind w:left="480"/>
      <w:jc w:val="left"/>
    </w:pPr>
    <w:rPr>
      <w:rFonts w:asciiTheme="minorHAnsi" w:hAnsiTheme="minorHAnsi" w:cstheme="minorHAnsi"/>
      <w:i/>
      <w:iCs/>
      <w:sz w:val="20"/>
      <w:szCs w:val="20"/>
    </w:rPr>
  </w:style>
  <w:style w:type="paragraph" w:styleId="17">
    <w:name w:val="Plain Text"/>
    <w:basedOn w:val="1"/>
    <w:link w:val="56"/>
    <w:autoRedefine/>
    <w:qFormat/>
    <w:uiPriority w:val="0"/>
    <w:rPr>
      <w:rFonts w:ascii="宋体" w:hAnsi="Courier New" w:cs="Courier New"/>
      <w:szCs w:val="21"/>
    </w:rPr>
  </w:style>
  <w:style w:type="paragraph" w:styleId="18">
    <w:name w:val="toc 8"/>
    <w:basedOn w:val="1"/>
    <w:next w:val="1"/>
    <w:autoRedefine/>
    <w:semiHidden/>
    <w:qFormat/>
    <w:uiPriority w:val="0"/>
    <w:pPr>
      <w:ind w:left="1680"/>
      <w:jc w:val="left"/>
    </w:pPr>
    <w:rPr>
      <w:rFonts w:asciiTheme="minorHAnsi" w:hAnsiTheme="minorHAnsi" w:cstheme="minorHAnsi"/>
      <w:sz w:val="18"/>
      <w:szCs w:val="18"/>
    </w:rPr>
  </w:style>
  <w:style w:type="paragraph" w:styleId="19">
    <w:name w:val="Date"/>
    <w:basedOn w:val="1"/>
    <w:next w:val="1"/>
    <w:link w:val="57"/>
    <w:autoRedefine/>
    <w:qFormat/>
    <w:uiPriority w:val="0"/>
    <w:pPr>
      <w:ind w:left="100" w:leftChars="2500"/>
    </w:pPr>
    <w:rPr>
      <w:szCs w:val="20"/>
    </w:rPr>
  </w:style>
  <w:style w:type="paragraph" w:styleId="20">
    <w:name w:val="Body Text Indent 2"/>
    <w:basedOn w:val="1"/>
    <w:link w:val="58"/>
    <w:autoRedefine/>
    <w:qFormat/>
    <w:uiPriority w:val="0"/>
    <w:pPr>
      <w:spacing w:after="120" w:line="480" w:lineRule="auto"/>
      <w:ind w:left="420" w:leftChars="200"/>
    </w:pPr>
  </w:style>
  <w:style w:type="paragraph" w:styleId="21">
    <w:name w:val="Balloon Text"/>
    <w:basedOn w:val="1"/>
    <w:link w:val="59"/>
    <w:autoRedefine/>
    <w:unhideWhenUsed/>
    <w:qFormat/>
    <w:uiPriority w:val="99"/>
    <w:rPr>
      <w:rFonts w:ascii="Calibri" w:hAnsi="Calibri"/>
      <w:sz w:val="18"/>
      <w:szCs w:val="18"/>
    </w:rPr>
  </w:style>
  <w:style w:type="paragraph" w:styleId="22">
    <w:name w:val="footer"/>
    <w:basedOn w:val="1"/>
    <w:link w:val="60"/>
    <w:autoRedefine/>
    <w:qFormat/>
    <w:uiPriority w:val="99"/>
    <w:pPr>
      <w:tabs>
        <w:tab w:val="center" w:pos="4153"/>
        <w:tab w:val="right" w:pos="8306"/>
      </w:tabs>
      <w:snapToGrid w:val="0"/>
      <w:jc w:val="left"/>
    </w:pPr>
    <w:rPr>
      <w:sz w:val="18"/>
      <w:szCs w:val="18"/>
    </w:rPr>
  </w:style>
  <w:style w:type="paragraph" w:styleId="23">
    <w:name w:val="header"/>
    <w:basedOn w:val="1"/>
    <w:link w:val="61"/>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25">
    <w:name w:val="toc 4"/>
    <w:basedOn w:val="1"/>
    <w:next w:val="1"/>
    <w:autoRedefine/>
    <w:semiHidden/>
    <w:qFormat/>
    <w:uiPriority w:val="0"/>
    <w:pPr>
      <w:ind w:left="720"/>
      <w:jc w:val="left"/>
    </w:pPr>
    <w:rPr>
      <w:rFonts w:asciiTheme="minorHAnsi" w:hAnsiTheme="minorHAnsi" w:cstheme="minorHAnsi"/>
      <w:sz w:val="18"/>
      <w:szCs w:val="18"/>
    </w:rPr>
  </w:style>
  <w:style w:type="paragraph" w:styleId="26">
    <w:name w:val="List"/>
    <w:basedOn w:val="1"/>
    <w:link w:val="121"/>
    <w:autoRedefine/>
    <w:qFormat/>
    <w:uiPriority w:val="99"/>
    <w:pPr>
      <w:ind w:left="200" w:hanging="200" w:hangingChars="200"/>
    </w:pPr>
  </w:style>
  <w:style w:type="paragraph" w:styleId="27">
    <w:name w:val="footnote text"/>
    <w:basedOn w:val="1"/>
    <w:link w:val="62"/>
    <w:autoRedefine/>
    <w:semiHidden/>
    <w:qFormat/>
    <w:uiPriority w:val="0"/>
    <w:pPr>
      <w:snapToGrid w:val="0"/>
      <w:jc w:val="left"/>
    </w:pPr>
    <w:rPr>
      <w:sz w:val="18"/>
      <w:szCs w:val="18"/>
    </w:rPr>
  </w:style>
  <w:style w:type="paragraph" w:styleId="28">
    <w:name w:val="toc 6"/>
    <w:basedOn w:val="1"/>
    <w:next w:val="1"/>
    <w:autoRedefine/>
    <w:semiHidden/>
    <w:qFormat/>
    <w:uiPriority w:val="0"/>
    <w:pPr>
      <w:ind w:left="1200"/>
      <w:jc w:val="left"/>
    </w:pPr>
    <w:rPr>
      <w:rFonts w:asciiTheme="minorHAnsi" w:hAnsiTheme="minorHAnsi" w:cstheme="minorHAnsi"/>
      <w:sz w:val="18"/>
      <w:szCs w:val="18"/>
    </w:rPr>
  </w:style>
  <w:style w:type="paragraph" w:styleId="29">
    <w:name w:val="Body Text Indent 3"/>
    <w:basedOn w:val="1"/>
    <w:link w:val="63"/>
    <w:autoRedefine/>
    <w:qFormat/>
    <w:uiPriority w:val="0"/>
    <w:pPr>
      <w:widowControl/>
      <w:spacing w:before="100" w:beforeAutospacing="1" w:after="100" w:afterAutospacing="1"/>
      <w:jc w:val="left"/>
    </w:pPr>
    <w:rPr>
      <w:rFonts w:ascii="宋体" w:hAnsi="宋体" w:cs="宋体"/>
      <w:kern w:val="0"/>
    </w:rPr>
  </w:style>
  <w:style w:type="paragraph" w:styleId="30">
    <w:name w:val="toc 2"/>
    <w:basedOn w:val="1"/>
    <w:next w:val="1"/>
    <w:autoRedefine/>
    <w:qFormat/>
    <w:uiPriority w:val="39"/>
    <w:pPr>
      <w:ind w:left="240"/>
      <w:jc w:val="left"/>
    </w:pPr>
    <w:rPr>
      <w:rFonts w:asciiTheme="minorHAnsi" w:hAnsiTheme="minorHAnsi" w:cstheme="minorHAnsi"/>
      <w:smallCaps/>
      <w:sz w:val="20"/>
      <w:szCs w:val="20"/>
    </w:rPr>
  </w:style>
  <w:style w:type="paragraph" w:styleId="31">
    <w:name w:val="toc 9"/>
    <w:basedOn w:val="1"/>
    <w:next w:val="1"/>
    <w:autoRedefine/>
    <w:semiHidden/>
    <w:qFormat/>
    <w:uiPriority w:val="0"/>
    <w:pPr>
      <w:ind w:left="1920"/>
      <w:jc w:val="left"/>
    </w:pPr>
    <w:rPr>
      <w:rFonts w:asciiTheme="minorHAnsi" w:hAnsiTheme="minorHAnsi" w:cstheme="minorHAnsi"/>
      <w:sz w:val="18"/>
      <w:szCs w:val="18"/>
    </w:rPr>
  </w:style>
  <w:style w:type="paragraph" w:styleId="32">
    <w:name w:val="HTML Preformatted"/>
    <w:basedOn w:val="1"/>
    <w:link w:val="6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3">
    <w:name w:val="Normal (Web)"/>
    <w:basedOn w:val="1"/>
    <w:link w:val="88"/>
    <w:autoRedefine/>
    <w:qFormat/>
    <w:uiPriority w:val="34"/>
    <w:pPr>
      <w:widowControl/>
      <w:spacing w:before="100" w:beforeAutospacing="1" w:after="100" w:afterAutospacing="1"/>
      <w:jc w:val="left"/>
    </w:pPr>
    <w:rPr>
      <w:rFonts w:ascii="宋体" w:hAnsi="宋体"/>
      <w:kern w:val="0"/>
    </w:rPr>
  </w:style>
  <w:style w:type="paragraph" w:styleId="34">
    <w:name w:val="Title"/>
    <w:basedOn w:val="1"/>
    <w:next w:val="1"/>
    <w:link w:val="152"/>
    <w:autoRedefine/>
    <w:qFormat/>
    <w:uiPriority w:val="0"/>
    <w:pPr>
      <w:spacing w:before="240" w:after="60"/>
      <w:jc w:val="center"/>
      <w:outlineLvl w:val="0"/>
    </w:pPr>
    <w:rPr>
      <w:rFonts w:eastAsia="宋体" w:asciiTheme="majorHAnsi" w:hAnsiTheme="majorHAnsi" w:cstheme="majorBidi"/>
      <w:b/>
      <w:bCs/>
      <w:sz w:val="32"/>
      <w:szCs w:val="32"/>
    </w:rPr>
  </w:style>
  <w:style w:type="paragraph" w:styleId="35">
    <w:name w:val="annotation subject"/>
    <w:basedOn w:val="12"/>
    <w:next w:val="12"/>
    <w:link w:val="52"/>
    <w:autoRedefine/>
    <w:qFormat/>
    <w:uiPriority w:val="0"/>
    <w:rPr>
      <w:b/>
      <w:bCs/>
    </w:rPr>
  </w:style>
  <w:style w:type="paragraph" w:styleId="36">
    <w:name w:val="Body Text First Indent"/>
    <w:basedOn w:val="13"/>
    <w:link w:val="173"/>
    <w:autoRedefine/>
    <w:semiHidden/>
    <w:unhideWhenUsed/>
    <w:qFormat/>
    <w:uiPriority w:val="0"/>
    <w:pPr>
      <w:ind w:firstLine="420" w:firstLineChars="100"/>
    </w:pPr>
    <w:rPr>
      <w:kern w:val="0"/>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b/>
      <w:bCs/>
    </w:rPr>
  </w:style>
  <w:style w:type="character" w:styleId="41">
    <w:name w:val="page number"/>
    <w:basedOn w:val="39"/>
    <w:autoRedefine/>
    <w:qFormat/>
    <w:uiPriority w:val="0"/>
  </w:style>
  <w:style w:type="character" w:styleId="42">
    <w:name w:val="FollowedHyperlink"/>
    <w:basedOn w:val="39"/>
    <w:autoRedefine/>
    <w:semiHidden/>
    <w:unhideWhenUsed/>
    <w:qFormat/>
    <w:uiPriority w:val="0"/>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styleId="45">
    <w:name w:val="footnote reference"/>
    <w:basedOn w:val="39"/>
    <w:autoRedefine/>
    <w:semiHidden/>
    <w:qFormat/>
    <w:uiPriority w:val="0"/>
    <w:rPr>
      <w:vertAlign w:val="superscript"/>
    </w:rPr>
  </w:style>
  <w:style w:type="paragraph" w:customStyle="1" w:styleId="46">
    <w:name w:val="样式2"/>
    <w:basedOn w:val="1"/>
    <w:autoRedefine/>
    <w:qFormat/>
    <w:uiPriority w:val="34"/>
    <w:pPr>
      <w:tabs>
        <w:tab w:val="left" w:pos="432"/>
      </w:tabs>
      <w:spacing w:before="50" w:after="50" w:line="440" w:lineRule="exact"/>
    </w:pPr>
    <w:rPr>
      <w:rFonts w:eastAsia="黑体"/>
    </w:rPr>
  </w:style>
  <w:style w:type="character" w:customStyle="1" w:styleId="47">
    <w:name w:val="标题 1 Char"/>
    <w:basedOn w:val="39"/>
    <w:link w:val="2"/>
    <w:autoRedefine/>
    <w:qFormat/>
    <w:uiPriority w:val="0"/>
    <w:rPr>
      <w:rFonts w:ascii="Times New Roman" w:hAnsi="Times New Roman" w:eastAsia="仿宋_GB2312" w:cs="Times New Roman"/>
      <w:b/>
      <w:bCs/>
      <w:kern w:val="44"/>
      <w:sz w:val="32"/>
      <w:szCs w:val="44"/>
    </w:rPr>
  </w:style>
  <w:style w:type="character" w:customStyle="1" w:styleId="48">
    <w:name w:val="标题 2 Char"/>
    <w:basedOn w:val="39"/>
    <w:link w:val="3"/>
    <w:autoRedefine/>
    <w:qFormat/>
    <w:uiPriority w:val="0"/>
    <w:rPr>
      <w:rFonts w:ascii="Times New Roman" w:hAnsi="Times New Roman" w:eastAsia="仿宋_GB2312" w:cs="Times New Roman"/>
      <w:b/>
      <w:bCs/>
      <w:sz w:val="28"/>
      <w:szCs w:val="32"/>
    </w:rPr>
  </w:style>
  <w:style w:type="character" w:customStyle="1" w:styleId="49">
    <w:name w:val="标题 3 Char"/>
    <w:basedOn w:val="39"/>
    <w:link w:val="5"/>
    <w:autoRedefine/>
    <w:qFormat/>
    <w:uiPriority w:val="99"/>
    <w:rPr>
      <w:rFonts w:ascii="Times New Roman" w:hAnsi="Times New Roman" w:eastAsia="仿宋_GB2312" w:cs="Times New Roman"/>
      <w:b/>
      <w:bCs/>
      <w:sz w:val="24"/>
      <w:szCs w:val="32"/>
    </w:rPr>
  </w:style>
  <w:style w:type="character" w:customStyle="1" w:styleId="50">
    <w:name w:val="标题 4 Char"/>
    <w:basedOn w:val="39"/>
    <w:link w:val="6"/>
    <w:autoRedefine/>
    <w:qFormat/>
    <w:uiPriority w:val="0"/>
    <w:rPr>
      <w:rFonts w:ascii="Arial" w:hAnsi="Arial" w:eastAsia="黑体" w:cs="Times New Roman"/>
      <w:b/>
      <w:bCs/>
      <w:sz w:val="28"/>
      <w:szCs w:val="28"/>
    </w:rPr>
  </w:style>
  <w:style w:type="character" w:customStyle="1" w:styleId="51">
    <w:name w:val="批注文字 Char"/>
    <w:basedOn w:val="39"/>
    <w:link w:val="12"/>
    <w:autoRedefine/>
    <w:qFormat/>
    <w:uiPriority w:val="99"/>
    <w:rPr>
      <w:rFonts w:ascii="Times New Roman" w:hAnsi="Times New Roman" w:eastAsia="仿宋_GB2312" w:cs="Times New Roman"/>
      <w:sz w:val="24"/>
      <w:szCs w:val="24"/>
    </w:rPr>
  </w:style>
  <w:style w:type="character" w:customStyle="1" w:styleId="52">
    <w:name w:val="批注主题 Char"/>
    <w:basedOn w:val="51"/>
    <w:link w:val="35"/>
    <w:autoRedefine/>
    <w:qFormat/>
    <w:uiPriority w:val="0"/>
    <w:rPr>
      <w:rFonts w:ascii="Times New Roman" w:hAnsi="Times New Roman" w:eastAsia="仿宋_GB2312" w:cs="Times New Roman"/>
      <w:b/>
      <w:bCs/>
      <w:sz w:val="24"/>
      <w:szCs w:val="24"/>
    </w:rPr>
  </w:style>
  <w:style w:type="character" w:customStyle="1" w:styleId="53">
    <w:name w:val="文档结构图 Char"/>
    <w:basedOn w:val="39"/>
    <w:link w:val="10"/>
    <w:autoRedefine/>
    <w:semiHidden/>
    <w:qFormat/>
    <w:uiPriority w:val="0"/>
    <w:rPr>
      <w:rFonts w:ascii="Times New Roman" w:hAnsi="Times New Roman" w:eastAsia="仿宋_GB2312" w:cs="Times New Roman"/>
      <w:sz w:val="24"/>
      <w:szCs w:val="24"/>
      <w:shd w:val="clear" w:color="auto" w:fill="000080"/>
    </w:rPr>
  </w:style>
  <w:style w:type="character" w:customStyle="1" w:styleId="54">
    <w:name w:val="正文文本 Char"/>
    <w:basedOn w:val="39"/>
    <w:link w:val="13"/>
    <w:autoRedefine/>
    <w:qFormat/>
    <w:uiPriority w:val="0"/>
    <w:rPr>
      <w:rFonts w:ascii="Times New Roman" w:hAnsi="Times New Roman" w:eastAsia="仿宋_GB2312" w:cs="Times New Roman"/>
      <w:sz w:val="24"/>
      <w:szCs w:val="24"/>
    </w:rPr>
  </w:style>
  <w:style w:type="character" w:customStyle="1" w:styleId="55">
    <w:name w:val="正文文本缩进 Char"/>
    <w:basedOn w:val="39"/>
    <w:link w:val="14"/>
    <w:autoRedefine/>
    <w:qFormat/>
    <w:uiPriority w:val="0"/>
    <w:rPr>
      <w:rFonts w:ascii="Times New Roman" w:hAnsi="Times New Roman" w:eastAsia="仿宋_GB2312" w:cs="Times New Roman"/>
      <w:sz w:val="24"/>
      <w:szCs w:val="24"/>
    </w:rPr>
  </w:style>
  <w:style w:type="character" w:customStyle="1" w:styleId="56">
    <w:name w:val="纯文本 Char"/>
    <w:basedOn w:val="39"/>
    <w:link w:val="17"/>
    <w:autoRedefine/>
    <w:qFormat/>
    <w:uiPriority w:val="0"/>
    <w:rPr>
      <w:rFonts w:ascii="宋体" w:hAnsi="Courier New" w:eastAsia="仿宋_GB2312" w:cs="Courier New"/>
      <w:sz w:val="24"/>
      <w:szCs w:val="21"/>
    </w:rPr>
  </w:style>
  <w:style w:type="character" w:customStyle="1" w:styleId="57">
    <w:name w:val="日期 Char"/>
    <w:basedOn w:val="39"/>
    <w:link w:val="19"/>
    <w:autoRedefine/>
    <w:qFormat/>
    <w:uiPriority w:val="0"/>
    <w:rPr>
      <w:rFonts w:ascii="Times New Roman" w:hAnsi="Times New Roman" w:eastAsia="仿宋_GB2312" w:cs="Times New Roman"/>
      <w:sz w:val="24"/>
      <w:szCs w:val="20"/>
    </w:rPr>
  </w:style>
  <w:style w:type="character" w:customStyle="1" w:styleId="58">
    <w:name w:val="正文文本缩进 2 Char"/>
    <w:basedOn w:val="39"/>
    <w:link w:val="20"/>
    <w:autoRedefine/>
    <w:qFormat/>
    <w:uiPriority w:val="0"/>
    <w:rPr>
      <w:rFonts w:ascii="Times New Roman" w:hAnsi="Times New Roman" w:eastAsia="仿宋_GB2312" w:cs="Times New Roman"/>
      <w:sz w:val="24"/>
      <w:szCs w:val="24"/>
    </w:rPr>
  </w:style>
  <w:style w:type="character" w:customStyle="1" w:styleId="59">
    <w:name w:val="批注框文本 Char"/>
    <w:basedOn w:val="39"/>
    <w:link w:val="21"/>
    <w:autoRedefine/>
    <w:qFormat/>
    <w:uiPriority w:val="99"/>
    <w:rPr>
      <w:rFonts w:ascii="Calibri" w:hAnsi="Calibri" w:eastAsia="仿宋_GB2312" w:cs="Times New Roman"/>
      <w:sz w:val="18"/>
      <w:szCs w:val="18"/>
    </w:rPr>
  </w:style>
  <w:style w:type="character" w:customStyle="1" w:styleId="60">
    <w:name w:val="页脚 Char"/>
    <w:basedOn w:val="39"/>
    <w:link w:val="22"/>
    <w:autoRedefine/>
    <w:qFormat/>
    <w:uiPriority w:val="99"/>
    <w:rPr>
      <w:rFonts w:ascii="Times New Roman" w:hAnsi="Times New Roman" w:eastAsia="仿宋_GB2312" w:cs="Times New Roman"/>
      <w:sz w:val="18"/>
      <w:szCs w:val="18"/>
    </w:rPr>
  </w:style>
  <w:style w:type="character" w:customStyle="1" w:styleId="61">
    <w:name w:val="页眉 Char"/>
    <w:basedOn w:val="39"/>
    <w:link w:val="23"/>
    <w:autoRedefine/>
    <w:qFormat/>
    <w:uiPriority w:val="99"/>
    <w:rPr>
      <w:rFonts w:ascii="Times New Roman" w:hAnsi="Times New Roman" w:eastAsia="仿宋_GB2312" w:cs="Times New Roman"/>
      <w:sz w:val="18"/>
      <w:szCs w:val="18"/>
    </w:rPr>
  </w:style>
  <w:style w:type="character" w:customStyle="1" w:styleId="62">
    <w:name w:val="脚注文本 Char"/>
    <w:basedOn w:val="39"/>
    <w:link w:val="27"/>
    <w:autoRedefine/>
    <w:semiHidden/>
    <w:qFormat/>
    <w:uiPriority w:val="0"/>
    <w:rPr>
      <w:rFonts w:ascii="Times New Roman" w:hAnsi="Times New Roman" w:eastAsia="仿宋_GB2312" w:cs="Times New Roman"/>
      <w:sz w:val="18"/>
      <w:szCs w:val="18"/>
    </w:rPr>
  </w:style>
  <w:style w:type="character" w:customStyle="1" w:styleId="63">
    <w:name w:val="正文文本缩进 3 Char"/>
    <w:basedOn w:val="39"/>
    <w:link w:val="29"/>
    <w:autoRedefine/>
    <w:qFormat/>
    <w:uiPriority w:val="0"/>
    <w:rPr>
      <w:rFonts w:ascii="宋体" w:hAnsi="宋体" w:eastAsia="仿宋_GB2312" w:cs="宋体"/>
      <w:kern w:val="0"/>
      <w:sz w:val="24"/>
      <w:szCs w:val="24"/>
    </w:rPr>
  </w:style>
  <w:style w:type="character" w:customStyle="1" w:styleId="64">
    <w:name w:val="HTML 预设格式 Char"/>
    <w:basedOn w:val="39"/>
    <w:link w:val="32"/>
    <w:autoRedefine/>
    <w:qFormat/>
    <w:uiPriority w:val="99"/>
    <w:rPr>
      <w:rFonts w:ascii="宋体" w:hAnsi="宋体" w:eastAsia="宋体" w:cs="宋体"/>
      <w:kern w:val="0"/>
      <w:sz w:val="24"/>
      <w:szCs w:val="24"/>
    </w:rPr>
  </w:style>
  <w:style w:type="character" w:customStyle="1" w:styleId="65">
    <w:name w:val="apple-style-span"/>
    <w:basedOn w:val="39"/>
    <w:autoRedefine/>
    <w:qFormat/>
    <w:uiPriority w:val="0"/>
  </w:style>
  <w:style w:type="character" w:customStyle="1" w:styleId="66">
    <w:name w:val="font2001"/>
    <w:basedOn w:val="39"/>
    <w:autoRedefine/>
    <w:qFormat/>
    <w:uiPriority w:val="0"/>
    <w:rPr>
      <w:color w:val="000000"/>
      <w:sz w:val="20"/>
      <w:szCs w:val="20"/>
    </w:rPr>
  </w:style>
  <w:style w:type="character" w:customStyle="1" w:styleId="67">
    <w:name w:val="表格文字 Char"/>
    <w:basedOn w:val="39"/>
    <w:link w:val="68"/>
    <w:autoRedefine/>
    <w:qFormat/>
    <w:locked/>
    <w:uiPriority w:val="0"/>
    <w:rPr>
      <w:rFonts w:ascii="仿宋_GB2312" w:hAnsi="Arial Black" w:eastAsia="仿宋_GB2312"/>
      <w:kern w:val="44"/>
      <w:sz w:val="24"/>
    </w:rPr>
  </w:style>
  <w:style w:type="paragraph" w:customStyle="1" w:styleId="68">
    <w:name w:val="表格文字"/>
    <w:basedOn w:val="1"/>
    <w:link w:val="67"/>
    <w:autoRedefine/>
    <w:qFormat/>
    <w:uiPriority w:val="0"/>
    <w:pPr>
      <w:adjustRightInd w:val="0"/>
      <w:snapToGrid w:val="0"/>
      <w:jc w:val="center"/>
    </w:pPr>
    <w:rPr>
      <w:rFonts w:ascii="仿宋_GB2312" w:hAnsi="Arial Black" w:cstheme="minorBidi"/>
      <w:kern w:val="44"/>
      <w:szCs w:val="22"/>
    </w:rPr>
  </w:style>
  <w:style w:type="character" w:customStyle="1" w:styleId="69">
    <w:name w:val="正文缩进1"/>
    <w:basedOn w:val="39"/>
    <w:autoRedefine/>
    <w:qFormat/>
    <w:uiPriority w:val="0"/>
    <w:rPr>
      <w:rFonts w:eastAsia="宋体"/>
      <w:kern w:val="2"/>
      <w:sz w:val="24"/>
      <w:lang w:val="en-US" w:eastAsia="zh-CN" w:bidi="ar-SA"/>
    </w:rPr>
  </w:style>
  <w:style w:type="character" w:customStyle="1" w:styleId="70">
    <w:name w:val="p9l1"/>
    <w:basedOn w:val="39"/>
    <w:autoRedefine/>
    <w:qFormat/>
    <w:uiPriority w:val="0"/>
    <w:rPr>
      <w:sz w:val="18"/>
      <w:szCs w:val="18"/>
      <w:u w:val="none"/>
    </w:rPr>
  </w:style>
  <w:style w:type="character" w:customStyle="1" w:styleId="71">
    <w:name w:val="text1"/>
    <w:basedOn w:val="39"/>
    <w:autoRedefine/>
    <w:qFormat/>
    <w:uiPriority w:val="0"/>
    <w:rPr>
      <w:rFonts w:hint="default" w:ascii="ˎ̥" w:hAnsi="ˎ̥"/>
      <w:sz w:val="21"/>
      <w:szCs w:val="21"/>
    </w:rPr>
  </w:style>
  <w:style w:type="character" w:customStyle="1" w:styleId="72">
    <w:name w:val="表格的文字 Char"/>
    <w:basedOn w:val="73"/>
    <w:link w:val="75"/>
    <w:autoRedefine/>
    <w:qFormat/>
    <w:uiPriority w:val="0"/>
    <w:rPr>
      <w:rFonts w:ascii="仿宋_GB2312" w:hAnsi="宋体" w:eastAsia="仿宋_GB2312" w:cs="宋体"/>
      <w:bCs/>
      <w:sz w:val="24"/>
      <w:szCs w:val="24"/>
    </w:rPr>
  </w:style>
  <w:style w:type="character" w:customStyle="1" w:styleId="73">
    <w:name w:val="图表文字 Char"/>
    <w:link w:val="74"/>
    <w:autoRedefine/>
    <w:qFormat/>
    <w:uiPriority w:val="0"/>
    <w:rPr>
      <w:rFonts w:ascii="仿宋_GB2312" w:hAnsi="宋体" w:eastAsia="仿宋_GB2312" w:cs="宋体"/>
      <w:sz w:val="24"/>
      <w:szCs w:val="24"/>
    </w:rPr>
  </w:style>
  <w:style w:type="paragraph" w:customStyle="1" w:styleId="74">
    <w:name w:val="图表文字"/>
    <w:basedOn w:val="1"/>
    <w:link w:val="73"/>
    <w:autoRedefine/>
    <w:qFormat/>
    <w:uiPriority w:val="0"/>
    <w:pPr>
      <w:widowControl/>
      <w:jc w:val="center"/>
    </w:pPr>
    <w:rPr>
      <w:rFonts w:ascii="仿宋_GB2312" w:hAnsi="宋体" w:cs="宋体"/>
    </w:rPr>
  </w:style>
  <w:style w:type="paragraph" w:customStyle="1" w:styleId="75">
    <w:name w:val="表格的文字"/>
    <w:basedOn w:val="74"/>
    <w:link w:val="72"/>
    <w:autoRedefine/>
    <w:qFormat/>
    <w:uiPriority w:val="0"/>
    <w:pPr>
      <w:widowControl w:val="0"/>
      <w:spacing w:line="300" w:lineRule="exact"/>
    </w:pPr>
    <w:rPr>
      <w:bCs/>
      <w:sz w:val="21"/>
    </w:rPr>
  </w:style>
  <w:style w:type="character" w:customStyle="1" w:styleId="76">
    <w:name w:val="题注 Char"/>
    <w:link w:val="8"/>
    <w:autoRedefine/>
    <w:qFormat/>
    <w:uiPriority w:val="99"/>
    <w:rPr>
      <w:rFonts w:ascii="仿宋_GB2312" w:hAnsi="Times New Roman" w:eastAsia="仿宋_GB2312" w:cs="Times New Roman"/>
      <w:b/>
      <w:kern w:val="0"/>
      <w:sz w:val="28"/>
      <w:szCs w:val="28"/>
    </w:rPr>
  </w:style>
  <w:style w:type="character" w:customStyle="1" w:styleId="77">
    <w:name w:val="表标题 Char"/>
    <w:basedOn w:val="39"/>
    <w:link w:val="78"/>
    <w:autoRedefine/>
    <w:qFormat/>
    <w:locked/>
    <w:uiPriority w:val="0"/>
    <w:rPr>
      <w:rFonts w:ascii="仿宋_GB2312" w:eastAsia="仿宋_GB2312"/>
      <w:b/>
      <w:bCs/>
      <w:sz w:val="24"/>
      <w:szCs w:val="24"/>
    </w:rPr>
  </w:style>
  <w:style w:type="paragraph" w:customStyle="1" w:styleId="78">
    <w:name w:val="表标题"/>
    <w:basedOn w:val="1"/>
    <w:link w:val="77"/>
    <w:autoRedefine/>
    <w:qFormat/>
    <w:uiPriority w:val="0"/>
    <w:pPr>
      <w:spacing w:line="500" w:lineRule="exact"/>
      <w:ind w:firstLine="482" w:firstLineChars="200"/>
      <w:jc w:val="center"/>
    </w:pPr>
    <w:rPr>
      <w:rFonts w:ascii="仿宋_GB2312" w:hAnsiTheme="minorHAnsi" w:cstheme="minorBidi"/>
      <w:b/>
      <w:bCs/>
    </w:rPr>
  </w:style>
  <w:style w:type="character" w:customStyle="1" w:styleId="79">
    <w:name w:val="keyword"/>
    <w:basedOn w:val="39"/>
    <w:autoRedefine/>
    <w:qFormat/>
    <w:uiPriority w:val="0"/>
  </w:style>
  <w:style w:type="character" w:customStyle="1" w:styleId="80">
    <w:name w:val="正文缩进 Char"/>
    <w:basedOn w:val="39"/>
    <w:link w:val="4"/>
    <w:autoRedefine/>
    <w:qFormat/>
    <w:uiPriority w:val="0"/>
    <w:rPr>
      <w:rFonts w:ascii="Times New Roman" w:hAnsi="Times New Roman" w:eastAsia="仿宋_GB2312" w:cs="Times New Roman"/>
      <w:sz w:val="24"/>
      <w:szCs w:val="24"/>
    </w:rPr>
  </w:style>
  <w:style w:type="paragraph" w:customStyle="1" w:styleId="81">
    <w:name w:val="XYF1"/>
    <w:basedOn w:val="1"/>
    <w:autoRedefine/>
    <w:qFormat/>
    <w:uiPriority w:val="34"/>
    <w:pPr>
      <w:tabs>
        <w:tab w:val="left" w:pos="1080"/>
      </w:tabs>
      <w:spacing w:line="440" w:lineRule="exact"/>
      <w:ind w:firstLine="195" w:firstLineChars="195"/>
    </w:pPr>
  </w:style>
  <w:style w:type="paragraph" w:customStyle="1" w:styleId="82">
    <w:name w:val="图文框"/>
    <w:basedOn w:val="1"/>
    <w:autoRedefine/>
    <w:qFormat/>
    <w:uiPriority w:val="34"/>
    <w:pPr>
      <w:jc w:val="center"/>
    </w:pPr>
    <w:rPr>
      <w:szCs w:val="21"/>
    </w:rPr>
  </w:style>
  <w:style w:type="paragraph" w:customStyle="1" w:styleId="83">
    <w:name w:val="文本123"/>
    <w:basedOn w:val="4"/>
    <w:autoRedefine/>
    <w:qFormat/>
    <w:uiPriority w:val="34"/>
    <w:pPr>
      <w:tabs>
        <w:tab w:val="left" w:pos="360"/>
      </w:tabs>
      <w:snapToGrid w:val="0"/>
      <w:spacing w:beforeLines="20" w:line="480" w:lineRule="exact"/>
      <w:ind w:firstLine="0" w:firstLineChars="0"/>
      <w:outlineLvl w:val="7"/>
    </w:pPr>
  </w:style>
  <w:style w:type="paragraph" w:customStyle="1" w:styleId="84">
    <w:name w:val="xl25"/>
    <w:basedOn w:val="1"/>
    <w:autoRedefine/>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5">
    <w:name w:val="样式 (符号) 宋体 首行缩进:  0.93 厘米 段前: 6 磅 段后: 6 磅 行距: 固定值 18 磅1"/>
    <w:basedOn w:val="1"/>
    <w:autoRedefine/>
    <w:qFormat/>
    <w:uiPriority w:val="34"/>
    <w:pPr>
      <w:spacing w:before="160" w:after="160" w:line="320" w:lineRule="exact"/>
      <w:ind w:firstLine="527"/>
    </w:pPr>
    <w:rPr>
      <w:rFonts w:hAnsi="宋体"/>
      <w:szCs w:val="20"/>
    </w:rPr>
  </w:style>
  <w:style w:type="paragraph" w:customStyle="1" w:styleId="86">
    <w:name w:val="Char1"/>
    <w:basedOn w:val="1"/>
    <w:autoRedefine/>
    <w:qFormat/>
    <w:uiPriority w:val="34"/>
    <w:pPr>
      <w:snapToGrid w:val="0"/>
      <w:spacing w:line="360" w:lineRule="auto"/>
      <w:ind w:firstLine="200" w:firstLineChars="200"/>
    </w:pPr>
  </w:style>
  <w:style w:type="paragraph" w:customStyle="1" w:styleId="87">
    <w:name w:val="样式 列表"/>
    <w:basedOn w:val="26"/>
    <w:autoRedefine/>
    <w:qFormat/>
    <w:uiPriority w:val="34"/>
    <w:pPr>
      <w:spacing w:line="280" w:lineRule="exact"/>
      <w:ind w:left="0" w:firstLine="0" w:firstLineChars="0"/>
      <w:jc w:val="center"/>
    </w:pPr>
    <w:rPr>
      <w:rFonts w:eastAsia="方正仿宋_GBK" w:cs="宋体"/>
      <w:szCs w:val="20"/>
    </w:rPr>
  </w:style>
  <w:style w:type="character" w:customStyle="1" w:styleId="88">
    <w:name w:val="普通(网站) Char"/>
    <w:basedOn w:val="39"/>
    <w:link w:val="33"/>
    <w:autoRedefine/>
    <w:qFormat/>
    <w:locked/>
    <w:uiPriority w:val="34"/>
    <w:rPr>
      <w:rFonts w:ascii="宋体" w:hAnsi="宋体" w:eastAsia="仿宋_GB2312" w:cs="Times New Roman"/>
      <w:kern w:val="0"/>
      <w:sz w:val="24"/>
      <w:szCs w:val="24"/>
    </w:rPr>
  </w:style>
  <w:style w:type="paragraph" w:customStyle="1" w:styleId="89">
    <w:name w:val="Char"/>
    <w:basedOn w:val="1"/>
    <w:autoRedefine/>
    <w:qFormat/>
    <w:uiPriority w:val="34"/>
  </w:style>
  <w:style w:type="paragraph" w:customStyle="1" w:styleId="90">
    <w:name w:val="章标题"/>
    <w:next w:val="1"/>
    <w:autoRedefine/>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1">
    <w:name w:val="简单回函地址"/>
    <w:basedOn w:val="1"/>
    <w:autoRedefine/>
    <w:qFormat/>
    <w:uiPriority w:val="34"/>
  </w:style>
  <w:style w:type="paragraph" w:customStyle="1" w:styleId="92">
    <w:name w:val="Char Char Char Char Char Char Char Char Char Char Char Char Char"/>
    <w:basedOn w:val="1"/>
    <w:autoRedefine/>
    <w:qFormat/>
    <w:uiPriority w:val="0"/>
    <w:rPr>
      <w:rFonts w:ascii="Tahoma" w:hAnsi="Tahoma"/>
      <w:szCs w:val="20"/>
    </w:rPr>
  </w:style>
  <w:style w:type="paragraph" w:customStyle="1" w:styleId="93">
    <w:name w:val="样式1"/>
    <w:basedOn w:val="1"/>
    <w:autoRedefine/>
    <w:qFormat/>
    <w:uiPriority w:val="34"/>
    <w:rPr>
      <w:szCs w:val="20"/>
    </w:rPr>
  </w:style>
  <w:style w:type="paragraph" w:customStyle="1" w:styleId="94">
    <w:name w:val="xl45"/>
    <w:basedOn w:val="1"/>
    <w:autoRedefine/>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5">
    <w:name w:val="xl26"/>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96">
    <w:name w:val="xl42"/>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97">
    <w:name w:val="字元"/>
    <w:basedOn w:val="1"/>
    <w:autoRedefine/>
    <w:qFormat/>
    <w:uiPriority w:val="34"/>
  </w:style>
  <w:style w:type="paragraph" w:customStyle="1" w:styleId="98">
    <w:name w:val="图标题"/>
    <w:basedOn w:val="1"/>
    <w:autoRedefine/>
    <w:qFormat/>
    <w:uiPriority w:val="34"/>
    <w:pPr>
      <w:widowControl/>
      <w:spacing w:line="300" w:lineRule="exact"/>
    </w:pPr>
    <w:rPr>
      <w:rFonts w:ascii="仿宋_GB2312" w:hAnsi="宋体" w:cs="宋体"/>
      <w:b/>
      <w:bCs/>
      <w:kern w:val="0"/>
    </w:rPr>
  </w:style>
  <w:style w:type="paragraph" w:customStyle="1" w:styleId="99">
    <w:name w:val="xl27"/>
    <w:basedOn w:val="1"/>
    <w:autoRedefine/>
    <w:qFormat/>
    <w:uiPriority w:val="34"/>
    <w:pPr>
      <w:widowControl/>
      <w:pBdr>
        <w:bottom w:val="single" w:color="auto" w:sz="12" w:space="0"/>
      </w:pBdr>
      <w:spacing w:before="100" w:after="100"/>
      <w:jc w:val="center"/>
    </w:pPr>
    <w:rPr>
      <w:rFonts w:ascii="宋体" w:hAnsi="宋体"/>
      <w:kern w:val="0"/>
      <w:szCs w:val="20"/>
    </w:rPr>
  </w:style>
  <w:style w:type="paragraph" w:customStyle="1" w:styleId="100">
    <w:name w:val="Default"/>
    <w:autoRedefine/>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Char Char Char Char"/>
    <w:basedOn w:val="10"/>
    <w:autoRedefine/>
    <w:qFormat/>
    <w:uiPriority w:val="34"/>
    <w:pPr>
      <w:widowControl/>
      <w:adjustRightInd w:val="0"/>
      <w:snapToGrid w:val="0"/>
      <w:spacing w:line="360" w:lineRule="auto"/>
      <w:jc w:val="left"/>
    </w:pPr>
    <w:rPr>
      <w:rFonts w:ascii="Tahoma" w:hAnsi="Tahoma" w:cs="宋体"/>
      <w:kern w:val="0"/>
    </w:rPr>
  </w:style>
  <w:style w:type="paragraph" w:customStyle="1" w:styleId="102">
    <w:name w:val="6"/>
    <w:basedOn w:val="1"/>
    <w:next w:val="17"/>
    <w:autoRedefine/>
    <w:qFormat/>
    <w:uiPriority w:val="34"/>
    <w:rPr>
      <w:rFonts w:ascii="宋体" w:hAnsi="Courier New"/>
      <w:szCs w:val="20"/>
    </w:rPr>
  </w:style>
  <w:style w:type="paragraph" w:customStyle="1" w:styleId="103">
    <w:name w:val="Char Char1 Char Char Char Char Char Char Char"/>
    <w:basedOn w:val="1"/>
    <w:next w:val="1"/>
    <w:autoRedefine/>
    <w:qFormat/>
    <w:uiPriority w:val="34"/>
    <w:pPr>
      <w:spacing w:line="360" w:lineRule="auto"/>
      <w:ind w:firstLine="200" w:firstLineChars="200"/>
    </w:pPr>
  </w:style>
  <w:style w:type="paragraph" w:customStyle="1" w:styleId="104">
    <w:name w:val="环正文"/>
    <w:basedOn w:val="1"/>
    <w:link w:val="105"/>
    <w:autoRedefine/>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5">
    <w:name w:val="环正文 Char1"/>
    <w:basedOn w:val="39"/>
    <w:link w:val="104"/>
    <w:autoRedefine/>
    <w:qFormat/>
    <w:uiPriority w:val="0"/>
    <w:rPr>
      <w:rFonts w:ascii="宋体" w:hAnsi="宋体" w:eastAsia="仿宋_GB2312" w:cs="Times New Roman"/>
      <w:snapToGrid w:val="0"/>
      <w:color w:val="000000"/>
      <w:kern w:val="0"/>
      <w:sz w:val="32"/>
      <w:szCs w:val="28"/>
    </w:rPr>
  </w:style>
  <w:style w:type="paragraph" w:customStyle="1" w:styleId="106">
    <w:name w:val="文字"/>
    <w:basedOn w:val="1"/>
    <w:link w:val="107"/>
    <w:autoRedefine/>
    <w:qFormat/>
    <w:uiPriority w:val="0"/>
    <w:pPr>
      <w:spacing w:line="360" w:lineRule="auto"/>
      <w:ind w:firstLine="200" w:firstLineChars="200"/>
    </w:pPr>
  </w:style>
  <w:style w:type="character" w:customStyle="1" w:styleId="107">
    <w:name w:val="文字 Char"/>
    <w:basedOn w:val="39"/>
    <w:link w:val="106"/>
    <w:autoRedefine/>
    <w:qFormat/>
    <w:uiPriority w:val="0"/>
    <w:rPr>
      <w:rFonts w:ascii="Times New Roman" w:hAnsi="Times New Roman" w:eastAsia="仿宋_GB2312" w:cs="Times New Roman"/>
      <w:sz w:val="24"/>
      <w:szCs w:val="24"/>
    </w:rPr>
  </w:style>
  <w:style w:type="paragraph" w:customStyle="1" w:styleId="108">
    <w:name w:val="正文格式"/>
    <w:basedOn w:val="1"/>
    <w:autoRedefine/>
    <w:qFormat/>
    <w:uiPriority w:val="34"/>
    <w:pPr>
      <w:ind w:firstLine="560" w:firstLineChars="200"/>
    </w:pPr>
    <w:rPr>
      <w:rFonts w:eastAsia="楷体_GB2312"/>
      <w:sz w:val="28"/>
    </w:rPr>
  </w:style>
  <w:style w:type="paragraph" w:customStyle="1" w:styleId="109">
    <w:name w:val="p0"/>
    <w:basedOn w:val="1"/>
    <w:autoRedefine/>
    <w:qFormat/>
    <w:uiPriority w:val="34"/>
    <w:pPr>
      <w:widowControl/>
    </w:pPr>
    <w:rPr>
      <w:rFonts w:ascii="Tahoma" w:hAnsi="Tahoma" w:cs="Tahoma"/>
      <w:kern w:val="0"/>
      <w:szCs w:val="21"/>
    </w:rPr>
  </w:style>
  <w:style w:type="paragraph" w:customStyle="1" w:styleId="110">
    <w:name w:val="默认段落字体 Para Char Char Char Char Char Char Char Char Char Char Char Char Char"/>
    <w:basedOn w:val="1"/>
    <w:autoRedefine/>
    <w:qFormat/>
    <w:uiPriority w:val="34"/>
  </w:style>
  <w:style w:type="paragraph" w:customStyle="1" w:styleId="111">
    <w:name w:val="xl92"/>
    <w:basedOn w:val="1"/>
    <w:autoRedefine/>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2">
    <w:name w:val="默认段落字体 Para Char Char Char Char"/>
    <w:basedOn w:val="1"/>
    <w:autoRedefine/>
    <w:qFormat/>
    <w:uiPriority w:val="0"/>
  </w:style>
  <w:style w:type="character" w:customStyle="1" w:styleId="113">
    <w:name w:val="Char Char12"/>
    <w:basedOn w:val="39"/>
    <w:autoRedefine/>
    <w:qFormat/>
    <w:uiPriority w:val="0"/>
    <w:rPr>
      <w:rFonts w:eastAsia="方正仿宋_GBK"/>
      <w:snapToGrid w:val="0"/>
      <w:sz w:val="32"/>
      <w:lang w:val="en-US" w:eastAsia="zh-CN" w:bidi="ar-SA"/>
    </w:rPr>
  </w:style>
  <w:style w:type="paragraph" w:customStyle="1" w:styleId="114">
    <w:name w:val="二级无标题条"/>
    <w:basedOn w:val="1"/>
    <w:autoRedefine/>
    <w:qFormat/>
    <w:uiPriority w:val="34"/>
  </w:style>
  <w:style w:type="paragraph" w:customStyle="1" w:styleId="115">
    <w:name w:val="表头"/>
    <w:basedOn w:val="1"/>
    <w:autoRedefine/>
    <w:qFormat/>
    <w:uiPriority w:val="34"/>
    <w:pPr>
      <w:adjustRightInd w:val="0"/>
      <w:spacing w:line="320" w:lineRule="atLeast"/>
      <w:jc w:val="center"/>
      <w:textAlignment w:val="baseline"/>
    </w:pPr>
    <w:rPr>
      <w:rFonts w:eastAsia="黑体"/>
      <w:spacing w:val="-10"/>
      <w:kern w:val="0"/>
      <w:szCs w:val="20"/>
    </w:rPr>
  </w:style>
  <w:style w:type="paragraph" w:customStyle="1" w:styleId="116">
    <w:name w:val="表格文字-5号-中"/>
    <w:basedOn w:val="1"/>
    <w:autoRedefine/>
    <w:qFormat/>
    <w:uiPriority w:val="34"/>
    <w:pPr>
      <w:snapToGrid w:val="0"/>
      <w:spacing w:line="400" w:lineRule="exact"/>
      <w:jc w:val="center"/>
    </w:pPr>
    <w:rPr>
      <w:kern w:val="0"/>
      <w:szCs w:val="21"/>
    </w:rPr>
  </w:style>
  <w:style w:type="paragraph" w:customStyle="1" w:styleId="117">
    <w:name w:val="Char Char1 Char Char Char1 Char"/>
    <w:basedOn w:val="1"/>
    <w:autoRedefine/>
    <w:qFormat/>
    <w:uiPriority w:val="34"/>
    <w:pPr>
      <w:widowControl/>
      <w:adjustRightInd w:val="0"/>
      <w:spacing w:line="360" w:lineRule="auto"/>
      <w:jc w:val="left"/>
    </w:pPr>
    <w:rPr>
      <w:rFonts w:ascii="宋体" w:hAnsi="宋体" w:cs="宋体"/>
      <w:kern w:val="0"/>
    </w:rPr>
  </w:style>
  <w:style w:type="character" w:customStyle="1" w:styleId="118">
    <w:name w:val="apple-converted-space"/>
    <w:basedOn w:val="39"/>
    <w:autoRedefine/>
    <w:qFormat/>
    <w:uiPriority w:val="0"/>
  </w:style>
  <w:style w:type="paragraph" w:customStyle="1" w:styleId="119">
    <w:name w:val="1 Char"/>
    <w:basedOn w:val="1"/>
    <w:autoRedefine/>
    <w:qFormat/>
    <w:uiPriority w:val="34"/>
  </w:style>
  <w:style w:type="paragraph" w:customStyle="1" w:styleId="120">
    <w:name w:val="xl28"/>
    <w:basedOn w:val="1"/>
    <w:autoRedefine/>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1">
    <w:name w:val="列表 Char"/>
    <w:link w:val="26"/>
    <w:autoRedefine/>
    <w:qFormat/>
    <w:uiPriority w:val="99"/>
    <w:rPr>
      <w:rFonts w:ascii="Times New Roman" w:hAnsi="Times New Roman" w:eastAsia="仿宋_GB2312" w:cs="Times New Roman"/>
      <w:sz w:val="24"/>
      <w:szCs w:val="24"/>
    </w:rPr>
  </w:style>
  <w:style w:type="paragraph" w:customStyle="1" w:styleId="122">
    <w:name w:val="样式 题注 + 首行缩进:  2 字符"/>
    <w:basedOn w:val="8"/>
    <w:autoRedefine/>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3">
    <w:name w:val="报告书表格"/>
    <w:basedOn w:val="1"/>
    <w:link w:val="124"/>
    <w:autoRedefine/>
    <w:qFormat/>
    <w:uiPriority w:val="0"/>
    <w:pPr>
      <w:adjustRightInd w:val="0"/>
      <w:spacing w:line="400" w:lineRule="exact"/>
      <w:jc w:val="center"/>
      <w:textAlignment w:val="baseline"/>
    </w:pPr>
    <w:rPr>
      <w:kern w:val="0"/>
      <w:szCs w:val="20"/>
    </w:rPr>
  </w:style>
  <w:style w:type="character" w:customStyle="1" w:styleId="124">
    <w:name w:val="报告书表格 Char"/>
    <w:link w:val="123"/>
    <w:autoRedefine/>
    <w:qFormat/>
    <w:uiPriority w:val="0"/>
    <w:rPr>
      <w:rFonts w:ascii="Times New Roman" w:hAnsi="Times New Roman" w:eastAsia="仿宋_GB2312" w:cs="Times New Roman"/>
      <w:kern w:val="0"/>
      <w:sz w:val="24"/>
      <w:szCs w:val="20"/>
    </w:rPr>
  </w:style>
  <w:style w:type="paragraph" w:customStyle="1" w:styleId="125">
    <w:name w:val="样式4"/>
    <w:basedOn w:val="6"/>
    <w:next w:val="6"/>
    <w:autoRedefine/>
    <w:qFormat/>
    <w:uiPriority w:val="0"/>
    <w:pPr>
      <w:keepNext w:val="0"/>
      <w:keepLines w:val="0"/>
      <w:spacing w:before="0" w:after="0" w:line="360" w:lineRule="auto"/>
      <w:ind w:firstLine="200" w:firstLineChars="200"/>
      <w:jc w:val="left"/>
    </w:pPr>
    <w:rPr>
      <w:rFonts w:ascii="黑体" w:hAnsi="宋体"/>
      <w:b w:val="0"/>
    </w:rPr>
  </w:style>
  <w:style w:type="paragraph" w:customStyle="1" w:styleId="126">
    <w:name w:val="列出段落1"/>
    <w:autoRedefine/>
    <w:qFormat/>
    <w:uiPriority w:val="0"/>
    <w:pPr>
      <w:ind w:left="720"/>
    </w:pPr>
    <w:rPr>
      <w:rFonts w:ascii="Times New Roman" w:hAnsi="Times New Roman" w:eastAsia="宋体" w:cs="Times New Roman"/>
      <w:lang w:val="en-US" w:eastAsia="zh-CN" w:bidi="ar-SA"/>
    </w:rPr>
  </w:style>
  <w:style w:type="paragraph" w:customStyle="1" w:styleId="127">
    <w:name w:val="正文文本 21"/>
    <w:basedOn w:val="1"/>
    <w:autoRedefine/>
    <w:qFormat/>
    <w:uiPriority w:val="99"/>
    <w:pPr>
      <w:adjustRightInd w:val="0"/>
      <w:spacing w:after="120"/>
      <w:ind w:left="420"/>
      <w:textAlignment w:val="baseline"/>
    </w:pPr>
    <w:rPr>
      <w:rFonts w:hint="eastAsia" w:ascii="宋体" w:hAnsi="宋体" w:eastAsia="宋体"/>
      <w:szCs w:val="20"/>
    </w:rPr>
  </w:style>
  <w:style w:type="paragraph" w:customStyle="1" w:styleId="128">
    <w:name w:val="Table count"/>
    <w:autoRedefine/>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29">
    <w:name w:val="bititle"/>
    <w:basedOn w:val="39"/>
    <w:autoRedefine/>
    <w:qFormat/>
    <w:uiPriority w:val="0"/>
  </w:style>
  <w:style w:type="paragraph" w:customStyle="1" w:styleId="130">
    <w:name w:val="reader-word-layer"/>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31">
    <w:name w:val="小表格"/>
    <w:basedOn w:val="1"/>
    <w:autoRedefine/>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2">
    <w:name w:val="正文5"/>
    <w:basedOn w:val="1"/>
    <w:link w:val="133"/>
    <w:autoRedefine/>
    <w:qFormat/>
    <w:uiPriority w:val="0"/>
    <w:pPr>
      <w:widowControl/>
      <w:adjustRightInd w:val="0"/>
      <w:snapToGrid w:val="0"/>
      <w:spacing w:after="200"/>
      <w:jc w:val="left"/>
    </w:pPr>
    <w:rPr>
      <w:rFonts w:eastAsia="宋体"/>
      <w:kern w:val="0"/>
      <w:sz w:val="22"/>
      <w:szCs w:val="22"/>
    </w:rPr>
  </w:style>
  <w:style w:type="character" w:customStyle="1" w:styleId="133">
    <w:name w:val="正文5 Char"/>
    <w:basedOn w:val="39"/>
    <w:link w:val="132"/>
    <w:autoRedefine/>
    <w:qFormat/>
    <w:uiPriority w:val="0"/>
    <w:rPr>
      <w:rFonts w:ascii="Times New Roman" w:hAnsi="Times New Roman" w:eastAsia="宋体" w:cs="Times New Roman"/>
      <w:kern w:val="0"/>
      <w:sz w:val="22"/>
    </w:rPr>
  </w:style>
  <w:style w:type="paragraph" w:customStyle="1" w:styleId="134">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样式 标题 3 + 四号"/>
    <w:basedOn w:val="5"/>
    <w:autoRedefine/>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6">
    <w:name w:val="正文 小五 Char"/>
    <w:basedOn w:val="39"/>
    <w:link w:val="137"/>
    <w:autoRedefine/>
    <w:qFormat/>
    <w:uiPriority w:val="0"/>
    <w:rPr>
      <w:rFonts w:ascii="宋体" w:hAnsi="宋体"/>
      <w:spacing w:val="-6"/>
      <w:sz w:val="18"/>
      <w:szCs w:val="18"/>
    </w:rPr>
  </w:style>
  <w:style w:type="paragraph" w:customStyle="1" w:styleId="137">
    <w:name w:val="正文 小五"/>
    <w:basedOn w:val="1"/>
    <w:link w:val="136"/>
    <w:autoRedefine/>
    <w:qFormat/>
    <w:uiPriority w:val="0"/>
    <w:pPr>
      <w:spacing w:line="270" w:lineRule="exact"/>
      <w:jc w:val="left"/>
    </w:pPr>
    <w:rPr>
      <w:rFonts w:ascii="宋体" w:hAnsi="宋体" w:eastAsiaTheme="minorEastAsia" w:cstheme="minorBidi"/>
      <w:spacing w:val="-6"/>
      <w:sz w:val="18"/>
      <w:szCs w:val="18"/>
    </w:rPr>
  </w:style>
  <w:style w:type="paragraph" w:customStyle="1" w:styleId="138">
    <w:name w:val="txt"/>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39">
    <w:name w:val="表格文字2"/>
    <w:basedOn w:val="1"/>
    <w:autoRedefine/>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0">
    <w:name w:val="Table Paragraph"/>
    <w:basedOn w:val="1"/>
    <w:autoRedefine/>
    <w:qFormat/>
    <w:uiPriority w:val="0"/>
    <w:pPr>
      <w:jc w:val="center"/>
    </w:pPr>
    <w:rPr>
      <w:rFonts w:ascii="宋体" w:hAnsi="宋体" w:eastAsia="宋体" w:cs="宋体"/>
    </w:rPr>
  </w:style>
  <w:style w:type="paragraph" w:customStyle="1" w:styleId="141">
    <w:name w:val="首行缩进"/>
    <w:basedOn w:val="1"/>
    <w:autoRedefine/>
    <w:qFormat/>
    <w:uiPriority w:val="34"/>
    <w:pPr>
      <w:adjustRightInd w:val="0"/>
      <w:snapToGrid w:val="0"/>
      <w:spacing w:line="360" w:lineRule="auto"/>
      <w:ind w:firstLine="480" w:firstLineChars="200"/>
      <w:jc w:val="left"/>
    </w:pPr>
    <w:rPr>
      <w:rFonts w:eastAsiaTheme="minorEastAsia"/>
      <w:szCs w:val="22"/>
    </w:rPr>
  </w:style>
  <w:style w:type="paragraph" w:customStyle="1" w:styleId="142">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43">
    <w:name w:val="列出段落2"/>
    <w:basedOn w:val="1"/>
    <w:autoRedefine/>
    <w:unhideWhenUsed/>
    <w:qFormat/>
    <w:uiPriority w:val="99"/>
    <w:pPr>
      <w:ind w:firstLine="420" w:firstLineChars="200"/>
    </w:pPr>
  </w:style>
  <w:style w:type="paragraph" w:customStyle="1" w:styleId="144">
    <w:name w:val="_Style 1"/>
    <w:basedOn w:val="1"/>
    <w:autoRedefine/>
    <w:qFormat/>
    <w:uiPriority w:val="34"/>
    <w:pPr>
      <w:spacing w:before="100" w:beforeAutospacing="1"/>
      <w:ind w:firstLine="420" w:firstLineChars="200"/>
    </w:pPr>
    <w:rPr>
      <w:sz w:val="28"/>
      <w:szCs w:val="28"/>
    </w:rPr>
  </w:style>
  <w:style w:type="paragraph" w:customStyle="1" w:styleId="145">
    <w:name w:val="正文首行缩进 2 New"/>
    <w:basedOn w:val="14"/>
    <w:autoRedefine/>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6">
    <w:name w:val="表题"/>
    <w:basedOn w:val="26"/>
    <w:autoRedefine/>
    <w:qFormat/>
    <w:uiPriority w:val="34"/>
    <w:pPr>
      <w:ind w:left="0" w:firstLine="0" w:firstLineChars="0"/>
      <w:jc w:val="center"/>
    </w:pPr>
    <w:rPr>
      <w:rFonts w:ascii="Calibri" w:hAnsi="Calibri" w:eastAsia="宋体"/>
      <w:b/>
      <w:bCs/>
      <w:color w:val="000000"/>
      <w:kern w:val="0"/>
      <w:sz w:val="21"/>
      <w:szCs w:val="21"/>
    </w:rPr>
  </w:style>
  <w:style w:type="paragraph" w:customStyle="1" w:styleId="147">
    <w:name w:val="表文字"/>
    <w:basedOn w:val="1"/>
    <w:autoRedefine/>
    <w:qFormat/>
    <w:uiPriority w:val="34"/>
    <w:pPr>
      <w:widowControl/>
      <w:jc w:val="center"/>
    </w:pPr>
    <w:rPr>
      <w:rFonts w:ascii="Calibri" w:hAnsi="Calibri" w:eastAsia="宋体"/>
      <w:kern w:val="0"/>
      <w:sz w:val="21"/>
      <w:szCs w:val="21"/>
    </w:rPr>
  </w:style>
  <w:style w:type="character" w:customStyle="1" w:styleId="148">
    <w:name w:val="10"/>
    <w:basedOn w:val="39"/>
    <w:autoRedefine/>
    <w:qFormat/>
    <w:uiPriority w:val="0"/>
    <w:rPr>
      <w:rFonts w:hint="default" w:ascii="Calibri" w:hAnsi="Calibri" w:cs="Calibri"/>
    </w:rPr>
  </w:style>
  <w:style w:type="character" w:customStyle="1" w:styleId="149">
    <w:name w:val="15"/>
    <w:basedOn w:val="39"/>
    <w:autoRedefine/>
    <w:qFormat/>
    <w:uiPriority w:val="0"/>
    <w:rPr>
      <w:rFonts w:hint="default" w:ascii="Calibri" w:hAnsi="Calibri" w:cs="Calibri"/>
    </w:rPr>
  </w:style>
  <w:style w:type="paragraph" w:customStyle="1" w:styleId="150">
    <w:name w:val="表  格"/>
    <w:basedOn w:val="1"/>
    <w:link w:val="151"/>
    <w:autoRedefine/>
    <w:qFormat/>
    <w:uiPriority w:val="0"/>
    <w:pPr>
      <w:adjustRightInd w:val="0"/>
      <w:snapToGrid w:val="0"/>
      <w:jc w:val="center"/>
    </w:pPr>
    <w:rPr>
      <w:rFonts w:ascii="宋体" w:hAnsi="宋体" w:eastAsia="宋体"/>
      <w:color w:val="000000"/>
      <w:kern w:val="0"/>
    </w:rPr>
  </w:style>
  <w:style w:type="character" w:customStyle="1" w:styleId="151">
    <w:name w:val="表  格 Char"/>
    <w:link w:val="150"/>
    <w:autoRedefine/>
    <w:qFormat/>
    <w:uiPriority w:val="0"/>
    <w:rPr>
      <w:rFonts w:ascii="宋体" w:hAnsi="宋体" w:eastAsia="宋体" w:cs="Times New Roman"/>
      <w:color w:val="000000"/>
      <w:kern w:val="0"/>
      <w:sz w:val="24"/>
      <w:szCs w:val="24"/>
    </w:rPr>
  </w:style>
  <w:style w:type="character" w:customStyle="1" w:styleId="152">
    <w:name w:val="标题 Char"/>
    <w:basedOn w:val="39"/>
    <w:link w:val="34"/>
    <w:autoRedefine/>
    <w:qFormat/>
    <w:uiPriority w:val="0"/>
    <w:rPr>
      <w:rFonts w:eastAsia="宋体" w:asciiTheme="majorHAnsi" w:hAnsiTheme="majorHAnsi" w:cstheme="majorBidi"/>
      <w:b/>
      <w:bCs/>
      <w:sz w:val="32"/>
      <w:szCs w:val="32"/>
    </w:rPr>
  </w:style>
  <w:style w:type="paragraph" w:styleId="153">
    <w:name w:val="List Paragraph"/>
    <w:basedOn w:val="1"/>
    <w:autoRedefine/>
    <w:qFormat/>
    <w:uiPriority w:val="1"/>
    <w:pPr>
      <w:ind w:firstLine="420" w:firstLineChars="200"/>
    </w:pPr>
  </w:style>
  <w:style w:type="character" w:customStyle="1" w:styleId="154">
    <w:name w:val="表格内容 Char"/>
    <w:link w:val="155"/>
    <w:autoRedefine/>
    <w:qFormat/>
    <w:uiPriority w:val="0"/>
    <w:rPr>
      <w:rFonts w:ascii="宋体" w:hAnsi="宋体"/>
      <w:color w:val="000000"/>
      <w:szCs w:val="21"/>
    </w:rPr>
  </w:style>
  <w:style w:type="paragraph" w:customStyle="1" w:styleId="155">
    <w:name w:val="表格内容"/>
    <w:basedOn w:val="1"/>
    <w:link w:val="154"/>
    <w:autoRedefine/>
    <w:qFormat/>
    <w:uiPriority w:val="0"/>
    <w:pPr>
      <w:spacing w:line="280" w:lineRule="exact"/>
      <w:jc w:val="center"/>
    </w:pPr>
    <w:rPr>
      <w:rFonts w:ascii="宋体" w:hAnsi="宋体" w:eastAsiaTheme="minorEastAsia" w:cstheme="minorBidi"/>
      <w:color w:val="000000"/>
      <w:sz w:val="21"/>
      <w:szCs w:val="21"/>
    </w:rPr>
  </w:style>
  <w:style w:type="character" w:customStyle="1" w:styleId="156">
    <w:name w:val="样式 正文 Char"/>
    <w:link w:val="157"/>
    <w:autoRedefine/>
    <w:qFormat/>
    <w:uiPriority w:val="0"/>
    <w:rPr>
      <w:rFonts w:ascii="Times New Roman" w:hAnsi="Times New Roman" w:eastAsia="宋体" w:cs="Times New Roman"/>
      <w:sz w:val="28"/>
      <w:szCs w:val="20"/>
    </w:rPr>
  </w:style>
  <w:style w:type="paragraph" w:customStyle="1" w:styleId="157">
    <w:name w:val="样式 正文"/>
    <w:basedOn w:val="1"/>
    <w:link w:val="156"/>
    <w:autoRedefine/>
    <w:qFormat/>
    <w:uiPriority w:val="0"/>
    <w:pPr>
      <w:spacing w:line="520" w:lineRule="exact"/>
      <w:ind w:firstLine="560"/>
    </w:pPr>
    <w:rPr>
      <w:rFonts w:eastAsia="宋体"/>
      <w:sz w:val="28"/>
      <w:szCs w:val="20"/>
    </w:rPr>
  </w:style>
  <w:style w:type="paragraph" w:customStyle="1" w:styleId="158">
    <w:name w:val="表图1"/>
    <w:basedOn w:val="1"/>
    <w:autoRedefine/>
    <w:qFormat/>
    <w:uiPriority w:val="0"/>
    <w:pPr>
      <w:spacing w:line="360" w:lineRule="exact"/>
      <w:jc w:val="center"/>
    </w:pPr>
    <w:rPr>
      <w:sz w:val="21"/>
    </w:rPr>
  </w:style>
  <w:style w:type="paragraph" w:customStyle="1" w:styleId="159">
    <w:name w:val="Char Char1 Char Char Char Char"/>
    <w:basedOn w:val="1"/>
    <w:autoRedefine/>
    <w:qFormat/>
    <w:uiPriority w:val="0"/>
    <w:rPr>
      <w:rFonts w:eastAsia="宋体"/>
      <w:sz w:val="21"/>
      <w:szCs w:val="20"/>
    </w:rPr>
  </w:style>
  <w:style w:type="paragraph" w:customStyle="1" w:styleId="160">
    <w:name w:val="Char Char1 Char Char Char Char1"/>
    <w:basedOn w:val="1"/>
    <w:autoRedefine/>
    <w:qFormat/>
    <w:uiPriority w:val="0"/>
    <w:rPr>
      <w:rFonts w:eastAsia="宋体"/>
      <w:sz w:val="21"/>
      <w:szCs w:val="20"/>
    </w:rPr>
  </w:style>
  <w:style w:type="character" w:customStyle="1" w:styleId="161">
    <w:name w:val="样式8 Char"/>
    <w:basedOn w:val="39"/>
    <w:link w:val="162"/>
    <w:autoRedefine/>
    <w:qFormat/>
    <w:uiPriority w:val="0"/>
    <w:rPr>
      <w:rFonts w:eastAsia="楷体_GB2312"/>
      <w:b/>
      <w:bCs/>
      <w:sz w:val="24"/>
      <w:szCs w:val="28"/>
    </w:rPr>
  </w:style>
  <w:style w:type="paragraph" w:customStyle="1" w:styleId="162">
    <w:name w:val="样式8"/>
    <w:basedOn w:val="46"/>
    <w:link w:val="161"/>
    <w:autoRedefine/>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3">
    <w:name w:val="search_content1"/>
    <w:autoRedefine/>
    <w:qFormat/>
    <w:uiPriority w:val="0"/>
    <w:rPr>
      <w:sz w:val="20"/>
      <w:szCs w:val="20"/>
    </w:rPr>
  </w:style>
  <w:style w:type="paragraph" w:customStyle="1" w:styleId="164">
    <w:name w:val="msolistparagraph"/>
    <w:basedOn w:val="1"/>
    <w:autoRedefine/>
    <w:qFormat/>
    <w:uiPriority w:val="0"/>
    <w:pPr>
      <w:ind w:firstLine="420" w:firstLineChars="200"/>
    </w:pPr>
    <w:rPr>
      <w:rFonts w:ascii="Calibri" w:hAnsi="Calibri" w:eastAsia="宋体"/>
      <w:sz w:val="21"/>
      <w:szCs w:val="22"/>
    </w:rPr>
  </w:style>
  <w:style w:type="paragraph" w:customStyle="1" w:styleId="165">
    <w:name w:val="Char Char1 Char Char Char Char2"/>
    <w:basedOn w:val="1"/>
    <w:autoRedefine/>
    <w:qFormat/>
    <w:uiPriority w:val="0"/>
    <w:rPr>
      <w:rFonts w:eastAsia="宋体"/>
      <w:sz w:val="21"/>
      <w:szCs w:val="20"/>
    </w:rPr>
  </w:style>
  <w:style w:type="character" w:customStyle="1" w:styleId="166">
    <w:name w:val="正文文本缩进 Char1"/>
    <w:link w:val="167"/>
    <w:autoRedefine/>
    <w:qFormat/>
    <w:locked/>
    <w:uiPriority w:val="0"/>
    <w:rPr>
      <w:rFonts w:ascii="仿宋_GB2312" w:hAnsi="宋体" w:eastAsia="仿宋_GB2312"/>
      <w:sz w:val="24"/>
    </w:rPr>
  </w:style>
  <w:style w:type="paragraph" w:customStyle="1" w:styleId="167">
    <w:name w:val="正文文本缩进1"/>
    <w:basedOn w:val="1"/>
    <w:link w:val="166"/>
    <w:autoRedefine/>
    <w:qFormat/>
    <w:uiPriority w:val="0"/>
    <w:pPr>
      <w:widowControl/>
      <w:spacing w:line="360" w:lineRule="auto"/>
      <w:ind w:firstLine="560"/>
      <w:jc w:val="left"/>
    </w:pPr>
    <w:rPr>
      <w:rFonts w:ascii="仿宋_GB2312" w:hAnsi="宋体" w:cstheme="minorBidi"/>
      <w:szCs w:val="22"/>
    </w:rPr>
  </w:style>
  <w:style w:type="character" w:customStyle="1" w:styleId="168">
    <w:name w:val="表格文字 Char Char"/>
    <w:autoRedefine/>
    <w:qFormat/>
    <w:locked/>
    <w:uiPriority w:val="0"/>
    <w:rPr>
      <w:rFonts w:ascii="仿宋_GB2312" w:hAnsi="Arial Black" w:eastAsia="仿宋_GB2312"/>
      <w:kern w:val="44"/>
      <w:sz w:val="24"/>
    </w:rPr>
  </w:style>
  <w:style w:type="paragraph" w:customStyle="1" w:styleId="169">
    <w:name w:val="表中"/>
    <w:autoRedefine/>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0">
    <w:name w:val="font01"/>
    <w:basedOn w:val="39"/>
    <w:autoRedefine/>
    <w:qFormat/>
    <w:uiPriority w:val="0"/>
    <w:rPr>
      <w:rFonts w:hint="eastAsia" w:ascii="宋体" w:hAnsi="宋体" w:eastAsia="宋体"/>
      <w:color w:val="000000"/>
      <w:sz w:val="24"/>
      <w:szCs w:val="24"/>
      <w:u w:val="none"/>
    </w:rPr>
  </w:style>
  <w:style w:type="character" w:styleId="171">
    <w:name w:val="Placeholder Text"/>
    <w:basedOn w:val="39"/>
    <w:autoRedefine/>
    <w:semiHidden/>
    <w:qFormat/>
    <w:uiPriority w:val="99"/>
    <w:rPr>
      <w:color w:val="808080"/>
    </w:rPr>
  </w:style>
  <w:style w:type="character" w:customStyle="1" w:styleId="172">
    <w:name w:val="正文文本 Char1"/>
    <w:basedOn w:val="39"/>
    <w:autoRedefine/>
    <w:semiHidden/>
    <w:qFormat/>
    <w:uiPriority w:val="99"/>
    <w:rPr>
      <w:rFonts w:ascii="Times New Roman" w:hAnsi="Times New Roman" w:eastAsia="仿宋_GB2312" w:cs="Times New Roman"/>
      <w:kern w:val="2"/>
      <w:sz w:val="24"/>
      <w:szCs w:val="24"/>
    </w:rPr>
  </w:style>
  <w:style w:type="character" w:customStyle="1" w:styleId="173">
    <w:name w:val="正文首行缩进 Char"/>
    <w:basedOn w:val="54"/>
    <w:link w:val="36"/>
    <w:autoRedefine/>
    <w:semiHidden/>
    <w:qFormat/>
    <w:locked/>
    <w:uiPriority w:val="0"/>
    <w:rPr>
      <w:rFonts w:ascii="Times New Roman" w:hAnsi="Times New Roman" w:eastAsia="仿宋_GB2312" w:cs="Times New Roman"/>
      <w:sz w:val="24"/>
      <w:szCs w:val="24"/>
    </w:rPr>
  </w:style>
  <w:style w:type="character" w:customStyle="1" w:styleId="174">
    <w:name w:val="批注文字 Char1"/>
    <w:basedOn w:val="39"/>
    <w:autoRedefine/>
    <w:semiHidden/>
    <w:qFormat/>
    <w:uiPriority w:val="99"/>
    <w:rPr>
      <w:rFonts w:ascii="Times New Roman" w:hAnsi="Times New Roman" w:eastAsia="仿宋_GB2312" w:cs="Times New Roman"/>
      <w:kern w:val="2"/>
      <w:sz w:val="24"/>
      <w:szCs w:val="24"/>
    </w:rPr>
  </w:style>
  <w:style w:type="character" w:customStyle="1" w:styleId="175">
    <w:name w:val="普通(网站) Char2"/>
    <w:basedOn w:val="39"/>
    <w:autoRedefine/>
    <w:semiHidden/>
    <w:qFormat/>
    <w:locked/>
    <w:uiPriority w:val="99"/>
    <w:rPr>
      <w:rFonts w:ascii="Calibri" w:hAnsi="Calibri" w:eastAsia="仿宋_GB2312" w:cs="Times New Roman"/>
      <w:kern w:val="2"/>
      <w:sz w:val="18"/>
      <w:szCs w:val="18"/>
    </w:rPr>
  </w:style>
  <w:style w:type="character" w:customStyle="1" w:styleId="176">
    <w:name w:val="文档结构图 Char1"/>
    <w:basedOn w:val="39"/>
    <w:autoRedefine/>
    <w:semiHidden/>
    <w:qFormat/>
    <w:uiPriority w:val="0"/>
    <w:rPr>
      <w:rFonts w:ascii="宋体" w:hAnsi="Times New Roman" w:eastAsia="宋体" w:cs="Times New Roman"/>
      <w:kern w:val="2"/>
      <w:sz w:val="18"/>
      <w:szCs w:val="18"/>
    </w:rPr>
  </w:style>
  <w:style w:type="character" w:customStyle="1" w:styleId="177">
    <w:name w:val="纯文本 Char1"/>
    <w:basedOn w:val="39"/>
    <w:autoRedefine/>
    <w:semiHidden/>
    <w:qFormat/>
    <w:uiPriority w:val="0"/>
    <w:rPr>
      <w:rFonts w:ascii="宋体" w:hAnsi="Courier New" w:eastAsia="宋体" w:cs="Courier New"/>
      <w:kern w:val="2"/>
      <w:sz w:val="21"/>
      <w:szCs w:val="21"/>
    </w:rPr>
  </w:style>
  <w:style w:type="character" w:customStyle="1" w:styleId="178">
    <w:name w:val="表格 Char"/>
    <w:link w:val="179"/>
    <w:autoRedefine/>
    <w:qFormat/>
    <w:locked/>
    <w:uiPriority w:val="0"/>
    <w:rPr>
      <w:rFonts w:ascii="宋体" w:hAnsi="宋体" w:eastAsia="宋体" w:cs="Times New Roman"/>
      <w:sz w:val="21"/>
    </w:rPr>
  </w:style>
  <w:style w:type="paragraph" w:customStyle="1" w:styleId="179">
    <w:name w:val="表格"/>
    <w:basedOn w:val="1"/>
    <w:link w:val="178"/>
    <w:autoRedefine/>
    <w:qFormat/>
    <w:uiPriority w:val="0"/>
    <w:pPr>
      <w:widowControl/>
      <w:snapToGrid w:val="0"/>
      <w:spacing w:line="280" w:lineRule="atLeast"/>
      <w:jc w:val="center"/>
    </w:pPr>
    <w:rPr>
      <w:rFonts w:ascii="宋体" w:hAnsi="宋体" w:eastAsia="宋体"/>
      <w:kern w:val="0"/>
      <w:sz w:val="21"/>
      <w:szCs w:val="20"/>
    </w:rPr>
  </w:style>
  <w:style w:type="paragraph" w:customStyle="1" w:styleId="180">
    <w:name w:val="标题 5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1">
    <w:name w:val="xl24"/>
    <w:basedOn w:val="1"/>
    <w:autoRedefine/>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2">
    <w:name w:val="样式 标题 3标题 3 Char标题 3 Char Char Char Char Char Char Char Char C...4"/>
    <w:basedOn w:val="5"/>
    <w:autoRedefine/>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3">
    <w:name w:val="小四表文左齐"/>
    <w:basedOn w:val="1"/>
    <w:autoRedefine/>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4">
    <w:name w:val="TOC 标题1"/>
    <w:basedOn w:val="2"/>
    <w:next w:val="1"/>
    <w:autoRedefine/>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5">
    <w:name w:val="样式6"/>
    <w:basedOn w:val="5"/>
    <w:autoRedefine/>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6">
    <w:name w:val="样式7"/>
    <w:basedOn w:val="5"/>
    <w:autoRedefine/>
    <w:qFormat/>
    <w:uiPriority w:val="34"/>
    <w:pPr>
      <w:adjustRightInd w:val="0"/>
      <w:snapToGrid w:val="0"/>
      <w:spacing w:line="240" w:lineRule="auto"/>
      <w:ind w:firstLine="200" w:firstLineChars="200"/>
      <w:jc w:val="left"/>
    </w:pPr>
    <w:rPr>
      <w:rFonts w:eastAsiaTheme="minorEastAsia"/>
      <w:sz w:val="28"/>
    </w:rPr>
  </w:style>
  <w:style w:type="paragraph" w:customStyle="1" w:styleId="187">
    <w:name w:val="图框"/>
    <w:basedOn w:val="1"/>
    <w:autoRedefine/>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88">
    <w:name w:val="正  文 Char"/>
    <w:link w:val="189"/>
    <w:autoRedefine/>
    <w:qFormat/>
    <w:locked/>
    <w:uiPriority w:val="0"/>
    <w:rPr>
      <w:rFonts w:ascii="Times New Roman" w:hAnsi="Times New Roman" w:cs="Times New Roman"/>
      <w:b/>
      <w:color w:val="000000"/>
      <w:sz w:val="32"/>
      <w:szCs w:val="32"/>
    </w:rPr>
  </w:style>
  <w:style w:type="paragraph" w:customStyle="1" w:styleId="189">
    <w:name w:val="正  文"/>
    <w:basedOn w:val="1"/>
    <w:link w:val="188"/>
    <w:autoRedefine/>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0">
    <w:name w:val="标题1，"/>
    <w:basedOn w:val="5"/>
    <w:autoRedefine/>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1">
    <w:name w:val="标题 2，"/>
    <w:basedOn w:val="3"/>
    <w:autoRedefine/>
    <w:qFormat/>
    <w:uiPriority w:val="34"/>
    <w:pPr>
      <w:adjustRightInd w:val="0"/>
      <w:snapToGrid w:val="0"/>
      <w:spacing w:beforeLines="50" w:line="240" w:lineRule="auto"/>
      <w:jc w:val="left"/>
    </w:pPr>
    <w:rPr>
      <w:rFonts w:eastAsiaTheme="minorEastAsia"/>
    </w:rPr>
  </w:style>
  <w:style w:type="paragraph" w:customStyle="1" w:styleId="192">
    <w:name w:val="标题 3，"/>
    <w:basedOn w:val="5"/>
    <w:autoRedefine/>
    <w:qFormat/>
    <w:uiPriority w:val="34"/>
    <w:pPr>
      <w:adjustRightInd w:val="0"/>
      <w:snapToGrid w:val="0"/>
      <w:spacing w:line="240" w:lineRule="auto"/>
      <w:ind w:firstLine="200" w:firstLineChars="200"/>
      <w:jc w:val="left"/>
    </w:pPr>
    <w:rPr>
      <w:rFonts w:eastAsiaTheme="minorEastAsia"/>
      <w:sz w:val="28"/>
    </w:rPr>
  </w:style>
  <w:style w:type="character" w:customStyle="1" w:styleId="193">
    <w:name w:val="表格内文字 Char"/>
    <w:basedOn w:val="39"/>
    <w:link w:val="194"/>
    <w:autoRedefine/>
    <w:qFormat/>
    <w:locked/>
    <w:uiPriority w:val="0"/>
    <w:rPr>
      <w:rFonts w:ascii="Times New Roman" w:hAnsi="Times New Roman" w:cs="Times New Roman"/>
      <w:kern w:val="2"/>
      <w:sz w:val="24"/>
      <w:szCs w:val="24"/>
    </w:rPr>
  </w:style>
  <w:style w:type="paragraph" w:customStyle="1" w:styleId="194">
    <w:name w:val="表格内文字"/>
    <w:basedOn w:val="1"/>
    <w:next w:val="1"/>
    <w:link w:val="193"/>
    <w:autoRedefine/>
    <w:qFormat/>
    <w:uiPriority w:val="0"/>
    <w:pPr>
      <w:tabs>
        <w:tab w:val="left" w:pos="0"/>
      </w:tabs>
      <w:adjustRightInd w:val="0"/>
      <w:snapToGrid w:val="0"/>
      <w:jc w:val="center"/>
    </w:pPr>
    <w:rPr>
      <w:rFonts w:eastAsiaTheme="minorEastAsia"/>
    </w:rPr>
  </w:style>
  <w:style w:type="paragraph" w:customStyle="1" w:styleId="195">
    <w:name w:val="样式 正文 首行缩进:  2 字符 + 首行缩进:  2 字符"/>
    <w:basedOn w:val="1"/>
    <w:autoRedefine/>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6">
    <w:name w:val="表  头 Char"/>
    <w:basedOn w:val="39"/>
    <w:link w:val="197"/>
    <w:autoRedefine/>
    <w:qFormat/>
    <w:locked/>
    <w:uiPriority w:val="0"/>
    <w:rPr>
      <w:rFonts w:ascii="黑体" w:hAnsi="宋体" w:eastAsia="黑体" w:cs="宋体"/>
      <w:b/>
      <w:color w:val="000000"/>
      <w:sz w:val="24"/>
    </w:rPr>
  </w:style>
  <w:style w:type="paragraph" w:customStyle="1" w:styleId="197">
    <w:name w:val="表  头"/>
    <w:basedOn w:val="1"/>
    <w:link w:val="196"/>
    <w:autoRedefine/>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198">
    <w:name w:val="1正文 Char"/>
    <w:link w:val="199"/>
    <w:autoRedefine/>
    <w:qFormat/>
    <w:locked/>
    <w:uiPriority w:val="0"/>
    <w:rPr>
      <w:rFonts w:ascii="Times New Roman" w:hAnsi="Times New Roman" w:eastAsia="宋体" w:cs="Times New Roman"/>
      <w:kern w:val="2"/>
      <w:sz w:val="24"/>
    </w:rPr>
  </w:style>
  <w:style w:type="paragraph" w:customStyle="1" w:styleId="199">
    <w:name w:val="1正文"/>
    <w:basedOn w:val="17"/>
    <w:link w:val="198"/>
    <w:autoRedefine/>
    <w:qFormat/>
    <w:uiPriority w:val="0"/>
    <w:pPr>
      <w:spacing w:line="560" w:lineRule="exact"/>
      <w:ind w:firstLine="480" w:firstLineChars="200"/>
    </w:pPr>
    <w:rPr>
      <w:rFonts w:ascii="Times New Roman" w:hAnsi="Times New Roman" w:eastAsia="宋体" w:cs="Times New Roman"/>
      <w:szCs w:val="20"/>
    </w:rPr>
  </w:style>
  <w:style w:type="paragraph" w:customStyle="1" w:styleId="200">
    <w:name w:val="标题 31"/>
    <w:basedOn w:val="1"/>
    <w:next w:val="1"/>
    <w:autoRedefine/>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1">
    <w:name w:val="xl67"/>
    <w:basedOn w:val="1"/>
    <w:autoRedefine/>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2">
    <w:name w:val="文本框"/>
    <w:basedOn w:val="1"/>
    <w:autoRedefine/>
    <w:qFormat/>
    <w:uiPriority w:val="34"/>
    <w:pPr>
      <w:adjustRightInd w:val="0"/>
      <w:snapToGrid w:val="0"/>
      <w:spacing w:line="300" w:lineRule="exact"/>
      <w:jc w:val="center"/>
    </w:pPr>
    <w:rPr>
      <w:rFonts w:eastAsia="宋体"/>
    </w:rPr>
  </w:style>
  <w:style w:type="paragraph" w:customStyle="1" w:styleId="203">
    <w:name w:val="标题 51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4">
    <w:name w:val="修订1"/>
    <w:autoRedefine/>
    <w:semiHidden/>
    <w:qFormat/>
    <w:uiPriority w:val="99"/>
    <w:rPr>
      <w:rFonts w:ascii="Times New Roman" w:hAnsi="Times New Roman" w:eastAsia="仿宋_GB2312" w:cs="Times New Roman"/>
      <w:kern w:val="2"/>
      <w:sz w:val="24"/>
      <w:szCs w:val="24"/>
      <w:lang w:val="en-US" w:eastAsia="zh-CN" w:bidi="ar-SA"/>
    </w:rPr>
  </w:style>
  <w:style w:type="paragraph" w:customStyle="1" w:styleId="205">
    <w:name w:val="Char9"/>
    <w:basedOn w:val="1"/>
    <w:autoRedefine/>
    <w:qFormat/>
    <w:uiPriority w:val="34"/>
    <w:pPr>
      <w:adjustRightInd w:val="0"/>
      <w:snapToGrid w:val="0"/>
      <w:spacing w:line="360" w:lineRule="auto"/>
      <w:ind w:firstLine="200" w:firstLineChars="200"/>
    </w:pPr>
    <w:rPr>
      <w:rFonts w:ascii="宋体" w:hAnsi="宋体" w:eastAsia="宋体" w:cs="宋体"/>
    </w:rPr>
  </w:style>
  <w:style w:type="character" w:customStyle="1" w:styleId="206">
    <w:name w:val="1表格 Char"/>
    <w:link w:val="207"/>
    <w:autoRedefine/>
    <w:qFormat/>
    <w:locked/>
    <w:uiPriority w:val="0"/>
    <w:rPr>
      <w:rFonts w:ascii="Times New Roman" w:hAnsi="Times New Roman" w:eastAsia="宋体" w:cs="宋体"/>
      <w:spacing w:val="4"/>
      <w:szCs w:val="24"/>
    </w:rPr>
  </w:style>
  <w:style w:type="paragraph" w:customStyle="1" w:styleId="207">
    <w:name w:val="1表格"/>
    <w:basedOn w:val="1"/>
    <w:link w:val="206"/>
    <w:autoRedefine/>
    <w:qFormat/>
    <w:uiPriority w:val="0"/>
    <w:pPr>
      <w:adjustRightInd w:val="0"/>
      <w:snapToGrid w:val="0"/>
      <w:jc w:val="center"/>
    </w:pPr>
    <w:rPr>
      <w:rFonts w:eastAsia="宋体" w:cs="宋体"/>
      <w:spacing w:val="4"/>
      <w:kern w:val="0"/>
      <w:sz w:val="20"/>
    </w:rPr>
  </w:style>
  <w:style w:type="character" w:customStyle="1" w:styleId="208">
    <w:name w:val="批注主题 Char1"/>
    <w:basedOn w:val="174"/>
    <w:autoRedefine/>
    <w:semiHidden/>
    <w:qFormat/>
    <w:uiPriority w:val="0"/>
    <w:rPr>
      <w:rFonts w:ascii="Times New Roman" w:hAnsi="Times New Roman" w:eastAsia="仿宋_GB2312" w:cs="Times New Roman"/>
      <w:b/>
      <w:bCs/>
      <w:kern w:val="2"/>
      <w:sz w:val="24"/>
      <w:szCs w:val="24"/>
    </w:rPr>
  </w:style>
  <w:style w:type="character" w:customStyle="1" w:styleId="209">
    <w:name w:val="正文首行缩进 Char1"/>
    <w:basedOn w:val="54"/>
    <w:autoRedefine/>
    <w:semiHidden/>
    <w:qFormat/>
    <w:uiPriority w:val="0"/>
    <w:rPr>
      <w:rFonts w:ascii="Times New Roman" w:hAnsi="Times New Roman" w:eastAsia="仿宋_GB2312" w:cs="Times New Roman"/>
      <w:kern w:val="2"/>
      <w:sz w:val="24"/>
      <w:szCs w:val="24"/>
    </w:rPr>
  </w:style>
  <w:style w:type="character" w:customStyle="1" w:styleId="210">
    <w:name w:val="日期 Char1"/>
    <w:basedOn w:val="39"/>
    <w:autoRedefine/>
    <w:semiHidden/>
    <w:qFormat/>
    <w:uiPriority w:val="0"/>
    <w:rPr>
      <w:rFonts w:ascii="Times New Roman" w:hAnsi="Times New Roman" w:eastAsia="仿宋_GB2312" w:cs="Times New Roman"/>
      <w:kern w:val="2"/>
      <w:sz w:val="24"/>
      <w:szCs w:val="24"/>
    </w:rPr>
  </w:style>
  <w:style w:type="character" w:customStyle="1" w:styleId="211">
    <w:name w:val="正文文本缩进 2 Char1"/>
    <w:basedOn w:val="39"/>
    <w:autoRedefine/>
    <w:semiHidden/>
    <w:qFormat/>
    <w:uiPriority w:val="0"/>
    <w:rPr>
      <w:rFonts w:ascii="Times New Roman" w:hAnsi="Times New Roman" w:eastAsia="仿宋_GB2312" w:cs="Times New Roman"/>
      <w:kern w:val="2"/>
      <w:sz w:val="24"/>
      <w:szCs w:val="24"/>
    </w:rPr>
  </w:style>
  <w:style w:type="character" w:customStyle="1" w:styleId="212">
    <w:name w:val="批注框文本 Char1"/>
    <w:basedOn w:val="39"/>
    <w:autoRedefine/>
    <w:semiHidden/>
    <w:qFormat/>
    <w:uiPriority w:val="99"/>
    <w:rPr>
      <w:rFonts w:hint="eastAsia" w:ascii="仿宋_GB2312" w:hAnsi="仿宋_GB2312" w:eastAsia="仿宋_GB2312" w:cs="Times New Roman"/>
      <w:kern w:val="2"/>
      <w:sz w:val="18"/>
      <w:szCs w:val="18"/>
    </w:rPr>
  </w:style>
  <w:style w:type="character" w:customStyle="1" w:styleId="213">
    <w:name w:val="页脚 Char1"/>
    <w:basedOn w:val="39"/>
    <w:autoRedefine/>
    <w:semiHidden/>
    <w:qFormat/>
    <w:uiPriority w:val="99"/>
    <w:rPr>
      <w:rFonts w:ascii="Times New Roman" w:hAnsi="Times New Roman" w:eastAsia="仿宋_GB2312" w:cs="Times New Roman"/>
      <w:kern w:val="2"/>
      <w:sz w:val="18"/>
      <w:szCs w:val="18"/>
    </w:rPr>
  </w:style>
  <w:style w:type="character" w:customStyle="1" w:styleId="214">
    <w:name w:val="页眉 Char1"/>
    <w:basedOn w:val="39"/>
    <w:autoRedefine/>
    <w:semiHidden/>
    <w:qFormat/>
    <w:uiPriority w:val="99"/>
    <w:rPr>
      <w:rFonts w:ascii="Times New Roman" w:hAnsi="Times New Roman" w:eastAsia="仿宋_GB2312" w:cs="Times New Roman"/>
      <w:kern w:val="2"/>
      <w:sz w:val="18"/>
      <w:szCs w:val="18"/>
    </w:rPr>
  </w:style>
  <w:style w:type="character" w:customStyle="1" w:styleId="215">
    <w:name w:val="脚注文本 Char1"/>
    <w:basedOn w:val="39"/>
    <w:autoRedefine/>
    <w:semiHidden/>
    <w:qFormat/>
    <w:uiPriority w:val="0"/>
    <w:rPr>
      <w:rFonts w:ascii="Times New Roman" w:hAnsi="Times New Roman" w:eastAsia="仿宋_GB2312" w:cs="Times New Roman"/>
      <w:kern w:val="2"/>
      <w:sz w:val="18"/>
      <w:szCs w:val="18"/>
    </w:rPr>
  </w:style>
  <w:style w:type="character" w:customStyle="1" w:styleId="216">
    <w:name w:val="正文文本缩进 3 Char1"/>
    <w:basedOn w:val="39"/>
    <w:autoRedefine/>
    <w:semiHidden/>
    <w:qFormat/>
    <w:uiPriority w:val="0"/>
    <w:rPr>
      <w:rFonts w:ascii="Times New Roman" w:hAnsi="Times New Roman" w:eastAsia="仿宋_GB2312" w:cs="Times New Roman"/>
      <w:kern w:val="2"/>
      <w:sz w:val="16"/>
      <w:szCs w:val="16"/>
    </w:rPr>
  </w:style>
  <w:style w:type="character" w:customStyle="1" w:styleId="217">
    <w:name w:val="标题 Char1"/>
    <w:basedOn w:val="39"/>
    <w:autoRedefine/>
    <w:qFormat/>
    <w:uiPriority w:val="0"/>
    <w:rPr>
      <w:rFonts w:eastAsia="宋体" w:asciiTheme="majorHAnsi" w:hAnsiTheme="majorHAnsi" w:cstheme="majorBidi"/>
      <w:b/>
      <w:bCs/>
      <w:kern w:val="2"/>
      <w:sz w:val="32"/>
      <w:szCs w:val="32"/>
    </w:rPr>
  </w:style>
  <w:style w:type="character" w:customStyle="1" w:styleId="218">
    <w:name w:val="正文缩进 Char1"/>
    <w:basedOn w:val="39"/>
    <w:autoRedefine/>
    <w:qFormat/>
    <w:uiPriority w:val="0"/>
    <w:rPr>
      <w:rFonts w:hint="eastAsia" w:ascii="楷体" w:hAnsi="Times New Roman" w:eastAsia="楷体" w:cs="Times New Roman"/>
      <w:sz w:val="28"/>
      <w:szCs w:val="24"/>
    </w:rPr>
  </w:style>
  <w:style w:type="character" w:customStyle="1" w:styleId="219">
    <w:name w:val="Char Char"/>
    <w:autoRedefine/>
    <w:qFormat/>
    <w:uiPriority w:val="0"/>
    <w:rPr>
      <w:rFonts w:hint="eastAsia" w:ascii="仿宋_GB2312" w:hAnsi="仿宋_GB2312" w:eastAsia="仿宋_GB2312"/>
      <w:kern w:val="2"/>
      <w:sz w:val="18"/>
      <w:szCs w:val="18"/>
    </w:rPr>
  </w:style>
  <w:style w:type="character" w:customStyle="1" w:styleId="220">
    <w:name w:val="infodetail1"/>
    <w:basedOn w:val="39"/>
    <w:autoRedefine/>
    <w:qFormat/>
    <w:uiPriority w:val="0"/>
    <w:rPr>
      <w:rFonts w:hint="default" w:ascii="ˎ̥" w:hAnsi="ˎ̥"/>
      <w:color w:val="000000"/>
      <w:sz w:val="24"/>
      <w:szCs w:val="24"/>
      <w:u w:val="none"/>
    </w:rPr>
  </w:style>
  <w:style w:type="character" w:customStyle="1" w:styleId="221">
    <w:name w:val="c-gap-right2"/>
    <w:basedOn w:val="39"/>
    <w:autoRedefine/>
    <w:qFormat/>
    <w:uiPriority w:val="0"/>
  </w:style>
  <w:style w:type="character" w:customStyle="1" w:styleId="222">
    <w:name w:val="m_21"/>
    <w:basedOn w:val="39"/>
    <w:autoRedefine/>
    <w:qFormat/>
    <w:uiPriority w:val="0"/>
  </w:style>
  <w:style w:type="character" w:customStyle="1" w:styleId="223">
    <w:name w:val="m_25"/>
    <w:basedOn w:val="39"/>
    <w:autoRedefine/>
    <w:qFormat/>
    <w:uiPriority w:val="0"/>
  </w:style>
  <w:style w:type="character" w:customStyle="1" w:styleId="224">
    <w:name w:val="m_18"/>
    <w:basedOn w:val="39"/>
    <w:autoRedefine/>
    <w:qFormat/>
    <w:uiPriority w:val="0"/>
  </w:style>
  <w:style w:type="character" w:customStyle="1" w:styleId="225">
    <w:name w:val="m_20"/>
    <w:basedOn w:val="39"/>
    <w:autoRedefine/>
    <w:qFormat/>
    <w:uiPriority w:val="0"/>
  </w:style>
  <w:style w:type="character" w:customStyle="1" w:styleId="226">
    <w:name w:val="m_17"/>
    <w:basedOn w:val="39"/>
    <w:autoRedefine/>
    <w:qFormat/>
    <w:uiPriority w:val="0"/>
  </w:style>
  <w:style w:type="character" w:customStyle="1" w:styleId="227">
    <w:name w:val="m_27"/>
    <w:basedOn w:val="39"/>
    <w:autoRedefine/>
    <w:qFormat/>
    <w:uiPriority w:val="0"/>
  </w:style>
  <w:style w:type="character" w:customStyle="1" w:styleId="228">
    <w:name w:val="m_4"/>
    <w:basedOn w:val="39"/>
    <w:autoRedefine/>
    <w:qFormat/>
    <w:uiPriority w:val="0"/>
  </w:style>
  <w:style w:type="character" w:customStyle="1" w:styleId="229">
    <w:name w:val="m_47"/>
    <w:basedOn w:val="39"/>
    <w:autoRedefine/>
    <w:qFormat/>
    <w:uiPriority w:val="0"/>
  </w:style>
  <w:style w:type="character" w:customStyle="1" w:styleId="230">
    <w:name w:val="m_12"/>
    <w:basedOn w:val="39"/>
    <w:autoRedefine/>
    <w:qFormat/>
    <w:uiPriority w:val="0"/>
  </w:style>
  <w:style w:type="character" w:customStyle="1" w:styleId="231">
    <w:name w:val="m_43"/>
    <w:basedOn w:val="39"/>
    <w:autoRedefine/>
    <w:qFormat/>
    <w:uiPriority w:val="0"/>
  </w:style>
  <w:style w:type="character" w:customStyle="1" w:styleId="232">
    <w:name w:val="m_15"/>
    <w:basedOn w:val="39"/>
    <w:autoRedefine/>
    <w:qFormat/>
    <w:uiPriority w:val="0"/>
  </w:style>
  <w:style w:type="character" w:customStyle="1" w:styleId="233">
    <w:name w:val="m_40"/>
    <w:basedOn w:val="39"/>
    <w:autoRedefine/>
    <w:qFormat/>
    <w:uiPriority w:val="0"/>
  </w:style>
  <w:style w:type="character" w:customStyle="1" w:styleId="234">
    <w:name w:val="m_37"/>
    <w:basedOn w:val="39"/>
    <w:autoRedefine/>
    <w:qFormat/>
    <w:uiPriority w:val="0"/>
  </w:style>
  <w:style w:type="character" w:customStyle="1" w:styleId="235">
    <w:name w:val="标题 2 Char8"/>
    <w:autoRedefine/>
    <w:qFormat/>
    <w:uiPriority w:val="0"/>
    <w:rPr>
      <w:rFonts w:hint="default" w:ascii="Arial" w:hAnsi="Arial" w:eastAsia="黑体" w:cs="Arial"/>
      <w:b/>
      <w:bCs/>
      <w:kern w:val="2"/>
      <w:sz w:val="32"/>
      <w:szCs w:val="32"/>
      <w:lang w:val="en-US" w:eastAsia="zh-CN" w:bidi="ar-SA"/>
    </w:rPr>
  </w:style>
  <w:style w:type="character" w:customStyle="1" w:styleId="236">
    <w:name w:val="f241"/>
    <w:basedOn w:val="39"/>
    <w:autoRedefine/>
    <w:qFormat/>
    <w:uiPriority w:val="0"/>
    <w:rPr>
      <w:spacing w:val="288"/>
      <w:sz w:val="29"/>
      <w:szCs w:val="29"/>
    </w:rPr>
  </w:style>
  <w:style w:type="character" w:customStyle="1" w:styleId="237">
    <w:name w:val="占位符文本1"/>
    <w:basedOn w:val="39"/>
    <w:autoRedefine/>
    <w:qFormat/>
    <w:uiPriority w:val="99"/>
    <w:rPr>
      <w:color w:val="808080"/>
    </w:rPr>
  </w:style>
  <w:style w:type="character" w:customStyle="1" w:styleId="238">
    <w:name w:val="font21"/>
    <w:basedOn w:val="39"/>
    <w:autoRedefine/>
    <w:qFormat/>
    <w:uiPriority w:val="0"/>
    <w:rPr>
      <w:rFonts w:hint="eastAsia" w:ascii="仿宋" w:hAnsi="仿宋" w:eastAsia="仿宋"/>
      <w:color w:val="000000"/>
      <w:sz w:val="24"/>
      <w:szCs w:val="24"/>
      <w:u w:val="none"/>
    </w:rPr>
  </w:style>
  <w:style w:type="character" w:customStyle="1" w:styleId="239">
    <w:name w:val="font11"/>
    <w:basedOn w:val="39"/>
    <w:autoRedefine/>
    <w:qFormat/>
    <w:uiPriority w:val="0"/>
    <w:rPr>
      <w:rFonts w:hint="default" w:ascii="Times New Roman" w:hAnsi="Times New Roman" w:cs="Times New Roman"/>
      <w:color w:val="000000"/>
      <w:sz w:val="24"/>
      <w:szCs w:val="24"/>
      <w:u w:val="none"/>
    </w:rPr>
  </w:style>
  <w:style w:type="character" w:customStyle="1" w:styleId="240">
    <w:name w:val="font31"/>
    <w:basedOn w:val="39"/>
    <w:autoRedefine/>
    <w:qFormat/>
    <w:uiPriority w:val="0"/>
    <w:rPr>
      <w:rFonts w:hint="default" w:ascii="Arial" w:hAnsi="Arial" w:cs="Arial"/>
      <w:color w:val="000000"/>
      <w:sz w:val="24"/>
      <w:szCs w:val="24"/>
      <w:u w:val="none"/>
    </w:rPr>
  </w:style>
  <w:style w:type="character" w:customStyle="1" w:styleId="241">
    <w:name w:val="font41"/>
    <w:basedOn w:val="39"/>
    <w:autoRedefine/>
    <w:qFormat/>
    <w:uiPriority w:val="0"/>
    <w:rPr>
      <w:rFonts w:hint="eastAsia" w:ascii="宋体" w:hAnsi="宋体" w:eastAsia="宋体"/>
      <w:color w:val="000000"/>
      <w:sz w:val="24"/>
      <w:szCs w:val="24"/>
      <w:u w:val="none"/>
    </w:rPr>
  </w:style>
  <w:style w:type="character" w:customStyle="1" w:styleId="242">
    <w:name w:val="普通(网站) Char1"/>
    <w:basedOn w:val="39"/>
    <w:autoRedefine/>
    <w:semiHidden/>
    <w:qFormat/>
    <w:locked/>
    <w:uiPriority w:val="99"/>
    <w:rPr>
      <w:rFonts w:hint="default" w:ascii="Calibri" w:hAnsi="Calibri" w:eastAsia="仿宋_GB2312" w:cs="Times New Roman"/>
      <w:kern w:val="2"/>
      <w:sz w:val="18"/>
      <w:szCs w:val="18"/>
    </w:rPr>
  </w:style>
  <w:style w:type="table" w:customStyle="1" w:styleId="243">
    <w:name w:val="Table Normal"/>
    <w:autoRedefine/>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4">
    <w:name w:val="Char Char Char1 Char Char Char Char Char Char Char Char Char Char Char Char Char Char Char Char Char Char Char"/>
    <w:basedOn w:val="1"/>
    <w:autoRedefine/>
    <w:qFormat/>
    <w:uiPriority w:val="0"/>
    <w:rPr>
      <w:rFonts w:eastAsia="宋体"/>
      <w:sz w:val="21"/>
      <w:szCs w:val="21"/>
    </w:rPr>
  </w:style>
  <w:style w:type="paragraph" w:customStyle="1" w:styleId="245">
    <w:name w:val="Char3"/>
    <w:basedOn w:val="1"/>
    <w:autoRedefine/>
    <w:qFormat/>
    <w:uiPriority w:val="0"/>
    <w:pPr>
      <w:spacing w:line="240" w:lineRule="exact"/>
      <w:ind w:firstLine="200" w:firstLineChars="200"/>
    </w:pPr>
    <w:rPr>
      <w:rFonts w:eastAsia="宋体"/>
      <w:sz w:val="28"/>
      <w:szCs w:val="28"/>
    </w:rPr>
  </w:style>
  <w:style w:type="paragraph" w:customStyle="1" w:styleId="246">
    <w:name w:val="正文2"/>
    <w:autoRedefine/>
    <w:qFormat/>
    <w:uiPriority w:val="0"/>
    <w:pPr>
      <w:jc w:val="both"/>
    </w:pPr>
    <w:rPr>
      <w:rFonts w:ascii="Calibri" w:hAnsi="Calibri" w:eastAsia="宋体" w:cs="宋体"/>
      <w:kern w:val="2"/>
      <w:sz w:val="21"/>
      <w:szCs w:val="21"/>
      <w:lang w:val="en-US" w:eastAsia="zh-CN" w:bidi="ar-SA"/>
    </w:rPr>
  </w:style>
  <w:style w:type="paragraph" w:customStyle="1" w:styleId="247">
    <w:name w:val="报告表格"/>
    <w:basedOn w:val="1"/>
    <w:autoRedefine/>
    <w:qFormat/>
    <w:uiPriority w:val="0"/>
    <w:pPr>
      <w:autoSpaceDE w:val="0"/>
      <w:autoSpaceDN w:val="0"/>
      <w:adjustRightInd w:val="0"/>
      <w:spacing w:before="40" w:after="40"/>
      <w:jc w:val="center"/>
    </w:pPr>
    <w:rPr>
      <w:rFonts w:eastAsia="宋体"/>
      <w:kern w:val="0"/>
      <w:sz w:val="21"/>
      <w:szCs w:val="20"/>
    </w:rPr>
  </w:style>
  <w:style w:type="paragraph" w:customStyle="1" w:styleId="248">
    <w:name w:val="正文 段落3级"/>
    <w:autoRedefine/>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49">
    <w:name w:val="正文 段落4级"/>
    <w:basedOn w:val="1"/>
    <w:autoRedefine/>
    <w:qFormat/>
    <w:uiPriority w:val="0"/>
    <w:pPr>
      <w:widowControl/>
      <w:spacing w:line="500" w:lineRule="exact"/>
      <w:jc w:val="left"/>
      <w:outlineLvl w:val="3"/>
    </w:pPr>
    <w:rPr>
      <w:b/>
      <w:bCs/>
      <w:szCs w:val="28"/>
    </w:rPr>
  </w:style>
  <w:style w:type="paragraph" w:customStyle="1" w:styleId="250">
    <w:name w:val="表蕊居中"/>
    <w:basedOn w:val="1"/>
    <w:autoRedefine/>
    <w:qFormat/>
    <w:uiPriority w:val="0"/>
    <w:pPr>
      <w:spacing w:line="300" w:lineRule="exact"/>
      <w:jc w:val="center"/>
    </w:pPr>
    <w:rPr>
      <w:bCs/>
      <w:color w:val="000000"/>
      <w:szCs w:val="21"/>
    </w:rPr>
  </w:style>
  <w:style w:type="paragraph" w:customStyle="1" w:styleId="251">
    <w:name w:val="小四表格"/>
    <w:basedOn w:val="1"/>
    <w:autoRedefine/>
    <w:qFormat/>
    <w:uiPriority w:val="0"/>
    <w:pPr>
      <w:keepNext/>
      <w:autoSpaceDE w:val="0"/>
      <w:autoSpaceDN w:val="0"/>
      <w:adjustRightInd w:val="0"/>
      <w:spacing w:line="480" w:lineRule="atLeast"/>
      <w:jc w:val="center"/>
    </w:pPr>
    <w:rPr>
      <w:rFonts w:eastAsia="宋体"/>
      <w:color w:val="000000"/>
      <w:szCs w:val="20"/>
    </w:rPr>
  </w:style>
  <w:style w:type="paragraph" w:customStyle="1" w:styleId="252">
    <w:name w:val="正文 文本"/>
    <w:autoRedefine/>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3">
    <w:name w:val="正文lcc"/>
    <w:basedOn w:val="1"/>
    <w:autoRedefine/>
    <w:qFormat/>
    <w:uiPriority w:val="0"/>
    <w:pPr>
      <w:spacing w:line="360" w:lineRule="auto"/>
      <w:ind w:firstLine="560" w:firstLineChars="200"/>
    </w:pPr>
    <w:rPr>
      <w:rFonts w:ascii="仿宋" w:hAnsi="仿宋" w:eastAsia="仿宋" w:cs="宋体"/>
      <w:kern w:val="0"/>
      <w:sz w:val="24"/>
      <w:szCs w:val="24"/>
    </w:rPr>
  </w:style>
  <w:style w:type="paragraph" w:customStyle="1" w:styleId="254">
    <w:name w:val="Other|1"/>
    <w:basedOn w:val="1"/>
    <w:autoRedefine/>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 w:type="paragraph" w:customStyle="1" w:styleId="255">
    <w:name w:val="Table Text"/>
    <w:basedOn w:val="1"/>
    <w:autoRedefine/>
    <w:semiHidden/>
    <w:qFormat/>
    <w:uiPriority w:val="0"/>
    <w:rPr>
      <w:rFonts w:ascii="宋体" w:hAnsi="宋体" w:eastAsia="宋体" w:cs="宋体"/>
      <w:sz w:val="24"/>
      <w:szCs w:val="24"/>
      <w:lang w:val="en-US" w:eastAsia="en-US" w:bidi="ar-SA"/>
    </w:rPr>
  </w:style>
  <w:style w:type="paragraph" w:customStyle="1" w:styleId="256">
    <w:name w:val="表内表"/>
    <w:basedOn w:val="1"/>
    <w:qFormat/>
    <w:uiPriority w:val="0"/>
    <w:pPr>
      <w:spacing w:line="240" w:lineRule="atLeast"/>
      <w:jc w:val="center"/>
    </w:pPr>
    <w:rPr>
      <w:bCs/>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png"/><Relationship Id="rId21" Type="http://schemas.openxmlformats.org/officeDocument/2006/relationships/image" Target="media/image5.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1.bin"/><Relationship Id="rId17" Type="http://schemas.openxmlformats.org/officeDocument/2006/relationships/image" Target="media/image3.png"/><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68</Pages>
  <Words>9455</Words>
  <Characters>10996</Characters>
  <Lines>392</Lines>
  <Paragraphs>110</Paragraphs>
  <TotalTime>2</TotalTime>
  <ScaleCrop>false</ScaleCrop>
  <LinksUpToDate>false</LinksUpToDate>
  <CharactersWithSpaces>11082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WPS_1725414627</cp:lastModifiedBy>
  <cp:lastPrinted>2021-01-08T10:46:00Z</cp:lastPrinted>
  <dcterms:modified xsi:type="dcterms:W3CDTF">2025-05-30T06:49:56Z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6773A775A6F14747B9F6C0983252DDA6</vt:lpwstr>
  </property>
  <property fmtid="{D5CDD505-2E9C-101B-9397-08002B2CF9AE}" pid="4" name="KSOSaveFontToCloudKey">
    <vt:lpwstr>438787626_cloud</vt:lpwstr>
  </property>
  <property fmtid="{D5CDD505-2E9C-101B-9397-08002B2CF9AE}" pid="5" name="KSOTemplateDocerSaveRecord">
    <vt:lpwstr>eyJoZGlkIjoiNGYxMDNkYzFkNDNlZDg1MDI3NzM3OTU5MzA3YjIxOWIiLCJ1c2VySWQiOiIxNjI5NDE2NjU3In0=</vt:lpwstr>
  </property>
</Properties>
</file>