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81E25">
      <w:pPr>
        <w:pStyle w:val="7"/>
        <w:widowControl/>
        <w:spacing w:beforeAutospacing="0" w:afterAutospacing="0" w:line="440" w:lineRule="exact"/>
        <w:ind w:firstLine="570"/>
        <w:jc w:val="center"/>
        <w:rPr>
          <w:rFonts w:ascii="Times New Roman" w:cs="Times New Roman" w:hAnsiTheme="minorEastAsia"/>
          <w:b/>
          <w:color w:val="000000" w:themeColor="text1"/>
          <w:sz w:val="30"/>
          <w:szCs w:val="30"/>
          <w14:textFill>
            <w14:solidFill>
              <w14:schemeClr w14:val="tx1"/>
            </w14:solidFill>
          </w14:textFill>
        </w:rPr>
      </w:pPr>
      <w:bookmarkStart w:id="0" w:name="_Hlk96690137"/>
      <w:r>
        <w:rPr>
          <w:rFonts w:hint="eastAsia" w:ascii="Times New Roman" w:cs="Times New Roman" w:hAnsiTheme="minorEastAsia"/>
          <w:b/>
          <w:color w:val="000000" w:themeColor="text1"/>
          <w:sz w:val="30"/>
          <w:szCs w:val="30"/>
          <w:lang w:val="en-US" w:eastAsia="zh-CN"/>
          <w14:textFill>
            <w14:solidFill>
              <w14:schemeClr w14:val="tx1"/>
            </w14:solidFill>
          </w14:textFill>
        </w:rPr>
        <w:t>南通孟泉环保新能源有限公司</w:t>
      </w:r>
      <w:bookmarkEnd w:id="0"/>
      <w:r>
        <w:rPr>
          <w:rFonts w:hint="eastAsia" w:ascii="Times New Roman" w:cs="Times New Roman" w:hAnsiTheme="minorEastAsia"/>
          <w:b/>
          <w:color w:val="000000" w:themeColor="text1"/>
          <w:sz w:val="30"/>
          <w:szCs w:val="30"/>
          <w:lang w:eastAsia="zh-CN"/>
          <w14:textFill>
            <w14:solidFill>
              <w14:schemeClr w14:val="tx1"/>
            </w14:solidFill>
          </w14:textFill>
        </w:rPr>
        <w:t>生物质颗粒成型燃料加工项目</w:t>
      </w:r>
      <w:r>
        <w:rPr>
          <w:rFonts w:ascii="Times New Roman" w:cs="Times New Roman" w:hAnsiTheme="minorEastAsia"/>
          <w:b/>
          <w:color w:val="000000" w:themeColor="text1"/>
          <w:sz w:val="30"/>
          <w:szCs w:val="30"/>
          <w14:textFill>
            <w14:solidFill>
              <w14:schemeClr w14:val="tx1"/>
            </w14:solidFill>
          </w14:textFill>
        </w:rPr>
        <w:t>竣工环境保护验收意见</w:t>
      </w:r>
    </w:p>
    <w:p w14:paraId="5F0F686B">
      <w:pPr>
        <w:spacing w:line="360" w:lineRule="auto"/>
        <w:ind w:firstLine="560" w:firstLineChars="200"/>
        <w:rPr>
          <w:rFonts w:hint="eastAsia" w:cs="Times New Roman"/>
          <w:sz w:val="28"/>
          <w:szCs w:val="28"/>
          <w:lang w:val="en-US" w:eastAsia="zh-CN"/>
        </w:rPr>
      </w:pPr>
      <w:r>
        <w:rPr>
          <w:rFonts w:hint="eastAsia" w:cs="Times New Roman"/>
          <w:sz w:val="28"/>
          <w:szCs w:val="28"/>
          <w:lang w:val="en-US" w:eastAsia="zh-CN"/>
        </w:rPr>
        <w:t>2025</w:t>
      </w:r>
      <w:r>
        <w:rPr>
          <w:rFonts w:hint="eastAsia" w:cs="Times New Roman"/>
          <w:color w:val="000000" w:themeColor="text1"/>
          <w:sz w:val="28"/>
          <w:szCs w:val="28"/>
          <w:lang w:val="en-US" w:eastAsia="zh-CN"/>
          <w14:textFill>
            <w14:solidFill>
              <w14:schemeClr w14:val="tx1"/>
            </w14:solidFill>
          </w14:textFill>
        </w:rPr>
        <w:t>年9月27日</w:t>
      </w:r>
      <w:r>
        <w:rPr>
          <w:rFonts w:hint="eastAsia" w:cs="Times New Roman"/>
          <w:sz w:val="28"/>
          <w:szCs w:val="28"/>
          <w:lang w:val="en-US" w:eastAsia="zh-CN"/>
        </w:rPr>
        <w:t>，南通孟泉环保新能源有限公司根据《建设项目环境保护管理条例》（国务院令第682号）、《建设项目竣工环境保护验收暂行办法》（国环规环评〔2017〕4号）等相关规定，组织验收组对“生物质颗粒成型燃料加工项目”进行了竣工环保验收。验收组成员有：南通孟泉环保新能源有限公司（建设单位）主要负责人，江苏裕和检测技术有限公司（检测单位）代表，并邀请二位专家。验收工作组认真听取了项目建设情况介绍及验收监测报告的汇报，现场核查了该项目的建设以及环保设施的运行情况，审阅了相关资料，经讨论形成如下意见：</w:t>
      </w:r>
    </w:p>
    <w:p w14:paraId="328A9043">
      <w:pPr>
        <w:pStyle w:val="7"/>
        <w:widowControl/>
        <w:adjustRightInd w:val="0"/>
        <w:snapToGrid w:val="0"/>
        <w:spacing w:beforeAutospacing="0" w:afterAutospacing="0" w:line="440" w:lineRule="exact"/>
        <w:ind w:firstLine="562" w:firstLineChars="200"/>
        <w:jc w:val="both"/>
        <w:outlineLvl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一、工程建设基本情况</w:t>
      </w:r>
    </w:p>
    <w:p w14:paraId="5B97CB31">
      <w:pPr>
        <w:pStyle w:val="7"/>
        <w:widowControl/>
        <w:adjustRightInd w:val="0"/>
        <w:snapToGrid w:val="0"/>
        <w:spacing w:beforeAutospacing="0" w:afterAutospacing="0" w:line="440" w:lineRule="exact"/>
        <w:ind w:firstLine="562" w:firstLineChars="200"/>
        <w:jc w:val="both"/>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（一）建设地点、规模、主要建设内容</w:t>
      </w:r>
    </w:p>
    <w:p w14:paraId="3EA89359">
      <w:pPr>
        <w:spacing w:line="360" w:lineRule="auto"/>
        <w:ind w:firstLine="560" w:firstLineChars="200"/>
        <w:rPr>
          <w:rFonts w:hint="eastAsia" w:ascii="Times New Roman" w:hAnsi="Times New Roman" w:eastAsia="宋体" w:cs="Times New Roman"/>
          <w:sz w:val="28"/>
          <w:szCs w:val="28"/>
          <w:lang w:val="en-US" w:eastAsia="zh-CN"/>
        </w:rPr>
      </w:pPr>
      <w:r>
        <w:rPr>
          <w:rFonts w:hint="eastAsia" w:cs="Times New Roman"/>
          <w:sz w:val="28"/>
          <w:szCs w:val="28"/>
          <w:lang w:eastAsia="zh-CN"/>
        </w:rPr>
        <w:t>南通孟泉环保新能源有限公司</w:t>
      </w:r>
      <w:r>
        <w:rPr>
          <w:rFonts w:hint="eastAsia" w:ascii="Times New Roman" w:hAnsi="Times New Roman" w:eastAsia="宋体" w:cs="Times New Roman"/>
          <w:sz w:val="28"/>
          <w:szCs w:val="28"/>
          <w:lang w:eastAsia="zh-CN"/>
        </w:rPr>
        <w:t>成立于</w:t>
      </w:r>
      <w:r>
        <w:rPr>
          <w:rFonts w:hint="eastAsia" w:cs="Times New Roman"/>
          <w:sz w:val="28"/>
          <w:szCs w:val="28"/>
          <w:lang w:val="en-US" w:eastAsia="zh-CN"/>
        </w:rPr>
        <w:t>2025</w:t>
      </w:r>
      <w:r>
        <w:rPr>
          <w:rFonts w:hint="eastAsia" w:ascii="Times New Roman" w:hAnsi="Times New Roman" w:eastAsia="宋体" w:cs="Times New Roman"/>
          <w:sz w:val="28"/>
          <w:szCs w:val="28"/>
          <w:lang w:eastAsia="zh-CN"/>
        </w:rPr>
        <w:t>年</w:t>
      </w:r>
      <w:r>
        <w:rPr>
          <w:rFonts w:hint="eastAsia" w:ascii="Times New Roman" w:hAnsi="Times New Roman" w:eastAsia="宋体" w:cs="Times New Roman"/>
          <w:sz w:val="28"/>
          <w:szCs w:val="28"/>
          <w:lang w:val="en-US" w:eastAsia="zh-CN"/>
        </w:rPr>
        <w:t>，位于</w:t>
      </w:r>
      <w:r>
        <w:rPr>
          <w:rFonts w:hint="eastAsia" w:cs="Times New Roman"/>
          <w:sz w:val="28"/>
          <w:szCs w:val="28"/>
          <w:lang w:val="en-US" w:eastAsia="zh-CN"/>
        </w:rPr>
        <w:t>江苏省南通市海安市墩头镇吉庆村五组</w:t>
      </w:r>
      <w:r>
        <w:rPr>
          <w:rFonts w:hint="eastAsia" w:ascii="Times New Roman" w:hAnsi="Times New Roman" w:eastAsia="宋体" w:cs="Times New Roman"/>
          <w:sz w:val="28"/>
          <w:szCs w:val="28"/>
          <w:lang w:val="en-US" w:eastAsia="zh-CN"/>
        </w:rPr>
        <w:t>，</w:t>
      </w:r>
      <w:r>
        <w:rPr>
          <w:rFonts w:hint="eastAsia" w:cs="Times New Roman"/>
          <w:sz w:val="28"/>
          <w:szCs w:val="28"/>
          <w:lang w:val="en-US" w:eastAsia="zh-CN"/>
        </w:rPr>
        <w:t>是一家专业从事生物质颗粒成型燃料加工的生产企业，目前具有年产23000吨生物质颗粒成型燃料的生产能力</w:t>
      </w:r>
      <w:r>
        <w:rPr>
          <w:rFonts w:hint="eastAsia" w:ascii="Times New Roman" w:hAnsi="Times New Roman" w:eastAsia="宋体" w:cs="Times New Roman"/>
          <w:sz w:val="28"/>
          <w:szCs w:val="28"/>
          <w:lang w:val="en-US" w:eastAsia="zh-CN"/>
        </w:rPr>
        <w:t>。</w:t>
      </w:r>
    </w:p>
    <w:p w14:paraId="3703CB5E">
      <w:pPr>
        <w:pStyle w:val="7"/>
        <w:widowControl/>
        <w:adjustRightInd w:val="0"/>
        <w:snapToGrid w:val="0"/>
        <w:spacing w:beforeAutospacing="0" w:afterAutospacing="0" w:line="440" w:lineRule="exact"/>
        <w:ind w:firstLine="562" w:firstLineChars="200"/>
        <w:jc w:val="both"/>
        <w:outlineLvl w:val="0"/>
        <w:rPr>
          <w:rFonts w:hint="eastAsia"/>
          <w:lang w:val="en-US" w:eastAsia="zh-CN"/>
        </w:rPr>
      </w:pPr>
      <w:r>
        <w:rPr>
          <w:rFonts w:ascii="Times New Roman" w:hAnsiTheme="minorEastAsia"/>
          <w:b/>
          <w:sz w:val="28"/>
          <w:szCs w:val="28"/>
        </w:rPr>
        <w:t>（二）建设过程及环保审批情况</w:t>
      </w:r>
    </w:p>
    <w:p w14:paraId="2358391A">
      <w:pPr>
        <w:spacing w:line="360" w:lineRule="auto"/>
        <w:ind w:firstLine="560" w:firstLineChars="200"/>
        <w:rPr>
          <w:rFonts w:hint="default"/>
          <w:color w:val="auto"/>
          <w:sz w:val="28"/>
          <w:szCs w:val="28"/>
          <w:lang w:val="en-US" w:eastAsia="zh-CN"/>
        </w:rPr>
      </w:pPr>
      <w:r>
        <w:rPr>
          <w:rFonts w:hint="eastAsia"/>
          <w:color w:val="auto"/>
          <w:sz w:val="28"/>
          <w:szCs w:val="28"/>
          <w:lang w:val="en-US" w:eastAsia="zh-CN"/>
        </w:rPr>
        <w:t>项目于2024</w:t>
      </w:r>
      <w:r>
        <w:rPr>
          <w:rFonts w:hint="eastAsia"/>
          <w:color w:val="auto"/>
          <w:sz w:val="28"/>
          <w:szCs w:val="28"/>
          <w:lang w:val="en-US" w:eastAsia="zh-CN"/>
        </w:rPr>
        <w:tab/>
      </w:r>
      <w:r>
        <w:rPr>
          <w:rFonts w:hint="eastAsia"/>
          <w:color w:val="auto"/>
          <w:sz w:val="28"/>
          <w:szCs w:val="28"/>
          <w:lang w:val="en-US" w:eastAsia="zh-CN"/>
        </w:rPr>
        <w:t>年5月委托南京师大环境科技研究院有限公司编制完成了《南通孟泉环保新能源有限公司生物质颗粒成型燃料加工项目环境影响报告表》，并于2024年6月25日取得海安县行政审批局批复</w:t>
      </w:r>
      <w:bookmarkStart w:id="1" w:name="OLE_LINK10"/>
      <w:r>
        <w:rPr>
          <w:rFonts w:hint="eastAsia"/>
          <w:color w:val="auto"/>
          <w:sz w:val="28"/>
          <w:szCs w:val="28"/>
          <w:lang w:val="en-US" w:eastAsia="zh-CN"/>
        </w:rPr>
        <w:t>（海行审投资[2024]103号）。</w:t>
      </w:r>
      <w:bookmarkEnd w:id="1"/>
      <w:r>
        <w:rPr>
          <w:rFonts w:hint="eastAsia"/>
          <w:color w:val="auto"/>
          <w:sz w:val="28"/>
          <w:szCs w:val="28"/>
          <w:lang w:val="en-US" w:eastAsia="zh-CN"/>
        </w:rPr>
        <w:t>环评设计产能：</w:t>
      </w:r>
      <w:r>
        <w:rPr>
          <w:rFonts w:hint="eastAsia" w:cs="Times New Roman"/>
          <w:sz w:val="28"/>
          <w:szCs w:val="28"/>
          <w:lang w:val="en-US" w:eastAsia="zh-CN"/>
        </w:rPr>
        <w:t>年产23000吨生物质成型燃料</w:t>
      </w:r>
      <w:r>
        <w:rPr>
          <w:rFonts w:hint="eastAsia"/>
          <w:color w:val="auto"/>
          <w:sz w:val="28"/>
          <w:szCs w:val="28"/>
          <w:lang w:val="en-US" w:eastAsia="zh-CN"/>
        </w:rPr>
        <w:t>。项目不分期建设，本次验收产能为：</w:t>
      </w:r>
      <w:r>
        <w:rPr>
          <w:rFonts w:hint="eastAsia" w:cs="Times New Roman"/>
          <w:sz w:val="28"/>
          <w:szCs w:val="28"/>
          <w:lang w:val="en-US" w:eastAsia="zh-CN"/>
        </w:rPr>
        <w:t>年产23000吨生物质成型燃料，</w:t>
      </w:r>
      <w:r>
        <w:rPr>
          <w:rFonts w:hint="eastAsia"/>
          <w:color w:val="auto"/>
          <w:sz w:val="28"/>
          <w:szCs w:val="28"/>
          <w:lang w:val="en-US" w:eastAsia="zh-CN"/>
        </w:rPr>
        <w:t>环境应急预案已</w:t>
      </w:r>
      <w:bookmarkStart w:id="2" w:name="OLE_LINK17"/>
      <w:r>
        <w:rPr>
          <w:rFonts w:hint="eastAsia"/>
          <w:color w:val="auto"/>
          <w:sz w:val="28"/>
          <w:szCs w:val="28"/>
          <w:lang w:val="en-US" w:eastAsia="zh-CN"/>
        </w:rPr>
        <w:t>备案</w:t>
      </w:r>
      <w:bookmarkEnd w:id="2"/>
      <w:r>
        <w:rPr>
          <w:rFonts w:hint="eastAsia"/>
          <w:color w:val="auto"/>
          <w:sz w:val="28"/>
          <w:szCs w:val="28"/>
          <w:lang w:val="en-US" w:eastAsia="zh-CN"/>
        </w:rPr>
        <w:t>，备案号为：320685-2025-283-L。</w:t>
      </w:r>
    </w:p>
    <w:p w14:paraId="4CBF0264">
      <w:pPr>
        <w:spacing w:line="360" w:lineRule="auto"/>
        <w:ind w:firstLine="560" w:firstLineChars="200"/>
        <w:rPr>
          <w:color w:val="auto"/>
          <w:sz w:val="28"/>
          <w:szCs w:val="28"/>
        </w:rPr>
      </w:pPr>
      <w:r>
        <w:rPr>
          <w:rFonts w:hint="eastAsia"/>
          <w:color w:val="auto"/>
          <w:sz w:val="28"/>
          <w:szCs w:val="28"/>
          <w:lang w:val="en-US" w:eastAsia="zh-CN"/>
        </w:rPr>
        <w:t>2025</w:t>
      </w:r>
      <w:r>
        <w:rPr>
          <w:rFonts w:hint="eastAsia"/>
          <w:color w:val="auto"/>
          <w:sz w:val="28"/>
          <w:szCs w:val="28"/>
        </w:rPr>
        <w:t>年</w:t>
      </w:r>
      <w:r>
        <w:rPr>
          <w:rFonts w:hint="eastAsia"/>
          <w:color w:val="auto"/>
          <w:sz w:val="28"/>
          <w:szCs w:val="28"/>
          <w:lang w:val="en-US" w:eastAsia="zh-CN"/>
        </w:rPr>
        <w:t>初公司</w:t>
      </w:r>
      <w:bookmarkStart w:id="3" w:name="OLE_LINK4"/>
      <w:r>
        <w:rPr>
          <w:rFonts w:hint="eastAsia"/>
          <w:color w:val="auto"/>
          <w:sz w:val="28"/>
          <w:szCs w:val="28"/>
          <w:lang w:val="en-US" w:eastAsia="zh-CN"/>
        </w:rPr>
        <w:t>开始建设生物质颗粒成型燃料加工项目，</w:t>
      </w:r>
      <w:r>
        <w:rPr>
          <w:rFonts w:hint="eastAsia"/>
          <w:color w:val="auto"/>
          <w:sz w:val="28"/>
          <w:szCs w:val="28"/>
        </w:rPr>
        <w:t>并根据环评</w:t>
      </w:r>
      <w:r>
        <w:rPr>
          <w:rFonts w:hint="eastAsia"/>
          <w:color w:val="auto"/>
          <w:sz w:val="28"/>
          <w:szCs w:val="28"/>
          <w:lang w:val="en-US" w:eastAsia="zh-CN"/>
        </w:rPr>
        <w:t>要求建设了生物质颗粒成型燃料加工项目加工线</w:t>
      </w:r>
      <w:r>
        <w:rPr>
          <w:rFonts w:hint="eastAsia"/>
          <w:color w:val="auto"/>
          <w:sz w:val="28"/>
          <w:szCs w:val="28"/>
        </w:rPr>
        <w:t>的</w:t>
      </w:r>
      <w:r>
        <w:rPr>
          <w:rFonts w:hint="eastAsia"/>
          <w:color w:val="auto"/>
          <w:sz w:val="28"/>
          <w:szCs w:val="28"/>
          <w:lang w:val="en-US" w:eastAsia="zh-CN"/>
        </w:rPr>
        <w:t>废气废水</w:t>
      </w:r>
      <w:r>
        <w:rPr>
          <w:rFonts w:hint="eastAsia"/>
          <w:color w:val="auto"/>
          <w:sz w:val="28"/>
          <w:szCs w:val="28"/>
        </w:rPr>
        <w:t>收集处理配套工程</w:t>
      </w:r>
      <w:r>
        <w:rPr>
          <w:rFonts w:hint="eastAsia"/>
          <w:color w:val="auto"/>
          <w:sz w:val="28"/>
          <w:szCs w:val="28"/>
          <w:lang w:eastAsia="zh-CN"/>
        </w:rPr>
        <w:t>，</w:t>
      </w:r>
      <w:r>
        <w:rPr>
          <w:rFonts w:hint="eastAsia"/>
          <w:color w:val="auto"/>
          <w:sz w:val="28"/>
          <w:szCs w:val="28"/>
        </w:rPr>
        <w:t>于20</w:t>
      </w:r>
      <w:r>
        <w:rPr>
          <w:rFonts w:hint="eastAsia"/>
          <w:color w:val="auto"/>
          <w:sz w:val="28"/>
          <w:szCs w:val="28"/>
          <w:lang w:val="en-US" w:eastAsia="zh-CN"/>
        </w:rPr>
        <w:t>25</w:t>
      </w:r>
      <w:r>
        <w:rPr>
          <w:rFonts w:hint="eastAsia"/>
          <w:color w:val="auto"/>
          <w:sz w:val="28"/>
          <w:szCs w:val="28"/>
        </w:rPr>
        <w:t>年</w:t>
      </w:r>
      <w:r>
        <w:rPr>
          <w:rFonts w:hint="eastAsia"/>
          <w:color w:val="auto"/>
          <w:sz w:val="28"/>
          <w:szCs w:val="28"/>
          <w:lang w:val="en-US" w:eastAsia="zh-CN"/>
        </w:rPr>
        <w:t>7月</w:t>
      </w:r>
      <w:r>
        <w:rPr>
          <w:rFonts w:hint="eastAsia"/>
          <w:color w:val="auto"/>
          <w:sz w:val="28"/>
          <w:szCs w:val="28"/>
        </w:rPr>
        <w:t>基本建成</w:t>
      </w:r>
      <w:bookmarkEnd w:id="3"/>
      <w:r>
        <w:rPr>
          <w:rFonts w:hint="eastAsia"/>
          <w:color w:val="auto"/>
          <w:sz w:val="28"/>
          <w:szCs w:val="28"/>
          <w:lang w:val="en-US" w:eastAsia="zh-CN"/>
        </w:rPr>
        <w:t>，</w:t>
      </w:r>
      <w:r>
        <w:rPr>
          <w:rFonts w:hint="eastAsia"/>
          <w:color w:val="auto"/>
          <w:sz w:val="28"/>
          <w:szCs w:val="28"/>
        </w:rPr>
        <w:t>公司决定启动验收</w:t>
      </w:r>
      <w:r>
        <w:rPr>
          <w:color w:val="auto"/>
          <w:sz w:val="28"/>
          <w:szCs w:val="28"/>
        </w:rPr>
        <w:t>。</w:t>
      </w:r>
    </w:p>
    <w:p w14:paraId="191199A6">
      <w:pPr>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目前，该项目主体工程及配套环保治理设施已建成，并投入运行，满足“三同时”竣工验收监测条件。本项目从立项至施工、调试、生产运行过程中无环境投诉、违法和处罚记录。</w:t>
      </w:r>
    </w:p>
    <w:p w14:paraId="1F785C97">
      <w:pPr>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（三）投资情况</w:t>
      </w:r>
    </w:p>
    <w:p w14:paraId="60CF763F">
      <w:pPr>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项目投资情况：环评项目总投资为500万元，其中环保投资50万元，占总投资的10%；实际项目总投资500万元，其中环保实际投资50万元，占总投资比例为10%。</w:t>
      </w:r>
    </w:p>
    <w:p w14:paraId="1E34F45E">
      <w:pPr>
        <w:spacing w:line="360" w:lineRule="auto"/>
        <w:ind w:firstLine="560" w:firstLineChars="200"/>
        <w:rPr>
          <w:rFonts w:hint="default" w:ascii="Times New Roman" w:hAnsi="Times New Roman" w:eastAsia="宋体" w:cs="Times New Roman"/>
          <w:sz w:val="28"/>
          <w:szCs w:val="28"/>
          <w:lang w:val="en-US" w:eastAsia="zh-CN"/>
        </w:rPr>
      </w:pPr>
      <w:r>
        <w:rPr>
          <w:rFonts w:hint="eastAsia"/>
          <w:color w:val="auto"/>
          <w:sz w:val="28"/>
          <w:szCs w:val="28"/>
          <w:lang w:val="en-US" w:eastAsia="zh-CN"/>
        </w:rPr>
        <w:t>本项目年工作330天，每天工作16h、双班制，年运行5280小时。</w:t>
      </w:r>
    </w:p>
    <w:p w14:paraId="2945239F">
      <w:pPr>
        <w:spacing w:line="360" w:lineRule="auto"/>
        <w:ind w:firstLine="3120" w:firstLineChars="1300"/>
        <w:jc w:val="both"/>
        <w:rPr>
          <w:sz w:val="24"/>
        </w:rPr>
      </w:pPr>
      <w:r>
        <w:rPr>
          <w:sz w:val="24"/>
        </w:rPr>
        <w:t>表3-</w:t>
      </w:r>
      <w:r>
        <w:rPr>
          <w:rFonts w:hint="eastAsia"/>
          <w:sz w:val="24"/>
          <w:lang w:val="en-US" w:eastAsia="zh-CN"/>
        </w:rPr>
        <w:t>1</w:t>
      </w:r>
      <w:r>
        <w:rPr>
          <w:sz w:val="24"/>
        </w:rPr>
        <w:t>项目产品方案及产品表</w:t>
      </w:r>
    </w:p>
    <w:tbl>
      <w:tblPr>
        <w:tblStyle w:val="9"/>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11"/>
        <w:gridCol w:w="1515"/>
        <w:gridCol w:w="3148"/>
        <w:gridCol w:w="1391"/>
      </w:tblGrid>
      <w:tr w14:paraId="02AD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7" w:type="dxa"/>
            <w:vMerge w:val="restart"/>
            <w:vAlign w:val="center"/>
          </w:tcPr>
          <w:p w14:paraId="153BD70B">
            <w:pPr>
              <w:jc w:val="center"/>
              <w:rPr>
                <w:rFonts w:hint="eastAsia"/>
                <w:szCs w:val="21"/>
                <w:lang w:val="en-US" w:eastAsia="zh-CN"/>
              </w:rPr>
            </w:pPr>
            <w:r>
              <w:rPr>
                <w:rFonts w:hint="eastAsia"/>
                <w:szCs w:val="21"/>
                <w:lang w:val="en-US" w:eastAsia="zh-CN"/>
              </w:rPr>
              <w:t>序号</w:t>
            </w:r>
          </w:p>
        </w:tc>
        <w:tc>
          <w:tcPr>
            <w:tcW w:w="1511" w:type="dxa"/>
            <w:vMerge w:val="restart"/>
            <w:vAlign w:val="center"/>
          </w:tcPr>
          <w:p w14:paraId="5C1A0FEC">
            <w:pPr>
              <w:jc w:val="center"/>
              <w:rPr>
                <w:rFonts w:hint="eastAsia"/>
                <w:szCs w:val="21"/>
                <w:lang w:val="en-US" w:eastAsia="zh-CN"/>
              </w:rPr>
            </w:pPr>
            <w:r>
              <w:rPr>
                <w:rFonts w:hint="eastAsia"/>
                <w:szCs w:val="21"/>
                <w:lang w:val="en-US" w:eastAsia="zh-CN"/>
              </w:rPr>
              <w:t>产品名称</w:t>
            </w:r>
          </w:p>
        </w:tc>
        <w:tc>
          <w:tcPr>
            <w:tcW w:w="4663" w:type="dxa"/>
            <w:gridSpan w:val="2"/>
            <w:vAlign w:val="center"/>
          </w:tcPr>
          <w:p w14:paraId="216624C1">
            <w:pPr>
              <w:jc w:val="center"/>
              <w:rPr>
                <w:rFonts w:hint="eastAsia"/>
                <w:szCs w:val="21"/>
                <w:lang w:val="en-US" w:eastAsia="zh-CN"/>
              </w:rPr>
            </w:pPr>
            <w:r>
              <w:rPr>
                <w:rFonts w:hint="eastAsia"/>
                <w:szCs w:val="21"/>
                <w:lang w:val="en-US" w:eastAsia="zh-CN"/>
              </w:rPr>
              <w:t>生产能力</w:t>
            </w:r>
          </w:p>
        </w:tc>
        <w:tc>
          <w:tcPr>
            <w:tcW w:w="1391" w:type="dxa"/>
            <w:vMerge w:val="restart"/>
            <w:vAlign w:val="center"/>
          </w:tcPr>
          <w:p w14:paraId="20BCBAB5">
            <w:pPr>
              <w:jc w:val="center"/>
              <w:rPr>
                <w:rFonts w:hint="eastAsia"/>
                <w:szCs w:val="21"/>
                <w:lang w:val="en-US" w:eastAsia="zh-CN"/>
              </w:rPr>
            </w:pPr>
            <w:r>
              <w:rPr>
                <w:rFonts w:hint="eastAsia"/>
                <w:szCs w:val="21"/>
                <w:lang w:val="en-US" w:eastAsia="zh-CN"/>
              </w:rPr>
              <w:t>工作时数</w:t>
            </w:r>
          </w:p>
        </w:tc>
      </w:tr>
      <w:tr w14:paraId="7641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847" w:type="dxa"/>
            <w:vMerge w:val="continue"/>
            <w:vAlign w:val="center"/>
          </w:tcPr>
          <w:p w14:paraId="70168D89">
            <w:pPr>
              <w:jc w:val="center"/>
              <w:rPr>
                <w:rFonts w:hint="eastAsia"/>
                <w:szCs w:val="21"/>
                <w:lang w:val="en-US" w:eastAsia="zh-CN"/>
              </w:rPr>
            </w:pPr>
          </w:p>
        </w:tc>
        <w:tc>
          <w:tcPr>
            <w:tcW w:w="1511" w:type="dxa"/>
            <w:vMerge w:val="continue"/>
            <w:vAlign w:val="center"/>
          </w:tcPr>
          <w:p w14:paraId="401BF0AA">
            <w:pPr>
              <w:jc w:val="center"/>
              <w:rPr>
                <w:rFonts w:hint="eastAsia"/>
                <w:szCs w:val="21"/>
                <w:lang w:val="en-US" w:eastAsia="zh-CN"/>
              </w:rPr>
            </w:pPr>
          </w:p>
        </w:tc>
        <w:tc>
          <w:tcPr>
            <w:tcW w:w="1515" w:type="dxa"/>
            <w:vAlign w:val="center"/>
          </w:tcPr>
          <w:p w14:paraId="219F4B81">
            <w:pPr>
              <w:jc w:val="center"/>
              <w:rPr>
                <w:rFonts w:hint="eastAsia"/>
                <w:szCs w:val="21"/>
                <w:lang w:val="en-US" w:eastAsia="zh-CN"/>
              </w:rPr>
            </w:pPr>
            <w:r>
              <w:rPr>
                <w:rFonts w:hint="eastAsia"/>
                <w:szCs w:val="21"/>
                <w:lang w:val="en-US" w:eastAsia="zh-CN"/>
              </w:rPr>
              <w:t>环评</w:t>
            </w:r>
          </w:p>
        </w:tc>
        <w:tc>
          <w:tcPr>
            <w:tcW w:w="3148" w:type="dxa"/>
            <w:vAlign w:val="center"/>
          </w:tcPr>
          <w:p w14:paraId="5B716474">
            <w:pPr>
              <w:jc w:val="center"/>
              <w:rPr>
                <w:rFonts w:hint="default"/>
                <w:szCs w:val="21"/>
                <w:lang w:val="en-US" w:eastAsia="zh-CN"/>
              </w:rPr>
            </w:pPr>
            <w:r>
              <w:rPr>
                <w:rFonts w:hint="eastAsia"/>
                <w:szCs w:val="21"/>
                <w:lang w:val="en-US" w:eastAsia="zh-CN"/>
              </w:rPr>
              <w:t>本次验收</w:t>
            </w:r>
          </w:p>
          <w:p w14:paraId="50BC5508">
            <w:pPr>
              <w:jc w:val="center"/>
              <w:rPr>
                <w:rFonts w:hint="default"/>
                <w:szCs w:val="21"/>
                <w:lang w:val="en-US" w:eastAsia="zh-CN"/>
              </w:rPr>
            </w:pPr>
            <w:r>
              <w:rPr>
                <w:rFonts w:hint="eastAsia"/>
                <w:szCs w:val="21"/>
                <w:lang w:val="en-US" w:eastAsia="zh-CN"/>
              </w:rPr>
              <w:t>全厂实际</w:t>
            </w:r>
          </w:p>
        </w:tc>
        <w:tc>
          <w:tcPr>
            <w:tcW w:w="1391" w:type="dxa"/>
            <w:vMerge w:val="continue"/>
            <w:vAlign w:val="center"/>
          </w:tcPr>
          <w:p w14:paraId="50A8B0E2">
            <w:pPr>
              <w:jc w:val="center"/>
              <w:rPr>
                <w:rFonts w:hint="eastAsia"/>
                <w:szCs w:val="21"/>
                <w:lang w:val="en-US" w:eastAsia="zh-CN"/>
              </w:rPr>
            </w:pPr>
          </w:p>
        </w:tc>
      </w:tr>
      <w:tr w14:paraId="1E5E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47" w:type="dxa"/>
            <w:vAlign w:val="center"/>
          </w:tcPr>
          <w:p w14:paraId="67C2BACC">
            <w:pPr>
              <w:jc w:val="center"/>
              <w:rPr>
                <w:rFonts w:hint="default"/>
                <w:szCs w:val="21"/>
                <w:lang w:val="en-US" w:eastAsia="zh-CN"/>
              </w:rPr>
            </w:pPr>
            <w:r>
              <w:rPr>
                <w:rFonts w:hint="eastAsia"/>
                <w:szCs w:val="21"/>
                <w:lang w:val="en-US" w:eastAsia="zh-CN"/>
              </w:rPr>
              <w:t>1</w:t>
            </w:r>
          </w:p>
        </w:tc>
        <w:tc>
          <w:tcPr>
            <w:tcW w:w="1511" w:type="dxa"/>
            <w:vAlign w:val="center"/>
          </w:tcPr>
          <w:p w14:paraId="5AEE713B">
            <w:pPr>
              <w:pStyle w:val="16"/>
              <w:spacing w:before="45" w:line="217" w:lineRule="auto"/>
              <w:ind w:left="94"/>
            </w:pPr>
            <w:r>
              <w:rPr>
                <w:spacing w:val="-3"/>
              </w:rPr>
              <w:t>生物质颗粒成</w:t>
            </w:r>
          </w:p>
          <w:p w14:paraId="0D855994">
            <w:pPr>
              <w:jc w:val="center"/>
              <w:rPr>
                <w:rFonts w:hint="eastAsia"/>
                <w:szCs w:val="21"/>
                <w:lang w:val="en-US" w:eastAsia="zh-CN"/>
              </w:rPr>
            </w:pPr>
            <w:r>
              <w:rPr>
                <w:spacing w:val="-4"/>
              </w:rPr>
              <w:t>型燃料</w:t>
            </w:r>
          </w:p>
        </w:tc>
        <w:tc>
          <w:tcPr>
            <w:tcW w:w="1515" w:type="dxa"/>
            <w:vAlign w:val="center"/>
          </w:tcPr>
          <w:p w14:paraId="35BB9133">
            <w:pPr>
              <w:jc w:val="center"/>
              <w:rPr>
                <w:rFonts w:hint="eastAsia"/>
                <w:szCs w:val="21"/>
                <w:lang w:val="en-US" w:eastAsia="zh-CN"/>
              </w:rPr>
            </w:pPr>
            <w:r>
              <w:rPr>
                <w:rFonts w:hint="eastAsia"/>
                <w:szCs w:val="21"/>
                <w:lang w:val="en-US" w:eastAsia="zh-CN"/>
              </w:rPr>
              <w:t>23000吨</w:t>
            </w:r>
          </w:p>
        </w:tc>
        <w:tc>
          <w:tcPr>
            <w:tcW w:w="3148" w:type="dxa"/>
            <w:vAlign w:val="center"/>
          </w:tcPr>
          <w:p w14:paraId="0ECA66C5">
            <w:pPr>
              <w:jc w:val="center"/>
              <w:rPr>
                <w:rFonts w:hint="default"/>
                <w:szCs w:val="21"/>
                <w:lang w:val="en-US" w:eastAsia="zh-CN"/>
              </w:rPr>
            </w:pPr>
            <w:r>
              <w:rPr>
                <w:rFonts w:hint="eastAsia"/>
                <w:szCs w:val="21"/>
                <w:lang w:val="en-US" w:eastAsia="zh-CN"/>
              </w:rPr>
              <w:t>23000吨</w:t>
            </w:r>
          </w:p>
        </w:tc>
        <w:tc>
          <w:tcPr>
            <w:tcW w:w="1391" w:type="dxa"/>
            <w:vAlign w:val="center"/>
          </w:tcPr>
          <w:p w14:paraId="40500EA8">
            <w:pPr>
              <w:jc w:val="center"/>
              <w:rPr>
                <w:rFonts w:hint="eastAsia"/>
                <w:szCs w:val="21"/>
                <w:lang w:val="en-US" w:eastAsia="zh-CN"/>
              </w:rPr>
            </w:pPr>
            <w:r>
              <w:rPr>
                <w:rFonts w:hint="eastAsia"/>
                <w:szCs w:val="21"/>
                <w:lang w:val="en-US" w:eastAsia="zh-CN"/>
              </w:rPr>
              <w:t>5280小时/年</w:t>
            </w:r>
          </w:p>
        </w:tc>
      </w:tr>
    </w:tbl>
    <w:p w14:paraId="4D5B6716">
      <w:pPr>
        <w:adjustRightInd w:val="0"/>
        <w:snapToGrid w:val="0"/>
        <w:spacing w:line="360" w:lineRule="auto"/>
        <w:ind w:firstLine="560" w:firstLineChars="200"/>
        <w:rPr>
          <w:color w:val="auto"/>
          <w:sz w:val="28"/>
          <w:szCs w:val="28"/>
        </w:rPr>
      </w:pPr>
      <w:r>
        <w:rPr>
          <w:color w:val="auto"/>
          <w:sz w:val="28"/>
          <w:szCs w:val="28"/>
        </w:rPr>
        <w:t>本次验收项目生产设备</w:t>
      </w:r>
      <w:r>
        <w:rPr>
          <w:rFonts w:hint="eastAsia"/>
          <w:color w:val="auto"/>
          <w:sz w:val="28"/>
          <w:szCs w:val="28"/>
          <w:lang w:eastAsia="zh-CN"/>
        </w:rPr>
        <w:t>：</w:t>
      </w:r>
      <w:r>
        <w:rPr>
          <w:color w:val="auto"/>
          <w:sz w:val="28"/>
          <w:szCs w:val="28"/>
        </w:rPr>
        <w:t>组成见表3-</w:t>
      </w:r>
      <w:r>
        <w:rPr>
          <w:rFonts w:hint="eastAsia"/>
          <w:color w:val="auto"/>
          <w:sz w:val="28"/>
          <w:szCs w:val="28"/>
          <w:lang w:val="en-US" w:eastAsia="zh-CN"/>
        </w:rPr>
        <w:t>2</w:t>
      </w:r>
      <w:r>
        <w:rPr>
          <w:rFonts w:hint="eastAsia"/>
          <w:color w:val="auto"/>
          <w:sz w:val="28"/>
          <w:szCs w:val="28"/>
        </w:rPr>
        <w:t>。</w:t>
      </w:r>
    </w:p>
    <w:p w14:paraId="79C7C16B">
      <w:pPr>
        <w:adjustRightInd w:val="0"/>
        <w:snapToGrid w:val="0"/>
        <w:spacing w:line="240" w:lineRule="auto"/>
        <w:jc w:val="center"/>
        <w:rPr>
          <w:bCs/>
          <w:sz w:val="24"/>
        </w:rPr>
      </w:pPr>
      <w:bookmarkStart w:id="4" w:name="_Hlk535009446"/>
      <w:r>
        <w:rPr>
          <w:bCs/>
          <w:sz w:val="24"/>
        </w:rPr>
        <w:t>表3-</w:t>
      </w:r>
      <w:r>
        <w:rPr>
          <w:rFonts w:hint="eastAsia"/>
          <w:bCs/>
          <w:sz w:val="24"/>
          <w:lang w:val="en-US" w:eastAsia="zh-CN"/>
        </w:rPr>
        <w:t>2</w:t>
      </w:r>
      <w:r>
        <w:rPr>
          <w:bCs/>
          <w:sz w:val="24"/>
        </w:rPr>
        <w:t>项目主要生产设施一览表</w:t>
      </w:r>
    </w:p>
    <w:bookmarkEnd w:id="4"/>
    <w:tbl>
      <w:tblPr>
        <w:tblStyle w:val="18"/>
        <w:tblW w:w="8524"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1416"/>
        <w:gridCol w:w="1276"/>
        <w:gridCol w:w="1133"/>
        <w:gridCol w:w="696"/>
        <w:gridCol w:w="3060"/>
      </w:tblGrid>
      <w:tr w14:paraId="655A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943" w:type="dxa"/>
            <w:tcBorders>
              <w:top w:val="single" w:color="000000" w:sz="10" w:space="0"/>
              <w:left w:val="nil"/>
            </w:tcBorders>
            <w:vAlign w:val="top"/>
          </w:tcPr>
          <w:p w14:paraId="5E0648F1">
            <w:pPr>
              <w:pStyle w:val="16"/>
              <w:spacing w:before="174" w:line="225" w:lineRule="auto"/>
              <w:ind w:left="57"/>
              <w:rPr>
                <w:sz w:val="20"/>
                <w:szCs w:val="20"/>
              </w:rPr>
            </w:pPr>
            <w:r>
              <w:rPr>
                <w:b/>
                <w:bCs/>
                <w:spacing w:val="6"/>
                <w:sz w:val="20"/>
                <w:szCs w:val="20"/>
              </w:rPr>
              <w:t>主要生产</w:t>
            </w:r>
          </w:p>
          <w:p w14:paraId="581AEB47">
            <w:pPr>
              <w:pStyle w:val="16"/>
              <w:spacing w:before="25" w:line="222" w:lineRule="auto"/>
              <w:ind w:left="267"/>
              <w:rPr>
                <w:sz w:val="20"/>
                <w:szCs w:val="20"/>
              </w:rPr>
            </w:pPr>
            <w:r>
              <w:rPr>
                <w:b/>
                <w:bCs/>
                <w:spacing w:val="3"/>
                <w:sz w:val="20"/>
                <w:szCs w:val="20"/>
              </w:rPr>
              <w:t>单元</w:t>
            </w:r>
          </w:p>
        </w:tc>
        <w:tc>
          <w:tcPr>
            <w:tcW w:w="1416" w:type="dxa"/>
            <w:tcBorders>
              <w:top w:val="single" w:color="000000" w:sz="10" w:space="0"/>
            </w:tcBorders>
            <w:vAlign w:val="top"/>
          </w:tcPr>
          <w:p w14:paraId="0A9F45F1">
            <w:pPr>
              <w:spacing w:line="241" w:lineRule="auto"/>
              <w:rPr>
                <w:rFonts w:ascii="Arial"/>
                <w:sz w:val="21"/>
              </w:rPr>
            </w:pPr>
          </w:p>
          <w:p w14:paraId="475C1270">
            <w:pPr>
              <w:pStyle w:val="16"/>
              <w:spacing w:before="65" w:line="227" w:lineRule="auto"/>
              <w:ind w:left="293"/>
              <w:rPr>
                <w:sz w:val="20"/>
                <w:szCs w:val="20"/>
              </w:rPr>
            </w:pPr>
            <w:r>
              <w:rPr>
                <w:b/>
                <w:bCs/>
                <w:spacing w:val="6"/>
                <w:sz w:val="20"/>
                <w:szCs w:val="20"/>
              </w:rPr>
              <w:t>主要工艺</w:t>
            </w:r>
          </w:p>
        </w:tc>
        <w:tc>
          <w:tcPr>
            <w:tcW w:w="1276" w:type="dxa"/>
            <w:tcBorders>
              <w:top w:val="single" w:color="000000" w:sz="10" w:space="0"/>
            </w:tcBorders>
            <w:vAlign w:val="top"/>
          </w:tcPr>
          <w:p w14:paraId="1EA94950">
            <w:pPr>
              <w:spacing w:line="242" w:lineRule="auto"/>
              <w:rPr>
                <w:rFonts w:ascii="Arial"/>
                <w:sz w:val="21"/>
              </w:rPr>
            </w:pPr>
          </w:p>
          <w:p w14:paraId="4E1991C2">
            <w:pPr>
              <w:pStyle w:val="16"/>
              <w:spacing w:before="65" w:line="225" w:lineRule="auto"/>
              <w:ind w:left="230"/>
              <w:rPr>
                <w:sz w:val="20"/>
                <w:szCs w:val="20"/>
              </w:rPr>
            </w:pPr>
            <w:r>
              <w:rPr>
                <w:b/>
                <w:bCs/>
                <w:spacing w:val="5"/>
                <w:sz w:val="20"/>
                <w:szCs w:val="20"/>
              </w:rPr>
              <w:t>生产设施</w:t>
            </w:r>
          </w:p>
        </w:tc>
        <w:tc>
          <w:tcPr>
            <w:tcW w:w="1133" w:type="dxa"/>
            <w:tcBorders>
              <w:top w:val="single" w:color="000000" w:sz="10" w:space="0"/>
            </w:tcBorders>
            <w:vAlign w:val="top"/>
          </w:tcPr>
          <w:p w14:paraId="0E94E9AB">
            <w:pPr>
              <w:spacing w:line="241" w:lineRule="auto"/>
              <w:rPr>
                <w:rFonts w:ascii="Arial"/>
                <w:sz w:val="21"/>
              </w:rPr>
            </w:pPr>
          </w:p>
          <w:p w14:paraId="79A1ED4B">
            <w:pPr>
              <w:pStyle w:val="16"/>
              <w:spacing w:before="65" w:line="225" w:lineRule="auto"/>
              <w:ind w:left="142"/>
              <w:rPr>
                <w:sz w:val="20"/>
                <w:szCs w:val="20"/>
              </w:rPr>
            </w:pPr>
            <w:r>
              <w:rPr>
                <w:b/>
                <w:bCs/>
                <w:spacing w:val="9"/>
                <w:sz w:val="20"/>
                <w:szCs w:val="20"/>
              </w:rPr>
              <w:t>设施参数</w:t>
            </w:r>
          </w:p>
        </w:tc>
        <w:tc>
          <w:tcPr>
            <w:tcW w:w="696" w:type="dxa"/>
            <w:tcBorders>
              <w:top w:val="single" w:color="000000" w:sz="10" w:space="0"/>
            </w:tcBorders>
            <w:vAlign w:val="top"/>
          </w:tcPr>
          <w:p w14:paraId="6431316A">
            <w:pPr>
              <w:pStyle w:val="16"/>
              <w:spacing w:before="36" w:line="239" w:lineRule="auto"/>
              <w:ind w:left="104" w:right="99" w:firstLine="37"/>
              <w:jc w:val="both"/>
              <w:rPr>
                <w:sz w:val="20"/>
                <w:szCs w:val="20"/>
              </w:rPr>
            </w:pPr>
            <w:r>
              <w:rPr>
                <w:b/>
                <w:bCs/>
                <w:spacing w:val="3"/>
                <w:sz w:val="20"/>
                <w:szCs w:val="20"/>
              </w:rPr>
              <w:t>数量</w:t>
            </w:r>
            <w:r>
              <w:rPr>
                <w:sz w:val="20"/>
                <w:szCs w:val="20"/>
              </w:rPr>
              <w:t xml:space="preserve"> </w:t>
            </w:r>
            <w:r>
              <w:rPr>
                <w:b/>
                <w:bCs/>
                <w:spacing w:val="-16"/>
                <w:sz w:val="20"/>
                <w:szCs w:val="20"/>
              </w:rPr>
              <w:t>（</w:t>
            </w:r>
            <w:r>
              <w:rPr>
                <w:spacing w:val="-34"/>
                <w:sz w:val="20"/>
                <w:szCs w:val="20"/>
              </w:rPr>
              <w:t xml:space="preserve"> </w:t>
            </w:r>
            <w:r>
              <w:rPr>
                <w:b/>
                <w:bCs/>
                <w:spacing w:val="-16"/>
                <w:sz w:val="20"/>
                <w:szCs w:val="20"/>
              </w:rPr>
              <w:t>台</w:t>
            </w:r>
            <w:r>
              <w:rPr>
                <w:rFonts w:ascii="Times New Roman" w:hAnsi="Times New Roman" w:eastAsia="Times New Roman" w:cs="Times New Roman"/>
                <w:b/>
                <w:bCs/>
                <w:spacing w:val="-16"/>
              </w:rPr>
              <w:t>/</w:t>
            </w:r>
            <w:r>
              <w:rPr>
                <w:rFonts w:ascii="Times New Roman" w:hAnsi="Times New Roman" w:eastAsia="Times New Roman" w:cs="Times New Roman"/>
                <w:b/>
                <w:bCs/>
              </w:rPr>
              <w:t xml:space="preserve"> </w:t>
            </w:r>
            <w:r>
              <w:rPr>
                <w:b/>
                <w:bCs/>
                <w:spacing w:val="31"/>
                <w:sz w:val="20"/>
                <w:szCs w:val="20"/>
              </w:rPr>
              <w:t>套）</w:t>
            </w:r>
          </w:p>
        </w:tc>
        <w:tc>
          <w:tcPr>
            <w:tcW w:w="3060" w:type="dxa"/>
            <w:tcBorders>
              <w:top w:val="single" w:color="000000" w:sz="10" w:space="0"/>
              <w:right w:val="nil"/>
            </w:tcBorders>
            <w:vAlign w:val="top"/>
          </w:tcPr>
          <w:p w14:paraId="56B050E6">
            <w:pPr>
              <w:spacing w:line="241" w:lineRule="auto"/>
              <w:rPr>
                <w:rFonts w:ascii="Arial"/>
                <w:sz w:val="21"/>
              </w:rPr>
            </w:pPr>
          </w:p>
          <w:p w14:paraId="4B303CA7">
            <w:pPr>
              <w:pStyle w:val="16"/>
              <w:spacing w:before="65" w:line="226" w:lineRule="auto"/>
              <w:ind w:left="1325"/>
              <w:rPr>
                <w:sz w:val="20"/>
                <w:szCs w:val="20"/>
              </w:rPr>
            </w:pPr>
            <w:r>
              <w:rPr>
                <w:b/>
                <w:bCs/>
                <w:spacing w:val="5"/>
                <w:sz w:val="20"/>
                <w:szCs w:val="20"/>
              </w:rPr>
              <w:t>备注</w:t>
            </w:r>
          </w:p>
        </w:tc>
      </w:tr>
      <w:tr w14:paraId="4B82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43" w:type="dxa"/>
            <w:vMerge w:val="restart"/>
            <w:tcBorders>
              <w:left w:val="nil"/>
              <w:bottom w:val="nil"/>
            </w:tcBorders>
            <w:vAlign w:val="top"/>
          </w:tcPr>
          <w:p w14:paraId="439815B4">
            <w:pPr>
              <w:spacing w:line="288" w:lineRule="auto"/>
              <w:rPr>
                <w:rFonts w:ascii="Arial"/>
                <w:sz w:val="21"/>
              </w:rPr>
            </w:pPr>
          </w:p>
          <w:p w14:paraId="0BC23377">
            <w:pPr>
              <w:pStyle w:val="16"/>
              <w:spacing w:before="68" w:line="217" w:lineRule="auto"/>
              <w:ind w:left="70"/>
            </w:pPr>
            <w:r>
              <w:rPr>
                <w:spacing w:val="-4"/>
              </w:rPr>
              <w:t>生物质颗</w:t>
            </w:r>
          </w:p>
          <w:p w14:paraId="0B2B8963">
            <w:pPr>
              <w:pStyle w:val="16"/>
              <w:spacing w:before="26" w:line="217" w:lineRule="auto"/>
              <w:ind w:left="63"/>
            </w:pPr>
            <w:r>
              <w:rPr>
                <w:spacing w:val="-3"/>
              </w:rPr>
              <w:t>粒成型燃</w:t>
            </w:r>
          </w:p>
          <w:p w14:paraId="3E1AD84C">
            <w:pPr>
              <w:pStyle w:val="16"/>
              <w:spacing w:before="27" w:line="216" w:lineRule="auto"/>
              <w:ind w:left="60"/>
            </w:pPr>
            <w:r>
              <w:rPr>
                <w:spacing w:val="-3"/>
              </w:rPr>
              <w:t>料生产线</w:t>
            </w:r>
          </w:p>
        </w:tc>
        <w:tc>
          <w:tcPr>
            <w:tcW w:w="1416" w:type="dxa"/>
            <w:vAlign w:val="top"/>
          </w:tcPr>
          <w:p w14:paraId="3C054259">
            <w:pPr>
              <w:pStyle w:val="16"/>
              <w:spacing w:before="36" w:line="204" w:lineRule="auto"/>
              <w:ind w:left="498"/>
            </w:pPr>
            <w:r>
              <w:rPr>
                <w:spacing w:val="-2"/>
              </w:rPr>
              <w:t>破碎</w:t>
            </w:r>
          </w:p>
        </w:tc>
        <w:tc>
          <w:tcPr>
            <w:tcW w:w="1276" w:type="dxa"/>
            <w:vAlign w:val="top"/>
          </w:tcPr>
          <w:p w14:paraId="45B16CFB">
            <w:pPr>
              <w:pStyle w:val="16"/>
              <w:spacing w:before="36" w:line="204" w:lineRule="auto"/>
              <w:ind w:left="326"/>
            </w:pPr>
            <w:r>
              <w:rPr>
                <w:spacing w:val="-2"/>
              </w:rPr>
              <w:t>破碎机</w:t>
            </w:r>
          </w:p>
        </w:tc>
        <w:tc>
          <w:tcPr>
            <w:tcW w:w="1133" w:type="dxa"/>
            <w:vAlign w:val="top"/>
          </w:tcPr>
          <w:p w14:paraId="5EC79A8A">
            <w:pPr>
              <w:spacing w:before="75" w:line="191"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355kw</w:t>
            </w:r>
          </w:p>
        </w:tc>
        <w:tc>
          <w:tcPr>
            <w:tcW w:w="696" w:type="dxa"/>
            <w:vAlign w:val="top"/>
          </w:tcPr>
          <w:p w14:paraId="1F6DF7D8">
            <w:pPr>
              <w:spacing w:before="79" w:line="187" w:lineRule="auto"/>
              <w:ind w:left="314"/>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060" w:type="dxa"/>
            <w:tcBorders>
              <w:right w:val="nil"/>
            </w:tcBorders>
            <w:vAlign w:val="top"/>
          </w:tcPr>
          <w:p w14:paraId="547006FA">
            <w:pPr>
              <w:pStyle w:val="16"/>
              <w:spacing w:before="36" w:line="204" w:lineRule="auto"/>
              <w:ind w:left="63"/>
            </w:pPr>
            <w:r>
              <w:rPr>
                <w:spacing w:val="-1"/>
              </w:rPr>
              <w:t>破碎机输送带两侧安装磁选设备</w:t>
            </w:r>
          </w:p>
        </w:tc>
      </w:tr>
      <w:tr w14:paraId="570AD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943" w:type="dxa"/>
            <w:vMerge w:val="continue"/>
            <w:tcBorders>
              <w:top w:val="nil"/>
              <w:left w:val="nil"/>
              <w:bottom w:val="nil"/>
            </w:tcBorders>
            <w:vAlign w:val="top"/>
          </w:tcPr>
          <w:p w14:paraId="3BDACC30">
            <w:pPr>
              <w:rPr>
                <w:rFonts w:ascii="Arial"/>
                <w:sz w:val="21"/>
              </w:rPr>
            </w:pPr>
          </w:p>
        </w:tc>
        <w:tc>
          <w:tcPr>
            <w:tcW w:w="1416" w:type="dxa"/>
            <w:vAlign w:val="top"/>
          </w:tcPr>
          <w:p w14:paraId="373CED64">
            <w:pPr>
              <w:pStyle w:val="16"/>
              <w:spacing w:before="45" w:line="201" w:lineRule="auto"/>
              <w:ind w:left="505"/>
            </w:pPr>
            <w:r>
              <w:rPr>
                <w:spacing w:val="-5"/>
              </w:rPr>
              <w:t>粉碎</w:t>
            </w:r>
          </w:p>
        </w:tc>
        <w:tc>
          <w:tcPr>
            <w:tcW w:w="1276" w:type="dxa"/>
            <w:vAlign w:val="top"/>
          </w:tcPr>
          <w:p w14:paraId="253B7B31">
            <w:pPr>
              <w:pStyle w:val="16"/>
              <w:spacing w:before="45" w:line="201" w:lineRule="auto"/>
              <w:ind w:left="332"/>
            </w:pPr>
            <w:r>
              <w:rPr>
                <w:spacing w:val="-4"/>
              </w:rPr>
              <w:t>粉碎机</w:t>
            </w:r>
          </w:p>
        </w:tc>
        <w:tc>
          <w:tcPr>
            <w:tcW w:w="1133" w:type="dxa"/>
            <w:vAlign w:val="top"/>
          </w:tcPr>
          <w:p w14:paraId="60610DD6">
            <w:pPr>
              <w:spacing w:before="83"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280kw</w:t>
            </w:r>
          </w:p>
        </w:tc>
        <w:tc>
          <w:tcPr>
            <w:tcW w:w="696" w:type="dxa"/>
            <w:vAlign w:val="top"/>
          </w:tcPr>
          <w:p w14:paraId="5417CF8F">
            <w:pPr>
              <w:spacing w:before="87" w:line="185" w:lineRule="auto"/>
              <w:ind w:left="29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060" w:type="dxa"/>
            <w:tcBorders>
              <w:right w:val="nil"/>
            </w:tcBorders>
            <w:vAlign w:val="top"/>
          </w:tcPr>
          <w:p w14:paraId="2F34E9FE">
            <w:pPr>
              <w:pStyle w:val="16"/>
              <w:spacing w:before="45" w:line="201" w:lineRule="auto"/>
              <w:ind w:left="69"/>
            </w:pPr>
            <w:r>
              <w:rPr>
                <w:spacing w:val="-1"/>
              </w:rPr>
              <w:t>粉碎机输送带两侧安装磁选设备</w:t>
            </w:r>
          </w:p>
        </w:tc>
      </w:tr>
      <w:tr w14:paraId="2D03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943" w:type="dxa"/>
            <w:vMerge w:val="continue"/>
            <w:tcBorders>
              <w:top w:val="nil"/>
              <w:left w:val="nil"/>
              <w:bottom w:val="nil"/>
            </w:tcBorders>
            <w:vAlign w:val="top"/>
          </w:tcPr>
          <w:p w14:paraId="0EC4C8AF">
            <w:pPr>
              <w:rPr>
                <w:rFonts w:ascii="Arial"/>
                <w:sz w:val="21"/>
              </w:rPr>
            </w:pPr>
          </w:p>
        </w:tc>
        <w:tc>
          <w:tcPr>
            <w:tcW w:w="1416" w:type="dxa"/>
            <w:vAlign w:val="top"/>
          </w:tcPr>
          <w:p w14:paraId="28788A57">
            <w:pPr>
              <w:pStyle w:val="16"/>
              <w:spacing w:before="48" w:line="198" w:lineRule="auto"/>
              <w:ind w:left="509"/>
            </w:pPr>
            <w:r>
              <w:rPr>
                <w:spacing w:val="-7"/>
              </w:rPr>
              <w:t>制粒</w:t>
            </w:r>
          </w:p>
        </w:tc>
        <w:tc>
          <w:tcPr>
            <w:tcW w:w="1276" w:type="dxa"/>
            <w:vAlign w:val="top"/>
          </w:tcPr>
          <w:p w14:paraId="17981642">
            <w:pPr>
              <w:pStyle w:val="16"/>
              <w:spacing w:before="48" w:line="198" w:lineRule="auto"/>
              <w:ind w:left="133"/>
            </w:pPr>
            <w:r>
              <w:rPr>
                <w:spacing w:val="-5"/>
              </w:rPr>
              <w:t>生物颗粒机</w:t>
            </w:r>
          </w:p>
        </w:tc>
        <w:tc>
          <w:tcPr>
            <w:tcW w:w="1133" w:type="dxa"/>
            <w:vAlign w:val="top"/>
          </w:tcPr>
          <w:p w14:paraId="1305C55D">
            <w:pPr>
              <w:spacing w:before="82" w:line="190"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90kw</w:t>
            </w:r>
          </w:p>
        </w:tc>
        <w:tc>
          <w:tcPr>
            <w:tcW w:w="696" w:type="dxa"/>
            <w:vAlign w:val="top"/>
          </w:tcPr>
          <w:p w14:paraId="52E90009">
            <w:pPr>
              <w:spacing w:before="86" w:line="186" w:lineRule="auto"/>
              <w:ind w:left="2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3060" w:type="dxa"/>
            <w:tcBorders>
              <w:right w:val="nil"/>
            </w:tcBorders>
            <w:vAlign w:val="top"/>
          </w:tcPr>
          <w:p w14:paraId="1CF71404">
            <w:pPr>
              <w:spacing w:before="82" w:line="190" w:lineRule="auto"/>
              <w:ind w:left="150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14:paraId="3FC2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43" w:type="dxa"/>
            <w:vMerge w:val="continue"/>
            <w:tcBorders>
              <w:top w:val="nil"/>
              <w:left w:val="nil"/>
              <w:bottom w:val="nil"/>
            </w:tcBorders>
            <w:vAlign w:val="top"/>
          </w:tcPr>
          <w:p w14:paraId="7E526F20">
            <w:pPr>
              <w:rPr>
                <w:rFonts w:ascii="Arial"/>
                <w:sz w:val="21"/>
              </w:rPr>
            </w:pPr>
          </w:p>
        </w:tc>
        <w:tc>
          <w:tcPr>
            <w:tcW w:w="1416" w:type="dxa"/>
            <w:vAlign w:val="top"/>
          </w:tcPr>
          <w:p w14:paraId="434067B5">
            <w:pPr>
              <w:pStyle w:val="16"/>
              <w:spacing w:before="48" w:line="195" w:lineRule="auto"/>
              <w:ind w:left="510"/>
            </w:pPr>
            <w:r>
              <w:rPr>
                <w:spacing w:val="-8"/>
              </w:rPr>
              <w:t>筛分</w:t>
            </w:r>
          </w:p>
        </w:tc>
        <w:tc>
          <w:tcPr>
            <w:tcW w:w="1276" w:type="dxa"/>
            <w:vAlign w:val="top"/>
          </w:tcPr>
          <w:p w14:paraId="3BCE88D2">
            <w:pPr>
              <w:pStyle w:val="16"/>
              <w:spacing w:before="48" w:line="195" w:lineRule="auto"/>
              <w:ind w:left="337"/>
            </w:pPr>
            <w:r>
              <w:rPr>
                <w:spacing w:val="-5"/>
              </w:rPr>
              <w:t>筛选机</w:t>
            </w:r>
          </w:p>
        </w:tc>
        <w:tc>
          <w:tcPr>
            <w:tcW w:w="1133" w:type="dxa"/>
            <w:vAlign w:val="top"/>
          </w:tcPr>
          <w:p w14:paraId="2C1CA3B6">
            <w:pPr>
              <w:spacing w:before="86" w:line="182" w:lineRule="auto"/>
              <w:ind w:left="3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7.5kw</w:t>
            </w:r>
          </w:p>
        </w:tc>
        <w:tc>
          <w:tcPr>
            <w:tcW w:w="696" w:type="dxa"/>
            <w:vAlign w:val="top"/>
          </w:tcPr>
          <w:p w14:paraId="38622AA1">
            <w:pPr>
              <w:spacing w:before="89" w:line="179" w:lineRule="auto"/>
              <w:ind w:left="29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060" w:type="dxa"/>
            <w:tcBorders>
              <w:right w:val="nil"/>
            </w:tcBorders>
            <w:vAlign w:val="top"/>
          </w:tcPr>
          <w:p w14:paraId="1927BCFA">
            <w:pPr>
              <w:spacing w:before="86" w:line="182" w:lineRule="auto"/>
              <w:ind w:left="150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14:paraId="7C58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943" w:type="dxa"/>
            <w:vMerge w:val="continue"/>
            <w:tcBorders>
              <w:top w:val="nil"/>
              <w:left w:val="nil"/>
              <w:bottom w:val="single" w:color="000000" w:sz="10" w:space="0"/>
            </w:tcBorders>
            <w:vAlign w:val="top"/>
          </w:tcPr>
          <w:p w14:paraId="490B5300">
            <w:pPr>
              <w:rPr>
                <w:rFonts w:ascii="Arial"/>
                <w:sz w:val="21"/>
              </w:rPr>
            </w:pPr>
          </w:p>
        </w:tc>
        <w:tc>
          <w:tcPr>
            <w:tcW w:w="1416" w:type="dxa"/>
            <w:tcBorders>
              <w:bottom w:val="single" w:color="000000" w:sz="10" w:space="0"/>
            </w:tcBorders>
            <w:vAlign w:val="top"/>
          </w:tcPr>
          <w:p w14:paraId="6B547DEE">
            <w:pPr>
              <w:pStyle w:val="16"/>
              <w:spacing w:before="54" w:line="212" w:lineRule="auto"/>
              <w:ind w:left="505"/>
            </w:pPr>
            <w:r>
              <w:rPr>
                <w:spacing w:val="-5"/>
              </w:rPr>
              <w:t>打包</w:t>
            </w:r>
          </w:p>
        </w:tc>
        <w:tc>
          <w:tcPr>
            <w:tcW w:w="1276" w:type="dxa"/>
            <w:tcBorders>
              <w:bottom w:val="single" w:color="000000" w:sz="10" w:space="0"/>
            </w:tcBorders>
            <w:vAlign w:val="top"/>
          </w:tcPr>
          <w:p w14:paraId="2A91531B">
            <w:pPr>
              <w:pStyle w:val="16"/>
              <w:spacing w:before="54" w:line="212" w:lineRule="auto"/>
              <w:ind w:left="332"/>
            </w:pPr>
            <w:r>
              <w:rPr>
                <w:spacing w:val="-4"/>
              </w:rPr>
              <w:t>打包机</w:t>
            </w:r>
          </w:p>
        </w:tc>
        <w:tc>
          <w:tcPr>
            <w:tcW w:w="1133" w:type="dxa"/>
            <w:tcBorders>
              <w:bottom w:val="single" w:color="000000" w:sz="10" w:space="0"/>
            </w:tcBorders>
            <w:vAlign w:val="top"/>
          </w:tcPr>
          <w:p w14:paraId="49B5BEDE">
            <w:pPr>
              <w:spacing w:before="93" w:line="191" w:lineRule="auto"/>
              <w:ind w:left="3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7.5kw</w:t>
            </w:r>
          </w:p>
        </w:tc>
        <w:tc>
          <w:tcPr>
            <w:tcW w:w="696" w:type="dxa"/>
            <w:tcBorders>
              <w:bottom w:val="single" w:color="000000" w:sz="10" w:space="0"/>
            </w:tcBorders>
            <w:vAlign w:val="top"/>
          </w:tcPr>
          <w:p w14:paraId="1A27FB9A">
            <w:pPr>
              <w:spacing w:before="97" w:line="187" w:lineRule="auto"/>
              <w:ind w:left="29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060" w:type="dxa"/>
            <w:tcBorders>
              <w:bottom w:val="single" w:color="000000" w:sz="10" w:space="0"/>
              <w:right w:val="nil"/>
            </w:tcBorders>
            <w:vAlign w:val="top"/>
          </w:tcPr>
          <w:p w14:paraId="2F34A097">
            <w:pPr>
              <w:spacing w:before="93" w:line="191" w:lineRule="auto"/>
              <w:ind w:left="150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14:paraId="7B2FC92C">
      <w:pPr>
        <w:pStyle w:val="3"/>
        <w:rPr>
          <w:rFonts w:hint="eastAsia"/>
          <w:lang w:val="en-US" w:eastAsia="zh-CN"/>
        </w:rPr>
      </w:pPr>
    </w:p>
    <w:p w14:paraId="67465398">
      <w:pPr>
        <w:spacing w:line="440" w:lineRule="exact"/>
        <w:ind w:firstLine="560" w:firstLineChars="20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（四）验收范围</w:t>
      </w:r>
    </w:p>
    <w:p w14:paraId="5B269F48">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outlineLvl w:val="0"/>
        <w:rPr>
          <w:rFonts w:hint="eastAsia"/>
          <w:color w:val="auto"/>
          <w:sz w:val="28"/>
          <w:szCs w:val="28"/>
          <w:lang w:val="en-US" w:eastAsia="zh-CN"/>
        </w:rPr>
      </w:pPr>
      <w:r>
        <w:rPr>
          <w:rFonts w:hint="eastAsia"/>
          <w:color w:val="auto"/>
          <w:sz w:val="28"/>
          <w:szCs w:val="28"/>
          <w:lang w:val="en-US" w:eastAsia="zh-CN"/>
        </w:rPr>
        <w:t>2025</w:t>
      </w:r>
      <w:r>
        <w:rPr>
          <w:rFonts w:hint="eastAsia"/>
          <w:color w:val="auto"/>
          <w:sz w:val="28"/>
          <w:szCs w:val="28"/>
        </w:rPr>
        <w:t>年</w:t>
      </w:r>
      <w:r>
        <w:rPr>
          <w:rFonts w:hint="eastAsia"/>
          <w:color w:val="auto"/>
          <w:sz w:val="28"/>
          <w:szCs w:val="28"/>
          <w:lang w:val="en-US" w:eastAsia="zh-CN"/>
        </w:rPr>
        <w:t>初公司开始新建生物质颗粒加工项目，</w:t>
      </w:r>
      <w:r>
        <w:rPr>
          <w:rFonts w:hint="eastAsia"/>
          <w:color w:val="auto"/>
          <w:sz w:val="28"/>
          <w:szCs w:val="28"/>
        </w:rPr>
        <w:t>并根据环评</w:t>
      </w:r>
      <w:r>
        <w:rPr>
          <w:rFonts w:hint="eastAsia"/>
          <w:color w:val="auto"/>
          <w:sz w:val="28"/>
          <w:szCs w:val="28"/>
          <w:lang w:val="en-US" w:eastAsia="zh-CN"/>
        </w:rPr>
        <w:t>要求建设了生物质颗粒加工线</w:t>
      </w:r>
      <w:r>
        <w:rPr>
          <w:rFonts w:hint="eastAsia"/>
          <w:color w:val="auto"/>
          <w:sz w:val="28"/>
          <w:szCs w:val="28"/>
        </w:rPr>
        <w:t>的</w:t>
      </w:r>
      <w:r>
        <w:rPr>
          <w:rFonts w:hint="eastAsia"/>
          <w:color w:val="auto"/>
          <w:sz w:val="28"/>
          <w:szCs w:val="28"/>
          <w:lang w:val="en-US" w:eastAsia="zh-CN"/>
        </w:rPr>
        <w:t>废气</w:t>
      </w:r>
      <w:r>
        <w:rPr>
          <w:rFonts w:hint="eastAsia"/>
          <w:color w:val="auto"/>
          <w:sz w:val="28"/>
          <w:szCs w:val="28"/>
        </w:rPr>
        <w:t>收集处理配套工程</w:t>
      </w:r>
      <w:r>
        <w:rPr>
          <w:rFonts w:hint="eastAsia"/>
          <w:color w:val="auto"/>
          <w:sz w:val="28"/>
          <w:szCs w:val="28"/>
          <w:lang w:eastAsia="zh-CN"/>
        </w:rPr>
        <w:t>，</w:t>
      </w:r>
      <w:r>
        <w:rPr>
          <w:rFonts w:hint="eastAsia"/>
          <w:color w:val="auto"/>
          <w:sz w:val="28"/>
          <w:szCs w:val="28"/>
        </w:rPr>
        <w:t>于20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年底</w:t>
      </w:r>
      <w:r>
        <w:rPr>
          <w:rFonts w:hint="eastAsia"/>
          <w:color w:val="auto"/>
          <w:sz w:val="28"/>
          <w:szCs w:val="28"/>
        </w:rPr>
        <w:t>基本建成</w:t>
      </w:r>
      <w:r>
        <w:rPr>
          <w:rFonts w:hint="eastAsia"/>
          <w:color w:val="auto"/>
          <w:sz w:val="28"/>
          <w:szCs w:val="28"/>
          <w:lang w:eastAsia="zh-CN"/>
        </w:rPr>
        <w:t>，</w:t>
      </w:r>
      <w:r>
        <w:rPr>
          <w:rFonts w:hint="eastAsia"/>
          <w:color w:val="auto"/>
          <w:sz w:val="28"/>
          <w:szCs w:val="28"/>
          <w:lang w:val="en-US" w:eastAsia="zh-CN"/>
        </w:rPr>
        <w:t>新增年产23000吨生物质颗粒的生产能力。项目相关的废水、废气、噪声、固废污染防治设施内容均在本次验收范围内。</w:t>
      </w:r>
    </w:p>
    <w:p w14:paraId="2B739ECD">
      <w:pPr>
        <w:spacing w:line="440" w:lineRule="exact"/>
        <w:ind w:firstLine="560" w:firstLineChars="20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工程变动情况</w:t>
      </w:r>
      <w:r>
        <w:rPr>
          <w:rFonts w:hint="eastAsia" w:ascii="Times New Roman" w:hAnsi="Times New Roman" w:eastAsia="宋体" w:cs="Times New Roman"/>
          <w:sz w:val="28"/>
          <w:szCs w:val="28"/>
          <w:lang w:val="en-US" w:eastAsia="zh-CN"/>
        </w:rPr>
        <w:tab/>
      </w:r>
    </w:p>
    <w:p w14:paraId="24394A01">
      <w:pPr>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本项目对照环评报告表和环评批复无重大变动，未导致新增污染因子或污染物排放量、范围或强度增加，未导致环境影响或环境风险增大。</w:t>
      </w:r>
    </w:p>
    <w:p w14:paraId="1408AA24">
      <w:pPr>
        <w:pStyle w:val="7"/>
        <w:widowControl/>
        <w:spacing w:beforeAutospacing="0" w:afterAutospacing="0" w:line="440" w:lineRule="exact"/>
        <w:ind w:firstLine="562" w:firstLineChars="200"/>
        <w:jc w:val="both"/>
        <w:rPr>
          <w:rFonts w:ascii="Times New Roman" w:hAnsi="Times New Roman"/>
          <w:b/>
          <w:bCs/>
          <w:color w:val="000000" w:themeColor="text1"/>
          <w:sz w:val="28"/>
          <w:szCs w:val="28"/>
          <w14:textFill>
            <w14:solidFill>
              <w14:schemeClr w14:val="tx1"/>
            </w14:solidFill>
          </w14:textFill>
        </w:rPr>
      </w:pPr>
      <w:r>
        <w:rPr>
          <w:rFonts w:ascii="Times New Roman" w:hAnsiTheme="minorEastAsia"/>
          <w:b/>
          <w:bCs/>
          <w:color w:val="000000" w:themeColor="text1"/>
          <w:sz w:val="28"/>
          <w:szCs w:val="28"/>
          <w14:textFill>
            <w14:solidFill>
              <w14:schemeClr w14:val="tx1"/>
            </w14:solidFill>
          </w14:textFill>
        </w:rPr>
        <w:t>三、环境保护设施建设情况</w:t>
      </w:r>
    </w:p>
    <w:p w14:paraId="1F70368F">
      <w:pPr>
        <w:pStyle w:val="7"/>
        <w:widowControl/>
        <w:spacing w:beforeAutospacing="0" w:afterAutospacing="0" w:line="440" w:lineRule="exact"/>
        <w:ind w:firstLine="562" w:firstLineChars="200"/>
        <w:jc w:val="both"/>
        <w:outlineLvl w:val="0"/>
        <w:rPr>
          <w:rFonts w:ascii="Times New Roman" w:hAnsiTheme="minorEastAsia"/>
          <w:b/>
          <w:color w:val="000000" w:themeColor="text1"/>
          <w:sz w:val="28"/>
          <w:szCs w:val="28"/>
          <w14:textFill>
            <w14:solidFill>
              <w14:schemeClr w14:val="tx1"/>
            </w14:solidFill>
          </w14:textFill>
        </w:rPr>
      </w:pPr>
      <w:r>
        <w:rPr>
          <w:rFonts w:ascii="Times New Roman" w:hAnsiTheme="minorEastAsia"/>
          <w:b/>
          <w:color w:val="000000" w:themeColor="text1"/>
          <w:sz w:val="28"/>
          <w:szCs w:val="28"/>
          <w14:textFill>
            <w14:solidFill>
              <w14:schemeClr w14:val="tx1"/>
            </w14:solidFill>
          </w14:textFill>
        </w:rPr>
        <w:t>（一）废水</w:t>
      </w:r>
    </w:p>
    <w:p w14:paraId="1AD4BA40">
      <w:pPr>
        <w:pStyle w:val="16"/>
        <w:spacing w:before="216" w:line="405" w:lineRule="auto"/>
        <w:ind w:left="109" w:right="132" w:firstLine="420"/>
        <w:jc w:val="both"/>
        <w:rPr>
          <w:rFonts w:hint="eastAsia" w:ascii="Times New Roman" w:hAnsi="Times New Roman" w:eastAsia="宋体" w:cs="Times New Roman"/>
          <w:color w:val="auto"/>
          <w:kern w:val="2"/>
          <w:sz w:val="28"/>
          <w:szCs w:val="28"/>
          <w:u w:val="none"/>
          <w:lang w:val="en-US" w:eastAsia="zh-CN" w:bidi="ar-SA"/>
        </w:rPr>
      </w:pPr>
      <w:r>
        <w:rPr>
          <w:rFonts w:hint="eastAsia" w:ascii="Times New Roman" w:hAnsi="Times New Roman" w:eastAsia="宋体" w:cs="Times New Roman"/>
          <w:color w:val="auto"/>
          <w:kern w:val="2"/>
          <w:sz w:val="28"/>
          <w:szCs w:val="28"/>
          <w:u w:val="none"/>
          <w:lang w:val="en-US" w:eastAsia="zh-CN" w:bidi="ar-SA"/>
        </w:rPr>
        <w:t>本项目生活污水经化粪池预处理后，与初期雨水一并接管至海安市墩头镇污水处理厂集 中处理。本项目生活污水排放量为0.4t/d ，依托租赁企业现有化粪池5m</w:t>
      </w:r>
      <w:r>
        <w:rPr>
          <w:rFonts w:hint="eastAsia" w:ascii="Times New Roman" w:hAnsi="Times New Roman" w:eastAsia="宋体" w:cs="Times New Roman"/>
          <w:color w:val="auto"/>
          <w:kern w:val="2"/>
          <w:sz w:val="28"/>
          <w:szCs w:val="28"/>
          <w:u w:val="none"/>
          <w:vertAlign w:val="superscript"/>
          <w:lang w:val="en-US" w:eastAsia="zh-CN" w:bidi="ar-SA"/>
        </w:rPr>
        <w:t>3</w:t>
      </w:r>
      <w:r>
        <w:rPr>
          <w:rFonts w:hint="eastAsia" w:ascii="Times New Roman" w:hAnsi="Times New Roman" w:eastAsia="宋体" w:cs="Times New Roman"/>
          <w:color w:val="auto"/>
          <w:kern w:val="2"/>
          <w:sz w:val="28"/>
          <w:szCs w:val="28"/>
          <w:u w:val="none"/>
          <w:lang w:val="en-US" w:eastAsia="zh-CN" w:bidi="ar-SA"/>
        </w:rPr>
        <w:t>，能够保证废水达标 接管污水处理厂。</w:t>
      </w:r>
    </w:p>
    <w:p w14:paraId="164D3DD2">
      <w:pPr>
        <w:pStyle w:val="7"/>
        <w:widowControl/>
        <w:numPr>
          <w:ilvl w:val="0"/>
          <w:numId w:val="2"/>
        </w:numPr>
        <w:spacing w:beforeAutospacing="0" w:afterAutospacing="0" w:line="440" w:lineRule="exact"/>
        <w:ind w:firstLine="562" w:firstLineChars="200"/>
        <w:jc w:val="both"/>
        <w:outlineLvl w:val="0"/>
        <w:rPr>
          <w:rFonts w:ascii="Times New Roman" w:hAnsiTheme="minorEastAsia"/>
          <w:b/>
          <w:color w:val="000000" w:themeColor="text1"/>
          <w:sz w:val="28"/>
          <w:szCs w:val="28"/>
          <w14:textFill>
            <w14:solidFill>
              <w14:schemeClr w14:val="tx1"/>
            </w14:solidFill>
          </w14:textFill>
        </w:rPr>
      </w:pPr>
      <w:r>
        <w:rPr>
          <w:rFonts w:ascii="Times New Roman" w:hAnsiTheme="minorEastAsia"/>
          <w:b/>
          <w:color w:val="000000" w:themeColor="text1"/>
          <w:sz w:val="28"/>
          <w:szCs w:val="28"/>
          <w14:textFill>
            <w14:solidFill>
              <w14:schemeClr w14:val="tx1"/>
            </w14:solidFill>
          </w14:textFill>
        </w:rPr>
        <w:t>废气</w:t>
      </w:r>
    </w:p>
    <w:p w14:paraId="54A0D08D">
      <w:pPr>
        <w:spacing w:line="360" w:lineRule="auto"/>
        <w:ind w:firstLine="560" w:firstLineChars="200"/>
        <w:rPr>
          <w:rFonts w:hint="default" w:ascii="Times New Roman" w:hAnsi="Times New Roman" w:eastAsia="宋体" w:cs="Times New Roman"/>
          <w:color w:val="auto"/>
          <w:sz w:val="28"/>
          <w:szCs w:val="28"/>
          <w:u w:val="none"/>
          <w:lang w:val="en-US" w:eastAsia="zh-CN"/>
        </w:rPr>
      </w:pPr>
      <w:r>
        <w:rPr>
          <w:rFonts w:hint="eastAsia" w:ascii="Times New Roman" w:hAnsi="Times New Roman" w:eastAsia="宋体" w:cs="Times New Roman"/>
          <w:color w:val="auto"/>
          <w:sz w:val="28"/>
          <w:szCs w:val="28"/>
          <w:u w:val="none"/>
          <w:lang w:val="en-US" w:eastAsia="zh-CN"/>
        </w:rPr>
        <w:t>本项目</w:t>
      </w:r>
      <w:r>
        <w:rPr>
          <w:rFonts w:hint="default" w:ascii="Times New Roman" w:hAnsi="Times New Roman" w:eastAsia="宋体" w:cs="Times New Roman"/>
          <w:color w:val="auto"/>
          <w:sz w:val="28"/>
          <w:szCs w:val="28"/>
          <w:u w:val="none"/>
          <w:lang w:val="en-US" w:eastAsia="zh-CN"/>
        </w:rPr>
        <w:t>破碎</w:t>
      </w:r>
      <w:r>
        <w:rPr>
          <w:rFonts w:hint="eastAsia"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lang w:val="en-US" w:eastAsia="zh-CN"/>
        </w:rPr>
        <w:t>粉碎粉尘</w:t>
      </w:r>
      <w:r>
        <w:rPr>
          <w:rFonts w:hint="eastAsia" w:ascii="Times New Roman" w:hAnsi="Times New Roman" w:eastAsia="宋体" w:cs="Times New Roman"/>
          <w:color w:val="auto"/>
          <w:sz w:val="28"/>
          <w:szCs w:val="28"/>
          <w:u w:val="none"/>
          <w:lang w:val="en-US" w:eastAsia="zh-CN"/>
        </w:rPr>
        <w:t>通过一套1套布袋除尘器处理后通过15米高排气筒排放。</w:t>
      </w:r>
      <w:r>
        <w:rPr>
          <w:rFonts w:hint="default" w:ascii="Times New Roman" w:hAnsi="Times New Roman" w:eastAsia="宋体" w:cs="Times New Roman"/>
          <w:color w:val="auto"/>
          <w:sz w:val="28"/>
          <w:szCs w:val="28"/>
          <w:u w:val="none"/>
          <w:lang w:val="en-US" w:eastAsia="zh-CN"/>
        </w:rPr>
        <w:t>制粒、筛分粉尘</w:t>
      </w:r>
      <w:r>
        <w:rPr>
          <w:rFonts w:hint="eastAsia" w:ascii="Times New Roman" w:hAnsi="Times New Roman" w:eastAsia="宋体" w:cs="Times New Roman"/>
          <w:color w:val="auto"/>
          <w:sz w:val="28"/>
          <w:szCs w:val="28"/>
          <w:u w:val="none"/>
          <w:lang w:val="en-US" w:eastAsia="zh-CN"/>
        </w:rPr>
        <w:t>通过一套1套布袋除尘器处理后通过15米高排气筒排放</w:t>
      </w:r>
    </w:p>
    <w:p w14:paraId="6169624C">
      <w:pPr>
        <w:pStyle w:val="7"/>
        <w:widowControl/>
        <w:spacing w:beforeAutospacing="0" w:afterAutospacing="0" w:line="440" w:lineRule="exact"/>
        <w:ind w:left="420" w:leftChars="200"/>
        <w:jc w:val="both"/>
        <w:outlineLvl w:val="0"/>
        <w:rPr>
          <w:rFonts w:ascii="Times New Roman" w:hAnsi="Times New Roman"/>
          <w:b/>
          <w:color w:val="000000" w:themeColor="text1"/>
          <w:sz w:val="28"/>
          <w:szCs w:val="28"/>
          <w14:textFill>
            <w14:solidFill>
              <w14:schemeClr w14:val="tx1"/>
            </w14:solidFill>
          </w14:textFill>
        </w:rPr>
      </w:pPr>
      <w:r>
        <w:rPr>
          <w:rFonts w:ascii="Times New Roman" w:hAnsiTheme="minorEastAsia"/>
          <w:b/>
          <w:color w:val="000000" w:themeColor="text1"/>
          <w:sz w:val="28"/>
          <w:szCs w:val="28"/>
          <w14:textFill>
            <w14:solidFill>
              <w14:schemeClr w14:val="tx1"/>
            </w14:solidFill>
          </w14:textFill>
        </w:rPr>
        <w:t>（三）噪声</w:t>
      </w:r>
    </w:p>
    <w:p w14:paraId="1C0191EF">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bookmarkStart w:id="5" w:name="OLE_LINK7"/>
      <w:bookmarkStart w:id="6" w:name="_Toc208197860"/>
      <w:r>
        <w:rPr>
          <w:rFonts w:hint="default" w:ascii="Times New Roman" w:hAnsi="Times New Roman" w:eastAsia="宋体" w:cs="Times New Roman"/>
          <w:color w:val="auto"/>
          <w:sz w:val="28"/>
          <w:szCs w:val="28"/>
          <w:u w:val="none"/>
          <w:lang w:val="en-US" w:eastAsia="zh-CN"/>
        </w:rPr>
        <w:t>本项目高噪声设备主要为生产设备、风机等机械噪声，单台噪声级67～90dB(A)。项目产 生噪声的噪声源强调查清单见下表。建设单位拟采取以下降噪措施：</w:t>
      </w:r>
    </w:p>
    <w:p w14:paraId="5522A170">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①厂区采取合理平面布局，将高噪声污染设备放置厂房内，并尽量布局于厂区内部，避 免因布局于厂址边缘而对周围环境造成不良影响。</w:t>
      </w:r>
    </w:p>
    <w:p w14:paraId="404AA98B">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②高噪声设备安装减振底座，安装位置具有减振基础。</w:t>
      </w:r>
    </w:p>
    <w:p w14:paraId="1C13D530">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③设备购置选用小功率、低噪声的设备。</w:t>
      </w:r>
    </w:p>
    <w:p w14:paraId="4869BA31">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④风机应配置隔声罩，排风管道进出口加柔性软接头，以降低风机噪声对周围环境的影响。</w:t>
      </w:r>
    </w:p>
    <w:p w14:paraId="11CD9BFC">
      <w:pPr>
        <w:spacing w:line="360" w:lineRule="auto"/>
        <w:ind w:firstLine="560" w:firstLineChars="200"/>
        <w:jc w:val="both"/>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u w:val="none"/>
          <w:lang w:val="en-US" w:eastAsia="zh-CN"/>
        </w:rPr>
        <w:t>⑤勤维护保养，使设备在最佳工况下运行，降低噪音。</w:t>
      </w:r>
    </w:p>
    <w:p w14:paraId="00B8045F">
      <w:pPr>
        <w:spacing w:line="440" w:lineRule="exact"/>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cs="Times New Roman" w:hAnsiTheme="minorEastAsia"/>
          <w:b/>
          <w:color w:val="000000" w:themeColor="text1"/>
          <w:sz w:val="28"/>
          <w:szCs w:val="28"/>
          <w14:textFill>
            <w14:solidFill>
              <w14:schemeClr w14:val="tx1"/>
            </w14:solidFill>
          </w14:textFill>
        </w:rPr>
        <w:t>（四）固体废物</w:t>
      </w:r>
    </w:p>
    <w:p w14:paraId="4B9B2BBC">
      <w:pPr>
        <w:spacing w:line="360" w:lineRule="auto"/>
        <w:ind w:firstLine="560" w:firstLineChars="200"/>
        <w:jc w:val="both"/>
        <w:rPr>
          <w:rFonts w:hint="eastAsia" w:ascii="Times New Roman" w:hAnsi="Times New Roman" w:eastAsia="宋体" w:cs="Times New Roman"/>
          <w:color w:val="auto"/>
          <w:sz w:val="28"/>
          <w:szCs w:val="28"/>
          <w:u w:val="none"/>
          <w:lang w:val="en-US" w:eastAsia="zh-CN"/>
        </w:rPr>
      </w:pPr>
      <w:r>
        <w:rPr>
          <w:rFonts w:hint="eastAsia" w:ascii="Times New Roman" w:hAnsi="Times New Roman" w:eastAsia="宋体" w:cs="Times New Roman"/>
          <w:color w:val="auto"/>
          <w:sz w:val="28"/>
          <w:szCs w:val="28"/>
          <w:u w:val="none"/>
          <w:lang w:val="en-US" w:eastAsia="zh-CN"/>
        </w:rPr>
        <w:t>本项目固废主要是危险固废、一般工业固废和生活垃圾。</w:t>
      </w:r>
    </w:p>
    <w:bookmarkEnd w:id="5"/>
    <w:bookmarkEnd w:id="6"/>
    <w:p w14:paraId="39116DB8">
      <w:pPr>
        <w:pStyle w:val="16"/>
        <w:spacing w:before="219" w:line="405" w:lineRule="auto"/>
        <w:ind w:left="104" w:right="95" w:firstLine="414"/>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建设项目固体废物主要有废铁、废包装袋、废布袋、废电瓶、废劳保用品、废润滑油、废 润滑油桶和生活垃圾。</w:t>
      </w:r>
    </w:p>
    <w:p w14:paraId="69F4FA82">
      <w:pPr>
        <w:pStyle w:val="16"/>
        <w:spacing w:before="1" w:line="219" w:lineRule="auto"/>
        <w:ind w:left="519"/>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a.废铁</w:t>
      </w:r>
    </w:p>
    <w:p w14:paraId="150A54F3">
      <w:pPr>
        <w:pStyle w:val="16"/>
        <w:spacing w:before="211" w:line="216" w:lineRule="auto"/>
        <w:jc w:val="left"/>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项目磁选过程会有废铁产生，根据企业提供资料，产生量约为20t/a，统一收集后外售</w:t>
      </w:r>
      <w:r>
        <w:rPr>
          <w:rFonts w:hint="eastAsia" w:asciiTheme="minorHAnsi" w:hAnsiTheme="minorHAnsi" w:eastAsiaTheme="minorEastAsia" w:cstheme="minorBidi"/>
          <w:kern w:val="2"/>
          <w:sz w:val="28"/>
          <w:szCs w:val="28"/>
          <w:lang w:val="en-US" w:eastAsia="zh-CN" w:bidi="ar-SA"/>
        </w:rPr>
        <w:t>处。</w:t>
      </w:r>
    </w:p>
    <w:p w14:paraId="0DF1438A">
      <w:pPr>
        <w:pStyle w:val="16"/>
        <w:spacing w:before="210" w:line="220" w:lineRule="auto"/>
        <w:ind w:left="511"/>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b.废包装袋</w:t>
      </w:r>
    </w:p>
    <w:p w14:paraId="01BAB851">
      <w:pPr>
        <w:pStyle w:val="16"/>
        <w:spacing w:before="211" w:line="405" w:lineRule="auto"/>
        <w:ind w:left="102" w:right="146" w:firstLine="420"/>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项目包装时会产生废包装袋，根据企业经验数据，则产生量约为5t/a，统一收集后外售处理。</w:t>
      </w:r>
    </w:p>
    <w:p w14:paraId="71D72526">
      <w:pPr>
        <w:pStyle w:val="16"/>
        <w:spacing w:line="216" w:lineRule="auto"/>
        <w:ind w:left="519"/>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c.废布袋</w:t>
      </w:r>
    </w:p>
    <w:p w14:paraId="44DFDAB9">
      <w:pPr>
        <w:pStyle w:val="16"/>
        <w:spacing w:before="216" w:line="216" w:lineRule="auto"/>
        <w:ind w:left="522"/>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项目废气处理装置会有废布袋产生，产生量约8t/a，统一收集后外售处理。</w:t>
      </w:r>
    </w:p>
    <w:p w14:paraId="41D4FE50">
      <w:pPr>
        <w:pStyle w:val="16"/>
        <w:spacing w:before="214" w:line="221" w:lineRule="auto"/>
        <w:ind w:left="519"/>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d.废电瓶</w:t>
      </w:r>
    </w:p>
    <w:p w14:paraId="68902345">
      <w:pPr>
        <w:pStyle w:val="16"/>
        <w:spacing w:before="204" w:line="216" w:lineRule="auto"/>
        <w:ind w:left="522"/>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企业生产过程中会产生叉车废电瓶，产生量约0.8t/a，收集后委托有资质的单位处置。</w:t>
      </w:r>
    </w:p>
    <w:p w14:paraId="6CD86E9C">
      <w:pPr>
        <w:pStyle w:val="16"/>
        <w:spacing w:before="216" w:line="217" w:lineRule="auto"/>
        <w:ind w:left="519"/>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e.废劳保用品</w:t>
      </w:r>
    </w:p>
    <w:p w14:paraId="6E0BE794">
      <w:pPr>
        <w:pStyle w:val="16"/>
        <w:spacing w:before="214" w:line="405" w:lineRule="auto"/>
        <w:ind w:left="101" w:right="198" w:firstLine="421"/>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项目在机械保养时会产生废劳保用品，共计0.5t/a，收集后暂存于危废贮存点，委托有资 质单位处置。</w:t>
      </w:r>
    </w:p>
    <w:p w14:paraId="79E39E9C">
      <w:pPr>
        <w:pStyle w:val="16"/>
        <w:spacing w:before="1" w:line="218" w:lineRule="auto"/>
        <w:ind w:left="520"/>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f.废润滑油</w:t>
      </w:r>
    </w:p>
    <w:p w14:paraId="24BF8BF7">
      <w:pPr>
        <w:pStyle w:val="16"/>
        <w:spacing w:before="213" w:line="401" w:lineRule="auto"/>
        <w:ind w:left="105" w:right="146" w:firstLine="414"/>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本项目生产过程中会有废润滑油产生，产生量约为1t/a，收集后暂存于危废贮存点，委托 有资质单位处置。</w:t>
      </w:r>
    </w:p>
    <w:p w14:paraId="05FF67E5">
      <w:pPr>
        <w:pStyle w:val="16"/>
        <w:spacing w:before="4" w:line="212" w:lineRule="auto"/>
        <w:ind w:left="518"/>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g.废润滑油桶</w:t>
      </w:r>
    </w:p>
    <w:p w14:paraId="02625AC5">
      <w:pPr>
        <w:pStyle w:val="16"/>
        <w:spacing w:before="219" w:line="405" w:lineRule="auto"/>
        <w:ind w:left="104" w:right="95" w:firstLine="415"/>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本项目年产生废润滑油桶合计120个，单个废润滑油桶重量约为0.02t，年产生量为2.4t ，收 集后暂存于危废贮存点，委托有资质单位处置。</w:t>
      </w:r>
    </w:p>
    <w:p w14:paraId="2CECD41C">
      <w:pPr>
        <w:spacing w:line="440" w:lineRule="exact"/>
        <w:ind w:firstLine="562" w:firstLineChars="200"/>
        <w:rPr>
          <w:rFonts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rPr>
        <w:t>（五）其他环保措施</w:t>
      </w:r>
    </w:p>
    <w:p w14:paraId="024EB265">
      <w:pPr>
        <w:spacing w:line="360" w:lineRule="auto"/>
        <w:ind w:firstLine="560" w:firstLineChars="200"/>
        <w:rPr>
          <w:rFonts w:hint="default"/>
          <w:sz w:val="28"/>
          <w:szCs w:val="28"/>
          <w:lang w:val="en-US" w:eastAsia="zh-CN"/>
        </w:rPr>
      </w:pPr>
      <w:r>
        <w:rPr>
          <w:rFonts w:hint="eastAsia"/>
          <w:sz w:val="28"/>
          <w:szCs w:val="28"/>
        </w:rPr>
        <w:t>本项目排污口设置了环保标识牌；本项目</w:t>
      </w:r>
      <w:r>
        <w:rPr>
          <w:rFonts w:hint="eastAsia"/>
          <w:sz w:val="28"/>
          <w:szCs w:val="28"/>
          <w:lang w:val="en-US" w:eastAsia="zh-CN"/>
        </w:rPr>
        <w:t>无卫生防护距离；环境风险应急预案已备案中。</w:t>
      </w:r>
    </w:p>
    <w:p w14:paraId="4DA8DEF5">
      <w:pPr>
        <w:pStyle w:val="7"/>
        <w:widowControl/>
        <w:spacing w:beforeAutospacing="0" w:afterAutospacing="0" w:line="440" w:lineRule="exact"/>
        <w:ind w:firstLine="562" w:firstLineChars="200"/>
        <w:jc w:val="both"/>
        <w:rPr>
          <w:rFonts w:ascii="Times New Roman" w:hAnsiTheme="minorEastAsia"/>
          <w:b/>
          <w:bCs/>
          <w:color w:val="000000" w:themeColor="text1"/>
          <w:sz w:val="28"/>
          <w:szCs w:val="28"/>
          <w14:textFill>
            <w14:solidFill>
              <w14:schemeClr w14:val="tx1"/>
            </w14:solidFill>
          </w14:textFill>
        </w:rPr>
      </w:pPr>
      <w:r>
        <w:rPr>
          <w:rFonts w:ascii="Times New Roman" w:hAnsiTheme="minorEastAsia"/>
          <w:b/>
          <w:bCs/>
          <w:color w:val="000000" w:themeColor="text1"/>
          <w:sz w:val="28"/>
          <w:szCs w:val="28"/>
          <w14:textFill>
            <w14:solidFill>
              <w14:schemeClr w14:val="tx1"/>
            </w14:solidFill>
          </w14:textFill>
        </w:rPr>
        <w:t>四、环保设施调试运行效果</w:t>
      </w:r>
    </w:p>
    <w:p w14:paraId="2D7314A3">
      <w:pPr>
        <w:spacing w:line="360" w:lineRule="auto"/>
        <w:ind w:firstLine="560" w:firstLineChars="200"/>
        <w:rPr>
          <w:rFonts w:hint="eastAsia"/>
          <w:sz w:val="28"/>
          <w:szCs w:val="28"/>
        </w:rPr>
      </w:pPr>
      <w:r>
        <w:rPr>
          <w:rFonts w:hint="eastAsia"/>
          <w:sz w:val="28"/>
          <w:szCs w:val="28"/>
          <w:lang w:val="en-US" w:eastAsia="zh-CN"/>
        </w:rPr>
        <w:t>该项目委托江苏裕和技术检测有限公司于2025年9月17日-18日对本项目进行了验收监测，</w:t>
      </w:r>
      <w:r>
        <w:rPr>
          <w:rFonts w:hint="eastAsia"/>
          <w:sz w:val="28"/>
          <w:szCs w:val="28"/>
          <w:lang w:eastAsia="zh-CN"/>
        </w:rPr>
        <w:t>验收</w:t>
      </w:r>
      <w:r>
        <w:rPr>
          <w:rFonts w:hint="eastAsia"/>
          <w:sz w:val="28"/>
          <w:szCs w:val="28"/>
        </w:rPr>
        <w:t>监测期间：</w:t>
      </w:r>
    </w:p>
    <w:p w14:paraId="785A769C">
      <w:pPr>
        <w:spacing w:line="360" w:lineRule="auto"/>
        <w:ind w:firstLine="560" w:firstLineChars="200"/>
        <w:rPr>
          <w:rFonts w:hint="default" w:ascii="Times New Roman" w:hAnsi="Times New Roman" w:cs="Times New Roman"/>
          <w:color w:val="auto"/>
          <w:sz w:val="28"/>
          <w:szCs w:val="28"/>
          <w:lang w:val="en-US" w:eastAsia="zh-CN"/>
        </w:rPr>
      </w:pPr>
      <w:r>
        <w:rPr>
          <w:rFonts w:hint="eastAsia"/>
          <w:sz w:val="28"/>
          <w:szCs w:val="28"/>
          <w:lang w:val="en-US" w:eastAsia="zh-CN"/>
        </w:rPr>
        <w:t>生产设备均正常运行，生产负</w:t>
      </w:r>
      <w:r>
        <w:rPr>
          <w:rFonts w:hint="eastAsia" w:ascii="Times New Roman" w:hAnsi="Times New Roman" w:cs="Times New Roman"/>
          <w:color w:val="auto"/>
          <w:sz w:val="28"/>
          <w:szCs w:val="28"/>
          <w:lang w:val="en-US" w:eastAsia="zh-CN"/>
        </w:rPr>
        <w:t>荷大于75%，满足验收监测条件。</w:t>
      </w:r>
    </w:p>
    <w:p w14:paraId="1DEF56B6">
      <w:pPr>
        <w:pStyle w:val="7"/>
        <w:widowControl/>
        <w:spacing w:beforeAutospacing="0" w:afterAutospacing="0" w:line="440" w:lineRule="exact"/>
        <w:ind w:firstLine="562" w:firstLineChars="200"/>
        <w:jc w:val="both"/>
        <w:outlineLvl w:val="0"/>
        <w:rPr>
          <w:rFonts w:ascii="Times New Roman" w:hAnsi="Times New Roman"/>
          <w:b/>
          <w:sz w:val="28"/>
          <w:szCs w:val="28"/>
        </w:rPr>
      </w:pPr>
      <w:r>
        <w:rPr>
          <w:rFonts w:ascii="Times New Roman" w:hAnsi="Times New Roman"/>
          <w:b/>
          <w:sz w:val="28"/>
          <w:szCs w:val="28"/>
        </w:rPr>
        <w:t>1.</w:t>
      </w:r>
      <w:r>
        <w:rPr>
          <w:rFonts w:ascii="Times New Roman" w:hAnsiTheme="minorEastAsia"/>
          <w:b/>
          <w:sz w:val="28"/>
          <w:szCs w:val="28"/>
        </w:rPr>
        <w:t>废水</w:t>
      </w:r>
    </w:p>
    <w:p w14:paraId="49F3C692">
      <w:pPr>
        <w:pStyle w:val="16"/>
        <w:spacing w:before="216" w:line="405" w:lineRule="auto"/>
        <w:ind w:left="109" w:right="132" w:firstLine="420"/>
        <w:jc w:val="both"/>
        <w:rPr>
          <w:rFonts w:hint="eastAsia" w:ascii="Times New Roman" w:hAnsi="Times New Roman" w:eastAsia="宋体" w:cs="Times New Roman"/>
          <w:color w:val="auto"/>
          <w:kern w:val="2"/>
          <w:sz w:val="28"/>
          <w:szCs w:val="28"/>
          <w:u w:val="none"/>
          <w:lang w:val="en-US" w:eastAsia="zh-CN" w:bidi="ar-SA"/>
        </w:rPr>
      </w:pPr>
      <w:r>
        <w:rPr>
          <w:rFonts w:hint="eastAsia" w:ascii="Times New Roman" w:hAnsi="Times New Roman" w:eastAsia="宋体" w:cs="Times New Roman"/>
          <w:color w:val="auto"/>
          <w:kern w:val="2"/>
          <w:sz w:val="28"/>
          <w:szCs w:val="28"/>
          <w:u w:val="none"/>
          <w:lang w:val="en-US" w:eastAsia="zh-CN" w:bidi="ar-SA"/>
        </w:rPr>
        <w:t>本项目生活污水经化粪池预处理后，与初期雨水一并接管至海安市墩头镇污水处理厂集 中处理。本项目生活污水排放量为0.4t/d ，依托租赁企业现有化粪池5m</w:t>
      </w:r>
      <w:r>
        <w:rPr>
          <w:rFonts w:hint="eastAsia" w:ascii="Times New Roman" w:hAnsi="Times New Roman" w:eastAsia="宋体" w:cs="Times New Roman"/>
          <w:color w:val="auto"/>
          <w:kern w:val="2"/>
          <w:sz w:val="28"/>
          <w:szCs w:val="28"/>
          <w:u w:val="none"/>
          <w:vertAlign w:val="superscript"/>
          <w:lang w:val="en-US" w:eastAsia="zh-CN" w:bidi="ar-SA"/>
        </w:rPr>
        <w:t>3</w:t>
      </w:r>
      <w:r>
        <w:rPr>
          <w:rFonts w:hint="eastAsia" w:ascii="Times New Roman" w:hAnsi="Times New Roman" w:eastAsia="宋体" w:cs="Times New Roman"/>
          <w:color w:val="auto"/>
          <w:kern w:val="2"/>
          <w:sz w:val="28"/>
          <w:szCs w:val="28"/>
          <w:u w:val="none"/>
          <w:lang w:val="en-US" w:eastAsia="zh-CN" w:bidi="ar-SA"/>
        </w:rPr>
        <w:t>，能够保证废水达标 接管污水处理厂。</w:t>
      </w:r>
    </w:p>
    <w:p w14:paraId="59A3D8F7">
      <w:pPr>
        <w:pStyle w:val="7"/>
        <w:widowControl/>
        <w:spacing w:beforeAutospacing="0" w:afterAutospacing="0" w:line="440" w:lineRule="exact"/>
        <w:ind w:firstLine="562" w:firstLineChars="200"/>
        <w:jc w:val="both"/>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2.废气</w:t>
      </w:r>
    </w:p>
    <w:p w14:paraId="236D8FA8">
      <w:pPr>
        <w:spacing w:line="360" w:lineRule="auto"/>
        <w:ind w:firstLine="560" w:firstLineChars="200"/>
        <w:rPr>
          <w:rFonts w:hint="default" w:ascii="Times New Roman" w:hAnsi="Times New Roman" w:eastAsia="宋体" w:cs="Times New Roman"/>
          <w:color w:val="auto"/>
          <w:sz w:val="28"/>
          <w:szCs w:val="28"/>
          <w:u w:val="none"/>
          <w:lang w:val="en-US" w:eastAsia="zh-CN"/>
        </w:rPr>
      </w:pPr>
      <w:r>
        <w:rPr>
          <w:rFonts w:hint="eastAsia" w:ascii="Times New Roman" w:hAnsi="Times New Roman" w:eastAsia="宋体" w:cs="Times New Roman"/>
          <w:color w:val="auto"/>
          <w:sz w:val="28"/>
          <w:szCs w:val="28"/>
          <w:u w:val="none"/>
          <w:lang w:val="en-US" w:eastAsia="zh-CN"/>
        </w:rPr>
        <w:t>本项目</w:t>
      </w:r>
      <w:r>
        <w:rPr>
          <w:rFonts w:hint="default" w:ascii="Times New Roman" w:hAnsi="Times New Roman" w:eastAsia="宋体" w:cs="Times New Roman"/>
          <w:color w:val="auto"/>
          <w:sz w:val="28"/>
          <w:szCs w:val="28"/>
          <w:u w:val="none"/>
          <w:lang w:val="en-US" w:eastAsia="zh-CN"/>
        </w:rPr>
        <w:t>破碎</w:t>
      </w:r>
      <w:r>
        <w:rPr>
          <w:rFonts w:hint="eastAsia"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lang w:val="en-US" w:eastAsia="zh-CN"/>
        </w:rPr>
        <w:t>粉碎粉尘</w:t>
      </w:r>
      <w:r>
        <w:rPr>
          <w:rFonts w:hint="eastAsia" w:ascii="Times New Roman" w:hAnsi="Times New Roman" w:eastAsia="宋体" w:cs="Times New Roman"/>
          <w:color w:val="auto"/>
          <w:sz w:val="28"/>
          <w:szCs w:val="28"/>
          <w:u w:val="none"/>
          <w:lang w:val="en-US" w:eastAsia="zh-CN"/>
        </w:rPr>
        <w:t>通过一套1套布袋除尘器处理后通过15米高排气筒排放。</w:t>
      </w:r>
      <w:r>
        <w:rPr>
          <w:rFonts w:hint="default" w:ascii="Times New Roman" w:hAnsi="Times New Roman" w:eastAsia="宋体" w:cs="Times New Roman"/>
          <w:color w:val="auto"/>
          <w:sz w:val="28"/>
          <w:szCs w:val="28"/>
          <w:u w:val="none"/>
          <w:lang w:val="en-US" w:eastAsia="zh-CN"/>
        </w:rPr>
        <w:t>制粒、筛分粉尘</w:t>
      </w:r>
      <w:r>
        <w:rPr>
          <w:rFonts w:hint="eastAsia" w:ascii="Times New Roman" w:hAnsi="Times New Roman" w:eastAsia="宋体" w:cs="Times New Roman"/>
          <w:color w:val="auto"/>
          <w:sz w:val="28"/>
          <w:szCs w:val="28"/>
          <w:u w:val="none"/>
          <w:lang w:val="en-US" w:eastAsia="zh-CN"/>
        </w:rPr>
        <w:t>通过一套1套布袋除尘器处理后通过15米高排气筒排放</w:t>
      </w:r>
    </w:p>
    <w:p w14:paraId="5E851219">
      <w:pPr>
        <w:pStyle w:val="7"/>
        <w:widowControl/>
        <w:spacing w:beforeAutospacing="0" w:afterAutospacing="0" w:line="440" w:lineRule="exact"/>
        <w:ind w:firstLine="562" w:firstLineChars="200"/>
        <w:jc w:val="both"/>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3.厂界噪声</w:t>
      </w:r>
    </w:p>
    <w:p w14:paraId="17EE64A6">
      <w:pPr>
        <w:spacing w:line="360" w:lineRule="auto"/>
        <w:ind w:firstLine="560" w:firstLineChars="200"/>
        <w:jc w:val="both"/>
        <w:rPr>
          <w:rFonts w:hint="eastAsia" w:ascii="Times New Roman" w:hAnsi="Times New Roman" w:eastAsia="宋体" w:cs="Times New Roman"/>
          <w:color w:val="auto"/>
          <w:sz w:val="28"/>
          <w:szCs w:val="28"/>
          <w:u w:val="none"/>
          <w:lang w:val="en-US" w:eastAsia="zh-CN"/>
        </w:rPr>
      </w:pPr>
      <w:r>
        <w:rPr>
          <w:rFonts w:hint="eastAsia" w:ascii="Times New Roman" w:hAnsi="Times New Roman" w:eastAsia="宋体" w:cs="Times New Roman"/>
          <w:color w:val="auto"/>
          <w:sz w:val="28"/>
          <w:szCs w:val="28"/>
          <w:u w:val="none"/>
          <w:lang w:val="en-US" w:eastAsia="zh-CN"/>
        </w:rPr>
        <w:t>根据《海安市声环境功能区划分方案》（海政办发〔2020〕216号），本项目位于3类声  环境功能区，南侧大海线为主干路。运营期东、西、北厂界噪声执行《工业企业厂界环境噪  声排放标准》（GB12348-2008）中3类标准，南厂界噪声执行《工业企业厂界环境噪声排放标准》（GB12348-2008）中4类标准。</w:t>
      </w:r>
    </w:p>
    <w:p w14:paraId="502575E5">
      <w:pPr>
        <w:pStyle w:val="7"/>
        <w:widowControl/>
        <w:spacing w:beforeAutospacing="0" w:afterAutospacing="0" w:line="440" w:lineRule="exact"/>
        <w:ind w:firstLine="562" w:firstLineChars="200"/>
        <w:jc w:val="both"/>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kern w:val="2"/>
          <w:sz w:val="28"/>
          <w:szCs w:val="28"/>
          <w14:textFill>
            <w14:solidFill>
              <w14:schemeClr w14:val="tx1"/>
            </w14:solidFill>
          </w14:textFill>
        </w:rPr>
        <w:t>4</w:t>
      </w:r>
      <w:r>
        <w:rPr>
          <w:rFonts w:hint="eastAsia" w:ascii="Times New Roman" w:hAnsi="Times New Roman"/>
          <w:b/>
          <w:color w:val="000000" w:themeColor="text1"/>
          <w:kern w:val="2"/>
          <w:sz w:val="28"/>
          <w:szCs w:val="28"/>
          <w14:textFill>
            <w14:solidFill>
              <w14:schemeClr w14:val="tx1"/>
            </w14:solidFill>
          </w14:textFill>
        </w:rPr>
        <w:t>.</w:t>
      </w:r>
      <w:r>
        <w:rPr>
          <w:rFonts w:ascii="Times New Roman" w:hAnsi="Times New Roman"/>
          <w:b/>
          <w:color w:val="000000" w:themeColor="text1"/>
          <w:sz w:val="28"/>
          <w:szCs w:val="28"/>
          <w14:textFill>
            <w14:solidFill>
              <w14:schemeClr w14:val="tx1"/>
            </w14:solidFill>
          </w14:textFill>
        </w:rPr>
        <w:t>固体废物</w:t>
      </w:r>
    </w:p>
    <w:p w14:paraId="499A86FA">
      <w:pPr>
        <w:spacing w:line="360" w:lineRule="auto"/>
        <w:ind w:firstLine="560" w:firstLineChars="200"/>
        <w:jc w:val="both"/>
        <w:rPr>
          <w:rFonts w:hint="eastAsia" w:ascii="Times New Roman" w:hAnsi="Times New Roman" w:eastAsia="宋体" w:cs="Times New Roman"/>
          <w:color w:val="auto"/>
          <w:sz w:val="28"/>
          <w:szCs w:val="28"/>
          <w:u w:val="none"/>
          <w:lang w:val="en-US" w:eastAsia="zh-CN"/>
        </w:rPr>
      </w:pPr>
      <w:r>
        <w:rPr>
          <w:rFonts w:hint="eastAsia" w:ascii="Times New Roman" w:hAnsi="Times New Roman" w:eastAsia="宋体" w:cs="Times New Roman"/>
          <w:color w:val="auto"/>
          <w:sz w:val="28"/>
          <w:szCs w:val="28"/>
          <w:u w:val="none"/>
          <w:lang w:val="en-US" w:eastAsia="zh-CN"/>
        </w:rPr>
        <w:t>本项目固废主要是危险固废、一般工业固废和生活垃圾。</w:t>
      </w:r>
    </w:p>
    <w:p w14:paraId="33560788">
      <w:pPr>
        <w:pStyle w:val="16"/>
        <w:spacing w:before="219" w:line="405" w:lineRule="auto"/>
        <w:ind w:left="104" w:right="95" w:firstLine="414"/>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建设项目固体废物主要有废铁、废包装袋、废布袋、废电瓶、废劳保用品、废润滑油、废 润滑油桶和生活垃圾。</w:t>
      </w:r>
    </w:p>
    <w:p w14:paraId="101EC661">
      <w:pPr>
        <w:spacing w:line="360" w:lineRule="auto"/>
        <w:ind w:firstLine="520"/>
        <w:rPr>
          <w:rFonts w:hint="eastAsia" w:ascii="Times New Roman" w:hAnsi="Times New Roman" w:eastAsia="宋体" w:cs="Times New Roman"/>
          <w:b/>
          <w:bCs/>
          <w:color w:val="000000"/>
          <w:kern w:val="0"/>
          <w:sz w:val="28"/>
          <w:szCs w:val="28"/>
          <w:u w:val="none"/>
          <w:lang w:val="en-US" w:eastAsia="zh-CN" w:bidi="ar-SA"/>
        </w:rPr>
      </w:pPr>
      <w:r>
        <w:rPr>
          <w:rFonts w:hint="eastAsia" w:ascii="Times New Roman" w:hAnsi="Times New Roman" w:eastAsia="宋体" w:cs="Times New Roman"/>
          <w:b/>
          <w:bCs/>
          <w:color w:val="000000"/>
          <w:kern w:val="0"/>
          <w:sz w:val="28"/>
          <w:szCs w:val="28"/>
          <w:u w:val="none"/>
          <w:lang w:val="en-US" w:eastAsia="zh-CN" w:bidi="ar-SA"/>
        </w:rPr>
        <w:t>5.污染物排放总量</w:t>
      </w:r>
    </w:p>
    <w:p w14:paraId="5C86425C">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根据验收监测结果进行核算，本项目各项污染物排放总量均符合环评及环评批复</w:t>
      </w:r>
      <w:r>
        <w:rPr>
          <w:rFonts w:hint="eastAsia"/>
          <w:color w:val="auto"/>
          <w:sz w:val="28"/>
          <w:szCs w:val="28"/>
          <w:lang w:val="en-US" w:eastAsia="zh-CN"/>
        </w:rPr>
        <w:t>（海开行审(2024]92号）。</w:t>
      </w:r>
      <w:r>
        <w:rPr>
          <w:rFonts w:hint="eastAsia" w:ascii="Times New Roman" w:hAnsi="Times New Roman" w:eastAsia="宋体" w:cs="Times New Roman"/>
          <w:b w:val="0"/>
          <w:bCs w:val="0"/>
          <w:color w:val="000000"/>
          <w:kern w:val="0"/>
          <w:sz w:val="28"/>
          <w:szCs w:val="28"/>
          <w:lang w:val="en-US" w:eastAsia="zh-CN" w:bidi="ar-SA"/>
        </w:rPr>
        <w:t>文件中核定要求。</w:t>
      </w:r>
    </w:p>
    <w:p w14:paraId="1307D766">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五、验收结论</w:t>
      </w:r>
    </w:p>
    <w:p w14:paraId="7C14BB42">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南通孟泉环保新能源有限公司生物质颗粒成型燃料加工项目（一期工程）各项污染防治设施按照环评报告表及其批复要求，已基本落实到位。配套建设的废水、废气、噪声、固废污染治理设施运行正常运行，污染物能达标排放，不存在《建设项目竣工环境保护验收暂行办法》（国环规环评〔2017〕4号）第八条规定的验收不合格情形。</w:t>
      </w:r>
    </w:p>
    <w:p w14:paraId="57CEA2F2">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bookmarkStart w:id="7" w:name="OLE_LINK11"/>
      <w:r>
        <w:rPr>
          <w:rFonts w:hint="eastAsia" w:ascii="Times New Roman" w:hAnsi="Times New Roman" w:eastAsia="宋体" w:cs="Times New Roman"/>
          <w:b w:val="0"/>
          <w:bCs w:val="0"/>
          <w:color w:val="000000"/>
          <w:kern w:val="0"/>
          <w:sz w:val="28"/>
          <w:szCs w:val="28"/>
          <w:lang w:val="en-US" w:eastAsia="zh-CN" w:bidi="ar-SA"/>
        </w:rPr>
        <w:t>南通孟泉环保新能源有限公司生物质颗粒成型燃料加工项目（一期工程）</w:t>
      </w:r>
      <w:bookmarkEnd w:id="7"/>
      <w:r>
        <w:rPr>
          <w:rFonts w:hint="eastAsia" w:ascii="Times New Roman" w:hAnsi="Times New Roman" w:eastAsia="宋体" w:cs="Times New Roman"/>
          <w:b w:val="0"/>
          <w:bCs w:val="0"/>
          <w:color w:val="000000"/>
          <w:kern w:val="0"/>
          <w:sz w:val="28"/>
          <w:szCs w:val="28"/>
          <w:lang w:val="en-US" w:eastAsia="zh-CN" w:bidi="ar-SA"/>
        </w:rPr>
        <w:t>竣工的废水、废气、噪声、固废污染防治设施验收监测合格，验收组同意，该项目（一期工程）已符合竣工环保验收条件和要求，验收合格，可以投入生产运行。</w:t>
      </w:r>
    </w:p>
    <w:p w14:paraId="3B013372">
      <w:pPr>
        <w:spacing w:line="440" w:lineRule="exact"/>
        <w:ind w:firstLine="562" w:firstLineChars="200"/>
        <w:rPr>
          <w:rFonts w:ascii="Times New Roman" w:hAnsi="Times New Roman" w:cs="Times New Roman"/>
          <w:b/>
          <w:bCs/>
          <w:color w:val="000000" w:themeColor="text1"/>
          <w:kern w:val="0"/>
          <w:sz w:val="28"/>
          <w:szCs w:val="28"/>
          <w14:textFill>
            <w14:solidFill>
              <w14:schemeClr w14:val="tx1"/>
            </w14:solidFill>
          </w14:textFill>
        </w:rPr>
      </w:pPr>
      <w:r>
        <w:rPr>
          <w:rFonts w:hint="eastAsia" w:ascii="Times New Roman" w:hAnsi="Times New Roman" w:cs="Times New Roman"/>
          <w:b/>
          <w:bCs/>
          <w:color w:val="000000" w:themeColor="text1"/>
          <w:kern w:val="0"/>
          <w:sz w:val="28"/>
          <w:szCs w:val="28"/>
          <w14:textFill>
            <w14:solidFill>
              <w14:schemeClr w14:val="tx1"/>
            </w14:solidFill>
          </w14:textFill>
        </w:rPr>
        <w:t>六、后续</w:t>
      </w:r>
      <w:r>
        <w:rPr>
          <w:rFonts w:hint="eastAsia" w:ascii="Times New Roman" w:hAnsi="Times New Roman" w:cs="Times New Roman"/>
          <w:b/>
          <w:bCs/>
          <w:color w:val="000000" w:themeColor="text1"/>
          <w:kern w:val="0"/>
          <w:sz w:val="28"/>
          <w:szCs w:val="28"/>
          <w:lang w:val="en-US" w:eastAsia="zh-CN"/>
          <w14:textFill>
            <w14:solidFill>
              <w14:schemeClr w14:val="tx1"/>
            </w14:solidFill>
          </w14:textFill>
        </w:rPr>
        <w:t>管理</w:t>
      </w:r>
      <w:r>
        <w:rPr>
          <w:rFonts w:hint="eastAsia" w:ascii="Times New Roman" w:hAnsi="Times New Roman" w:cs="Times New Roman"/>
          <w:b/>
          <w:bCs/>
          <w:color w:val="000000" w:themeColor="text1"/>
          <w:kern w:val="0"/>
          <w:sz w:val="28"/>
          <w:szCs w:val="28"/>
          <w14:textFill>
            <w14:solidFill>
              <w14:schemeClr w14:val="tx1"/>
            </w14:solidFill>
          </w14:textFill>
        </w:rPr>
        <w:t>要求</w:t>
      </w:r>
    </w:p>
    <w:p w14:paraId="0451D732">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1、加强对各类污染治理设施的运行、维护和管理，完善各类环保制度，确保污染治理设施长期稳定运行、污染物达标排放。</w:t>
      </w:r>
    </w:p>
    <w:p w14:paraId="51D520F6">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2、进一步建立健全环境风险防控体系，强化风险防范管理，落实各项风险防范措施与应急管理要求，确保风险防范措施充分有效。</w:t>
      </w:r>
    </w:p>
    <w:p w14:paraId="704CE6A6">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3、规范化设置各排口，做好年度监测。</w:t>
      </w:r>
    </w:p>
    <w:p w14:paraId="4477254B">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4、加强危废管理，危废仓库做好分区存放，定期合规合法处置，不得超量存放。</w:t>
      </w:r>
    </w:p>
    <w:p w14:paraId="03C4425C">
      <w:pPr>
        <w:spacing w:line="440" w:lineRule="exact"/>
        <w:ind w:firstLine="562" w:firstLineChars="200"/>
        <w:rPr>
          <w:rFonts w:hint="eastAsia"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b/>
          <w:bCs/>
          <w:color w:val="000000" w:themeColor="text1"/>
          <w:kern w:val="0"/>
          <w:sz w:val="28"/>
          <w:szCs w:val="28"/>
          <w14:textFill>
            <w14:solidFill>
              <w14:schemeClr w14:val="tx1"/>
            </w14:solidFill>
          </w14:textFill>
        </w:rPr>
        <w:t>七、验收人员信息</w:t>
      </w:r>
    </w:p>
    <w:p w14:paraId="4C9B2A26">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验收组人员详细信息见附件。</w:t>
      </w:r>
    </w:p>
    <w:p w14:paraId="782F14C0">
      <w:pPr>
        <w:spacing w:line="360" w:lineRule="auto"/>
        <w:ind w:firstLine="520"/>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验收组组长：</w:t>
      </w:r>
    </w:p>
    <w:p w14:paraId="0E7D46D3">
      <w:pPr>
        <w:spacing w:line="360" w:lineRule="auto"/>
        <w:ind w:firstLine="520"/>
        <w:rPr>
          <w:rFonts w:hint="default"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验收组成员见会议签到表。</w:t>
      </w:r>
    </w:p>
    <w:p w14:paraId="70822C86">
      <w:pPr>
        <w:adjustRightInd w:val="0"/>
        <w:snapToGrid w:val="0"/>
        <w:spacing w:line="440" w:lineRule="exact"/>
        <w:ind w:firstLine="3080" w:firstLineChars="1100"/>
        <w:jc w:val="right"/>
        <w:rPr>
          <w:rFonts w:ascii="Times New Roman" w:hAnsi="Times New Roman" w:cs="Times New Roman"/>
          <w:color w:val="000000" w:themeColor="text1"/>
          <w:kern w:val="0"/>
          <w:sz w:val="28"/>
          <w:szCs w:val="28"/>
          <w14:textFill>
            <w14:solidFill>
              <w14:schemeClr w14:val="tx1"/>
            </w14:solidFill>
          </w14:textFill>
        </w:rPr>
      </w:pPr>
    </w:p>
    <w:p w14:paraId="5F72F4EF">
      <w:pPr>
        <w:adjustRightInd w:val="0"/>
        <w:snapToGrid w:val="0"/>
        <w:spacing w:line="440" w:lineRule="exact"/>
        <w:ind w:firstLine="3080" w:firstLineChars="1100"/>
        <w:jc w:val="right"/>
        <w:rPr>
          <w:rFonts w:ascii="Times New Roman" w:hAnsi="Times New Roman" w:cs="Times New Roman"/>
          <w:color w:val="000000" w:themeColor="text1"/>
          <w:kern w:val="0"/>
          <w:sz w:val="28"/>
          <w:szCs w:val="28"/>
          <w14:textFill>
            <w14:solidFill>
              <w14:schemeClr w14:val="tx1"/>
            </w14:solidFill>
          </w14:textFill>
        </w:rPr>
      </w:pPr>
    </w:p>
    <w:p w14:paraId="02E80484">
      <w:pPr>
        <w:adjustRightInd w:val="0"/>
        <w:snapToGrid w:val="0"/>
        <w:spacing w:line="440" w:lineRule="exact"/>
        <w:ind w:firstLine="3080" w:firstLineChars="1100"/>
        <w:jc w:val="right"/>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 xml:space="preserve"> </w:t>
      </w:r>
    </w:p>
    <w:p w14:paraId="78AE6C1B">
      <w:pPr>
        <w:adjustRightInd w:val="0"/>
        <w:snapToGrid w:val="0"/>
        <w:spacing w:line="440" w:lineRule="exact"/>
        <w:ind w:firstLine="560"/>
        <w:jc w:val="righ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eastAsia="宋体" w:cs="Times New Roman"/>
          <w:b w:val="0"/>
          <w:bCs w:val="0"/>
          <w:color w:val="000000"/>
          <w:kern w:val="0"/>
          <w:sz w:val="28"/>
          <w:szCs w:val="28"/>
          <w:lang w:val="en-US" w:eastAsia="zh-CN" w:bidi="ar-SA"/>
        </w:rPr>
        <w:t xml:space="preserve"> 南通孟泉环保新能源有限公司  </w:t>
      </w:r>
      <w:r>
        <w:rPr>
          <w:rFonts w:ascii="Times New Roman" w:hAnsi="Times New Roman" w:cs="Times New Roman"/>
          <w:color w:val="000000" w:themeColor="text1"/>
          <w:kern w:val="0"/>
          <w:sz w:val="24"/>
          <w14:textFill>
            <w14:solidFill>
              <w14:schemeClr w14:val="tx1"/>
            </w14:solidFill>
          </w14:textFill>
        </w:rPr>
        <w:t xml:space="preserve">                        </w:t>
      </w:r>
      <w:r>
        <w:rPr>
          <w:rFonts w:ascii="Times New Roman" w:hAnsi="Times New Roman" w:cs="Times New Roman"/>
          <w:color w:val="FF0000"/>
          <w:kern w:val="0"/>
          <w:sz w:val="24"/>
        </w:rPr>
        <w:t xml:space="preserve">    </w:t>
      </w:r>
      <w:r>
        <w:rPr>
          <w:rFonts w:ascii="Times New Roman" w:hAnsi="Times New Roman" w:cs="Times New Roman"/>
          <w:color w:val="000000" w:themeColor="text1"/>
          <w:kern w:val="0"/>
          <w:sz w:val="24"/>
          <w14:textFill>
            <w14:solidFill>
              <w14:schemeClr w14:val="tx1"/>
            </w14:solidFill>
          </w14:textFill>
        </w:rPr>
        <w:t xml:space="preserve">  </w:t>
      </w:r>
      <w:r>
        <w:rPr>
          <w:rFonts w:ascii="Times New Roman" w:hAnsi="Times New Roman" w:cs="Times New Roman"/>
          <w:color w:val="000000" w:themeColor="text1"/>
          <w:kern w:val="0"/>
          <w:sz w:val="28"/>
          <w:szCs w:val="28"/>
          <w14:textFill>
            <w14:solidFill>
              <w14:schemeClr w14:val="tx1"/>
            </w14:solidFill>
          </w14:textFill>
        </w:rPr>
        <w:t xml:space="preserve"> </w:t>
      </w:r>
    </w:p>
    <w:p w14:paraId="64D87C73">
      <w:pPr>
        <w:adjustRightInd w:val="0"/>
        <w:snapToGrid w:val="0"/>
        <w:spacing w:line="440" w:lineRule="exact"/>
        <w:ind w:firstLine="560"/>
        <w:jc w:val="righ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20</w:t>
      </w:r>
      <w:r>
        <w:rPr>
          <w:rFonts w:hint="eastAsia" w:ascii="Times New Roman" w:hAnsi="Times New Roman" w:cs="Times New Roman"/>
          <w:color w:val="000000" w:themeColor="text1"/>
          <w:kern w:val="0"/>
          <w:sz w:val="28"/>
          <w:szCs w:val="28"/>
          <w14:textFill>
            <w14:solidFill>
              <w14:schemeClr w14:val="tx1"/>
            </w14:solidFill>
          </w14:textFill>
        </w:rPr>
        <w:t>2</w:t>
      </w:r>
      <w:r>
        <w:rPr>
          <w:rFonts w:hint="eastAsia" w:ascii="Times New Roman" w:hAnsi="Times New Roman" w:cs="Times New Roman"/>
          <w:color w:val="000000" w:themeColor="text1"/>
          <w:kern w:val="0"/>
          <w:sz w:val="28"/>
          <w:szCs w:val="28"/>
          <w:lang w:val="en-US" w:eastAsia="zh-CN"/>
          <w14:textFill>
            <w14:solidFill>
              <w14:schemeClr w14:val="tx1"/>
            </w14:solidFill>
          </w14:textFill>
        </w:rPr>
        <w:t>5</w:t>
      </w:r>
      <w:r>
        <w:rPr>
          <w:rFonts w:ascii="Times New Roman" w:cs="Times New Roman" w:hAnsiTheme="minorEastAsia"/>
          <w:color w:val="000000" w:themeColor="text1"/>
          <w:kern w:val="0"/>
          <w:sz w:val="28"/>
          <w:szCs w:val="28"/>
          <w14:textFill>
            <w14:solidFill>
              <w14:schemeClr w14:val="tx1"/>
            </w14:solidFill>
          </w14:textFill>
        </w:rPr>
        <w:t>年</w:t>
      </w:r>
      <w:r>
        <w:rPr>
          <w:rFonts w:hint="eastAsia" w:ascii="Times New Roman" w:hAnsi="Times New Roman" w:cs="Times New Roman"/>
          <w:color w:val="000000" w:themeColor="text1"/>
          <w:kern w:val="0"/>
          <w:sz w:val="28"/>
          <w:szCs w:val="28"/>
          <w:lang w:val="en-US" w:eastAsia="zh-CN"/>
          <w14:textFill>
            <w14:solidFill>
              <w14:schemeClr w14:val="tx1"/>
            </w14:solidFill>
          </w14:textFill>
        </w:rPr>
        <w:t>10</w:t>
      </w:r>
      <w:r>
        <w:rPr>
          <w:rFonts w:ascii="Times New Roman" w:cs="Times New Roman" w:hAnsiTheme="minorEastAsia"/>
          <w:color w:val="000000" w:themeColor="text1"/>
          <w:kern w:val="0"/>
          <w:sz w:val="28"/>
          <w:szCs w:val="28"/>
          <w14:textFill>
            <w14:solidFill>
              <w14:schemeClr w14:val="tx1"/>
            </w14:solidFill>
          </w14:textFill>
        </w:rPr>
        <w:t>月</w:t>
      </w:r>
      <w:r>
        <w:rPr>
          <w:rFonts w:hint="eastAsia" w:ascii="Times New Roman" w:cs="Times New Roman" w:hAnsiTheme="minorEastAsia"/>
          <w:color w:val="000000" w:themeColor="text1"/>
          <w:kern w:val="0"/>
          <w:sz w:val="28"/>
          <w:szCs w:val="28"/>
          <w:lang w:val="en-US" w:eastAsia="zh-CN"/>
          <w14:textFill>
            <w14:solidFill>
              <w14:schemeClr w14:val="tx1"/>
            </w14:solidFill>
          </w14:textFill>
        </w:rPr>
        <w:t>31</w:t>
      </w:r>
      <w:bookmarkStart w:id="8" w:name="_GoBack"/>
      <w:bookmarkEnd w:id="8"/>
      <w:r>
        <w:rPr>
          <w:rFonts w:ascii="Times New Roman" w:cs="Times New Roman" w:hAnsiTheme="minorEastAsia"/>
          <w:color w:val="000000" w:themeColor="text1"/>
          <w:kern w:val="0"/>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35871"/>
    <w:multiLevelType w:val="singleLevel"/>
    <w:tmpl w:val="EC735871"/>
    <w:lvl w:ilvl="0" w:tentative="0">
      <w:start w:val="2"/>
      <w:numFmt w:val="chineseCounting"/>
      <w:suff w:val="nothing"/>
      <w:lvlText w:val="（%1）"/>
      <w:lvlJc w:val="left"/>
      <w:rPr>
        <w:rFonts w:hint="eastAsia"/>
      </w:rPr>
    </w:lvl>
  </w:abstractNum>
  <w:abstractNum w:abstractNumId="1">
    <w:nsid w:val="73235013"/>
    <w:multiLevelType w:val="multilevel"/>
    <w:tmpl w:val="73235013"/>
    <w:lvl w:ilvl="0" w:tentative="0">
      <w:start w:val="1"/>
      <w:numFmt w:val="decimal"/>
      <w:lvlText w:val="%1."/>
      <w:lvlJc w:val="left"/>
      <w:pPr>
        <w:tabs>
          <w:tab w:val="left" w:pos="600"/>
        </w:tabs>
        <w:ind w:left="240" w:firstLine="0"/>
      </w:pPr>
      <w:rPr>
        <w:rFonts w:hint="eastAsia" w:ascii="黑体" w:eastAsia="黑体"/>
        <w:b/>
        <w:i w:val="0"/>
        <w:sz w:val="32"/>
      </w:rPr>
    </w:lvl>
    <w:lvl w:ilvl="1" w:tentative="0">
      <w:start w:val="1"/>
      <w:numFmt w:val="decimal"/>
      <w:lvlText w:val="%1.%2."/>
      <w:lvlJc w:val="left"/>
      <w:pPr>
        <w:tabs>
          <w:tab w:val="left" w:pos="1620"/>
        </w:tabs>
        <w:ind w:left="900" w:firstLine="0"/>
      </w:pPr>
      <w:rPr>
        <w:rFonts w:hint="eastAsia" w:ascii="黑体" w:eastAsia="黑体"/>
        <w:b/>
        <w:i w:val="0"/>
        <w:sz w:val="30"/>
      </w:rPr>
    </w:lvl>
    <w:lvl w:ilvl="2" w:tentative="0">
      <w:start w:val="1"/>
      <w:numFmt w:val="decimal"/>
      <w:pStyle w:val="2"/>
      <w:lvlText w:val="%1.%2.%3."/>
      <w:lvlJc w:val="left"/>
      <w:pPr>
        <w:tabs>
          <w:tab w:val="left" w:pos="2490"/>
        </w:tabs>
        <w:ind w:left="1410" w:firstLine="0"/>
      </w:pPr>
      <w:rPr>
        <w:rFonts w:hint="eastAsia" w:ascii="黑体" w:hAnsi="宋体" w:eastAsia="黑体"/>
        <w:b w:val="0"/>
        <w:i w:val="0"/>
        <w:sz w:val="28"/>
      </w:rPr>
    </w:lvl>
    <w:lvl w:ilvl="3" w:tentative="0">
      <w:start w:val="1"/>
      <w:numFmt w:val="decimal"/>
      <w:lvlText w:val="%1.%2.%3.%4."/>
      <w:lvlJc w:val="left"/>
      <w:pPr>
        <w:tabs>
          <w:tab w:val="left" w:pos="2145"/>
        </w:tabs>
        <w:ind w:left="705" w:firstLine="0"/>
      </w:pPr>
      <w:rPr>
        <w:rFonts w:hint="eastAsia" w:ascii="仿宋_GB2312" w:eastAsia="仿宋_GB2312"/>
        <w:b w:val="0"/>
        <w:i w:val="0"/>
        <w:sz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TM2NGJkZjYxZjMyNTBmYTI5OWUwMWQ2ODFmZGEifQ=="/>
  </w:docVars>
  <w:rsids>
    <w:rsidRoot w:val="00CF0B1E"/>
    <w:rsid w:val="001A1E1D"/>
    <w:rsid w:val="0023278A"/>
    <w:rsid w:val="005928BB"/>
    <w:rsid w:val="0060788C"/>
    <w:rsid w:val="0097165B"/>
    <w:rsid w:val="00B23B06"/>
    <w:rsid w:val="00BD72AE"/>
    <w:rsid w:val="00CF0B1E"/>
    <w:rsid w:val="06DC1232"/>
    <w:rsid w:val="07D22587"/>
    <w:rsid w:val="07F94598"/>
    <w:rsid w:val="09875ACC"/>
    <w:rsid w:val="0B1C57E6"/>
    <w:rsid w:val="0CFC67E8"/>
    <w:rsid w:val="0E12312D"/>
    <w:rsid w:val="1192381F"/>
    <w:rsid w:val="1936246A"/>
    <w:rsid w:val="1A770906"/>
    <w:rsid w:val="1DBA0CD4"/>
    <w:rsid w:val="203F3013"/>
    <w:rsid w:val="21454723"/>
    <w:rsid w:val="21E00C36"/>
    <w:rsid w:val="23EE7422"/>
    <w:rsid w:val="24880E38"/>
    <w:rsid w:val="2738182F"/>
    <w:rsid w:val="27DC7871"/>
    <w:rsid w:val="28DE1233"/>
    <w:rsid w:val="2A361EC5"/>
    <w:rsid w:val="2BE654F1"/>
    <w:rsid w:val="2C7548FE"/>
    <w:rsid w:val="2E1C0ADB"/>
    <w:rsid w:val="2F85318B"/>
    <w:rsid w:val="2FC60593"/>
    <w:rsid w:val="302836C2"/>
    <w:rsid w:val="30D36363"/>
    <w:rsid w:val="31E9387A"/>
    <w:rsid w:val="33073808"/>
    <w:rsid w:val="34C156C8"/>
    <w:rsid w:val="350B7ACB"/>
    <w:rsid w:val="369632D5"/>
    <w:rsid w:val="37665176"/>
    <w:rsid w:val="3A3A5696"/>
    <w:rsid w:val="3A9D7A0F"/>
    <w:rsid w:val="3B097A8B"/>
    <w:rsid w:val="491F1CF0"/>
    <w:rsid w:val="49682C03"/>
    <w:rsid w:val="4ABA2818"/>
    <w:rsid w:val="521D0D4E"/>
    <w:rsid w:val="57971F38"/>
    <w:rsid w:val="58D410EB"/>
    <w:rsid w:val="5F9F4FCC"/>
    <w:rsid w:val="6AE85BB9"/>
    <w:rsid w:val="6B157E53"/>
    <w:rsid w:val="6FDC510C"/>
    <w:rsid w:val="6FDE6390"/>
    <w:rsid w:val="7078566D"/>
    <w:rsid w:val="712254F9"/>
    <w:rsid w:val="73BE7F06"/>
    <w:rsid w:val="78374893"/>
    <w:rsid w:val="793A6CC6"/>
    <w:rsid w:val="7953129A"/>
    <w:rsid w:val="79755127"/>
    <w:rsid w:val="7A090BE8"/>
    <w:rsid w:val="7A250486"/>
    <w:rsid w:val="7E05296B"/>
    <w:rsid w:val="7EF5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Lines="50" w:afterLines="50"/>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rPr>
      <w:rFonts w:ascii="仿宋_GB2312" w:eastAsia="仿宋_GB2312"/>
      <w:sz w:val="28"/>
      <w:szCs w:val="20"/>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index 1"/>
    <w:basedOn w:val="1"/>
    <w:next w:val="1"/>
    <w:semiHidden/>
    <w:qFormat/>
    <w:uiPriority w:val="0"/>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表内表"/>
    <w:basedOn w:val="1"/>
    <w:qFormat/>
    <w:uiPriority w:val="99"/>
    <w:pPr>
      <w:jc w:val="center"/>
    </w:pPr>
    <w:rPr>
      <w:rFonts w:eastAsia="仿宋_GB2312"/>
      <w:kern w:val="0"/>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验收报告文本"/>
    <w:basedOn w:val="20"/>
    <w:qFormat/>
    <w:uiPriority w:val="0"/>
    <w:pPr>
      <w:autoSpaceDE w:val="0"/>
      <w:adjustRightInd w:val="0"/>
      <w:snapToGrid w:val="0"/>
      <w:spacing w:before="0" w:beforeAutospacing="0" w:line="500" w:lineRule="exact"/>
      <w:ind w:firstLine="560" w:firstLineChars="200"/>
      <w:jc w:val="both"/>
    </w:pPr>
    <w:rPr>
      <w:rFonts w:ascii="仿宋" w:hAnsi="仿宋" w:eastAsia="仿宋" w:cs="仿宋"/>
      <w:bCs/>
      <w:sz w:val="24"/>
      <w:szCs w:val="24"/>
    </w:rPr>
  </w:style>
  <w:style w:type="paragraph" w:customStyle="1" w:styleId="20">
    <w:name w:val="验收报告正文"/>
    <w:basedOn w:val="1"/>
    <w:qFormat/>
    <w:uiPriority w:val="0"/>
    <w:pPr>
      <w:widowControl/>
      <w:adjustRightInd w:val="0"/>
      <w:snapToGrid w:val="0"/>
      <w:spacing w:before="100" w:beforeAutospacing="1" w:line="360" w:lineRule="auto"/>
      <w:ind w:firstLine="560" w:firstLineChars="200"/>
      <w:jc w:val="left"/>
    </w:pPr>
    <w:rPr>
      <w:rFonts w:ascii="Times New Roman" w:hAnsi="Times New Roman" w:eastAsia="仿宋"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921</Words>
  <Characters>1025</Characters>
  <Lines>2</Lines>
  <Paragraphs>1</Paragraphs>
  <TotalTime>0</TotalTime>
  <ScaleCrop>false</ScaleCrop>
  <LinksUpToDate>false</LinksUpToDate>
  <CharactersWithSpaces>1026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2023-05-20T09:47:00Z</dcterms:created>
  <dc:creator>Microsoft</dc:creator>
  <cp:lastModifiedBy>耶耶耶嗝儿</cp:lastModifiedBy>
  <dcterms:modified xsi:type="dcterms:W3CDTF">2025-10-31T03:27:09Z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3ECBD826D70F4E679044CFA2DCF254C1_13</vt:lpwstr>
  </property>
  <property fmtid="{D5CDD505-2E9C-101B-9397-08002B2CF9AE}" pid="4" name="KSOTemplateDocerSaveRecord">
    <vt:lpwstr>eyJoZGlkIjoiNGYxMDNkYzFkNDNlZDg1MDI3NzM3OTU5MzA3YjIxOWIiLCJ1c2VySWQiOiIxNjI5NDE2NjU3In0=</vt:lpwstr>
  </property>
</Properties>
</file>